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。印度的独立驯化主张同样主要依据母系资料。印度家鸡与不同的红原鸡群体共享单倍型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p>
    <w:p>
      <w:pPr>
        <w:jc w:val="both"/>
      </w:pPr>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p>
    <w:p>
      <w:pPr>
        <w:jc w:val="both"/>
      </w:pPr>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w:t>
      </w:r>
    </w:p>
    <w:p>
      <w:pPr>
        <w:pStyle w:val="Heading2"/>
      </w:pPr>
      <w:r>
        <w:t xml:space="preserve">3.2 核遗传证据与主要祖先群体</w:t>
      </w:r>
    </w:p>
    <w:p>
      <w:pPr>
        <w:jc w:val="both"/>
      </w:pPr>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这些红原鸡群体的遗传多样性较高；作者结合红原鸡中特有的母系变异，推测驯化只涉及红原鸡的部分基因库。亚洲其他地区所见的部分线粒体单倍群，未在这些泰国样本中出现，作者据此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p>
    <w:p>
      <w:pPr>
        <w:jc w:val="both"/>
      </w:pPr>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w:t>
      </w:r>
      <w:r>
        <w:rPr>
          <w:i/>
        </w:rPr>
        <w:t xml:space="preserve">G. g. spadiceus</w:t>
      </w:r>
      <w:r>
        <w:t xml:space="preserve">标本，同样比其他亚种更接近家鸡，支持了现生基因组得出的主要祖源判断</w:t>
      </w:r>
      <w:r>
        <w:rPr>
          <w:vertAlign w:val="superscript"/>
        </w:rPr>
        <w:t xml:space="preserve">[19]</w:t>
      </w:r>
      <w:r>
        <w:t xml:space="preserve">。</w:t>
      </w:r>
    </w:p>
    <w:p>
      <w:pPr>
        <w:jc w:val="both"/>
      </w:pPr>
      <w:r>
        <w:t xml:space="preserve">驯化以后，家鸡在传播和育种中继续与其他亚种、品种发生基因交流。全基因组研究比较了印度鸡来源的两种情景：一是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。交流也发生在相反方向。印度57只野生红原鸡与79只邻近家鸡的比较识别出混合个体，二者共享母系单倍型的频率提示家鸡向野生群体输入了遗传成分</w:t>
      </w:r>
      <w:r>
        <w:rPr>
          <w:vertAlign w:val="superscript"/>
        </w:rPr>
        <w:t xml:space="preserve">[20]</w:t>
      </w:r>
      <w:r>
        <w:t xml:space="preserve">。商业鸡的输入同样改变了地方鸡：8个中国地方品种的基因组中，平均约15%来自商业肉鸡渗入，比例从藏鸡的0.64%到惠阳胡须鸡的21.52%不等</w:t>
      </w:r>
      <w:r>
        <w:rPr>
          <w:vertAlign w:val="superscript"/>
        </w:rPr>
        <w:t xml:space="preserve">[21]</w:t>
      </w:r>
      <w:r>
        <w:t xml:space="preserve">。因此，现代鸡群的亲缘关系是主要祖源与后期交流共同作用的结果。</w:t>
      </w:r>
    </w:p>
    <w:p>
      <w:pPr>
        <w:jc w:val="both"/>
      </w:pPr>
      <w:r>
        <w:t xml:space="preserve">全基因组比较和历史标本资料支持</w:t>
      </w:r>
      <w:r>
        <w:rPr>
          <w:i/>
        </w:rPr>
        <w:t xml:space="preserve">G. g. spadiceus</w:t>
      </w:r>
      <w:r>
        <w:t xml:space="preserve">相关群体为家鸡的主要祖先</w:t>
      </w:r>
      <w:r>
        <w:rPr>
          <w:vertAlign w:val="superscript"/>
        </w:rPr>
        <w:t xml:space="preserve">[18,19]</w:t>
      </w:r>
      <w:r>
        <w:t xml:space="preserve">。因此，家鸡中多个具有地域差异的母系单倍群，与共同的主要核祖源并不矛盾。</w:t>
      </w:r>
      <w:r>
        <w:rPr>
          <w:i/>
        </w:rPr>
        <w:t xml:space="preserve">G. g. spadiceus</w:t>
      </w:r>
      <w:r>
        <w:t xml:space="preserve">内部有多少群体参与了驯化、驯化发生在哪些地点、共发生了几次，仍需结合考古记录判断（见第4节）。</w:t>
      </w:r>
    </w:p>
    <w:p>
      <w:pPr>
        <w:pStyle w:val="Heading2"/>
      </w:pPr>
      <w:r>
        <w:t xml:space="preserve">3.3 其他原鸡物种的遗传贡献</w:t>
      </w:r>
    </w:p>
    <w:p>
      <w:pPr>
        <w:jc w:val="both"/>
      </w:pPr>
      <w:r>
        <w:t xml:space="preserve">其他原鸡物种对家鸡的贡献以局部核片段为主。最清楚的实例是黄色皮肤。该性状被定位到包含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。斯里兰卡原鸡（</w:t>
      </w:r>
      <w:r>
        <w:rPr>
          <w:i/>
        </w:rPr>
        <w:t xml:space="preserve">G. lafayettii</w:t>
      </w:r>
      <w:r>
        <w:t xml:space="preserve">）和绿原鸡（</w:t>
      </w:r>
      <w:r>
        <w:rPr>
          <w:i/>
        </w:rPr>
        <w:t xml:space="preserve">G. varius</w:t>
      </w:r>
      <w:r>
        <w:t xml:space="preserve">）的核片段实例较少。斯里兰卡地方鸡的线粒体比较，未显示斯里兰卡原鸡的母系贡献</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p>
    <w:p>
      <w:pPr>
        <w:pStyle w:val="Heading1"/>
      </w:pPr>
      <w:r>
        <w:t xml:space="preserve">4 初始驯化的地点与过程</w:t>
      </w:r>
    </w:p>
    <w:p>
      <w:pPr>
        <w:pStyle w:val="Heading2"/>
      </w:pPr>
      <w:r>
        <w:t xml:space="preserve">4.1 初始驯化的地点与年代</w:t>
      </w:r>
    </w:p>
    <w:p>
      <w:pPr>
        <w:jc w:val="both"/>
      </w:pPr>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p>
    <w:p>
      <w:pPr>
        <w:jc w:val="both"/>
      </w:pPr>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p>
    <w:p>
      <w:pPr>
        <w:jc w:val="both"/>
      </w:pPr>
      <w:r>
        <w:t xml:space="preserve">泰国Ban Non Wat发现了候选鸡骨</w:t>
      </w:r>
      <w:r>
        <w:rPr>
          <w:vertAlign w:val="superscript"/>
        </w:rPr>
        <w:t xml:space="preserve">[38]</w:t>
      </w:r>
      <w:r>
        <w:t xml:space="preserve">，该遗址较晚阶段遗存的古线粒体序列也确认了原鸡属身份</w:t>
      </w:r>
      <w:r>
        <w:rPr>
          <w:vertAlign w:val="superscript"/>
        </w:rPr>
        <w:t xml:space="preserve">[39]</w:t>
      </w:r>
      <w:r>
        <w:t xml:space="preserve">。一项全球综合评估将该遗址约公元前1650～1250年的遗存列为最早的明确家鸡记录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。泰国与云南的候选地点都位于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w:t>
      </w:r>
    </w:p>
    <w:p>
      <w:pPr>
        <w:pStyle w:val="Heading2"/>
      </w:pPr>
      <w:r>
        <w:t xml:space="preserve">4.2 农业共栖与持续饲养</w:t>
      </w:r>
    </w:p>
    <w:p>
      <w:pPr>
        <w:jc w:val="both"/>
      </w:pPr>
      <w:r>
        <w: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。原鸡还需经过人类的容纳和留养，才能进入持续饲养。图1概括了农业共栖、持续饲养、传播和后续变化之间的联系。</w:t>
      </w:r>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。图中四个部分概括的是可以相互重叠的过程，不表示界限分明的年代阶段。家鸡的主要核祖源与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p>
    <w:p>
      <w:pPr>
        <w:pStyle w:val="Heading1"/>
      </w:pPr>
      <w:r>
        <w:t xml:space="preserve">5 家鸡的全球传播</w:t>
      </w:r>
    </w:p>
    <w:p>
      <w:pPr>
        <w:jc w:val="both"/>
      </w:pPr>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。向南，非洲之角Mezber的鸡骨直接年代为公元前820～595年，研究者将其与南阿拉伯和红海的交流联系起来</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，随后到达夏威夷和Rapa Nui；Niue、夏威夷和Rapa Nui复核所得的22条可重复古鸡母系序列均属D单倍群</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；英国较早的鸡多为完整埋葬，并有老龄个体和骨折愈合的记录，说明部分鸡受到长期照护</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。在东亚，C1亚单倍群和A单倍群在斗鸡中富集，其较晚扩张可能与斗鸡的育种和传播有关</w:t>
      </w:r>
      <w:r>
        <w:rPr>
          <w:vertAlign w:val="superscript"/>
        </w:rPr>
        <w:t xml:space="preserve">[9]</w:t>
      </w:r>
      <w:r>
        <w:t xml:space="preserve">。这些记录表明，鸡的出现与集中的蛋肉生产并不总是同步。</w:t>
      </w:r>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Buto：相关层位跨赛特至罗马时期；Tell el-Maskhuta：约公元前320～200年组合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两地鸡骨提供下埃及存在记录；Buto只能定位较宽时期，Tell el-Maskhuta所列组合属于希腊化背景。</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rPr>
          <w:rFonts w:ascii="Times New Roman" w:hAnsi="Times New Roman" w:eastAsia="宋体"/>
          <w:b w:val="0"/>
          <w:i w:val="0"/>
          <w:color w:val="000000"/>
          <w:sz w:val="19"/>
        </w:rPr>
        <w:t>cal BP以公元1950年为基准。Nenumbo沿用Peters等所载储库校正区间（95%概率）；Tongoleleka沿用Steadman等原研究对6个个体的加权合并区间，不能视为每个个体均获得同一精确日期</w:t>
      </w:r>
      <w:r>
        <w:rPr>
          <w:rFonts w:ascii="Times New Roman" w:hAnsi="Times New Roman" w:eastAsia="宋体"/>
          <w:b w:val="0"/>
          <w:i w:val="0"/>
          <w:color w:val="000000"/>
          <w:sz w:val="19"/>
          <w:vertAlign w:val="superscript"/>
        </w:rPr>
        <w:t>[37,56]</w:t>
      </w:r>
      <w:r>
        <w:rPr>
          <w:rFonts w:ascii="Times New Roman" w:hAnsi="Times New Roman" w:eastAsia="宋体"/>
          <w:b w:val="0"/>
          <w:i w:val="0"/>
          <w:color w:val="000000"/>
          <w:sz w:val="19"/>
        </w:rPr>
        <w:t>。</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pStyle w:val="Heading2"/>
      </w:pPr>
      <w:r>
        <w:t xml:space="preserve">6.1 环境适应与抗病性</w:t>
      </w:r>
    </w:p>
    <w:p>
      <w:pPr>
        <w:jc w:val="both"/>
      </w:pPr>
      <w:r>
        <w:rPr>
          <w:b/>
        </w:rPr>
        <w:t xml:space="preserve">高海拔适应。</w:t>
      </w:r>
      <w:r>
        <w:t xml:space="preserve">高海拔环境中的低氧直接影响鸡胚发育和孵化。在海拔2900 m的孵化试验中，藏鸡和低地矮小鸡的孵化率分别为79.72%和31.69%，补氧提高了孵化率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）相关候选基因。在淮南鸡分离群体中，携带</w:t>
      </w:r>
      <w:r>
        <w:rPr>
          <w:i/>
        </w:rPr>
        <w:t xml:space="preserve">TSHR</w:t>
      </w:r>
      <w:r>
        <w:t xml:space="preserve"> Gly558Arg变异的纯合子经35±1℃、12 h热应激试验后，血清丙氨酸氨基转移酶、乳酸脱氢酶和肌酸激酶水平低于野生型</w:t>
      </w:r>
      <w:r>
        <w:rPr>
          <w:vertAlign w:val="superscript"/>
        </w:rPr>
        <w:t xml:space="preserve">[84]</w:t>
      </w:r>
      <w:r>
        <w:t xml:space="preserve">。该基因与光周期及繁殖反应的关系见第6.2节。</w:t>
      </w:r>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。马立克病抗性品系与易感品系的基因组比较则检出含有</w:t>
      </w:r>
      <w:r>
        <w:rPr>
          <w:i/>
        </w:rPr>
        <w:t xml:space="preserve">AKT1</w:t>
      </w:r>
      <w:r>
        <w:t xml:space="preserve">、</w:t>
      </w:r>
      <w:r>
        <w:rPr>
          <w:i/>
        </w:rPr>
        <w:t xml:space="preserve">API5</w:t>
      </w:r>
      <w:r>
        <w:t xml:space="preserve">、</w:t>
      </w:r>
      <w:r>
        <w:rPr>
          <w:i/>
        </w:rPr>
        <w:t xml:space="preserve">TNFSF13B</w:t>
      </w:r>
      <w:r>
        <w:t xml:space="preserve">等基因的候选区域，涉及细胞存活、凋亡及B细胞调节</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p>
    <w:p>
      <w:pPr>
        <w:jc w:val="both"/>
      </w:pPr>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内含子的195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。44个品种的517只纤维黑色素沉着鸡共享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pStyle w:val="Heading1"/>
      </w:pPr>
      <w:r>
        <w:t xml:space="preserve">7 基因交流</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p>
    <w:p>
      <w:pPr>
        <w:jc w:val="both"/>
      </w:pPr>
      <w:r>
        <w:t xml:space="preserve">原鸡属的系统基因组研究提示，一些种间交流早于家鸡驯化</w:t>
      </w:r>
      <w:r>
        <w:rPr>
          <w:vertAlign w:val="superscript"/>
        </w:rPr>
        <w:t xml:space="preserve">[133]</w:t>
      </w:r>
      <w:r>
        <w:t xml:space="preserve">。圈养与野外样本也存在差别：所研究的圈养灰原鸡常染色体基因组中约10%的成分来自</w:t>
      </w:r>
      <w:r>
        <w:rPr>
          <w:i/>
        </w:rPr>
        <w:t xml:space="preserve">G. gallus</w:t>
      </w:r>
      <w:r>
        <w:t xml:space="preserve">，同一研究的两只野生灰原鸡未检出相应信号</w:t>
      </w:r>
      <w:r>
        <w:rPr>
          <w:vertAlign w:val="superscript"/>
        </w:rPr>
        <w:t xml:space="preserve">[134]</w:t>
      </w:r>
      <w:r>
        <w:t xml:space="preserve">。杂交回交实验还发现，保留家鸡来源的遗传成分的后代仍可呈现典型原鸡外观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。迁移模型还检出上海新杨蛋鸡指向红原鸡参照群体，以及日本圈养红原鸡指向白来航的迁移边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。华南的微卫星研究较早检出了商业鸡与地方鸡的混合信号</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。东非657只村落鸡中，仅少数个体具有较高的商业簇归属，商业输入不足以解释该区域主要的遗传结构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