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r>
        <w: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。印度的独立驯化主张同样主要依据母系资料。印度家鸡与不同的红原鸡群体共享单倍型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p>
    <w:p>
      <w:pPr>
        <w:jc w:val="both"/>
      </w:pPr>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p>
    <w:p>
      <w:pPr>
        <w:jc w:val="both"/>
      </w:pPr>
      <w:r>
        <w:t xml:space="preserve">线粒体资料确立了家鸡与红原鸡的主要母系联系。祖先母系变异的保留和驯化后的杂交，共同塑造了家鸡的母系多样性；选择和性别偏向的基因交流，还可使母系亲缘关系与核基因组亲缘关系不一致</w:t>
      </w:r>
      <w:r>
        <w:rPr>
          <w:vertAlign w:val="superscript"/>
        </w:rPr>
        <w:t xml:space="preserve">[11,12]</w:t>
      </w:r>
      <w:r>
        <w:t xml:space="preserve">。</w:t>
      </w:r>
    </w:p>
    <w:p>
      <w:pPr>
        <w:pStyle w:val="Heading2"/>
      </w:pPr>
      <w:r>
        <w:t xml:space="preserve">3.2 核遗传证据与主要祖先群体</w:t>
      </w:r>
    </w:p>
    <w:p>
      <w:pPr>
        <w:jc w:val="both"/>
      </w:pPr>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），并与10个泰国地方鸡品种（138只）作微卫星比较。结果未能清楚区分两个红原鸡亚种，家鸡与</w:t>
      </w:r>
      <w:r>
        <w:rPr>
          <w:i/>
        </w:rPr>
        <w:t xml:space="preserve">G. g. spadiceus</w:t>
      </w:r>
      <w:r>
        <w:t xml:space="preserve">的亲缘关系也不比与</w:t>
      </w:r>
      <w:r>
        <w:rPr>
          <w:i/>
        </w:rPr>
        <w:t xml:space="preserve">G. g. gallus</w:t>
      </w:r>
      <w:r>
        <w:t xml:space="preserve">更近。这些红原鸡群体的遗传多样性较高；作者结合红原鸡中特有的母系变异，推测驯化只涉及红原鸡的部分基因库。亚洲其他地区所见的部分线粒体单倍群，未在这些泰国样本中出现，作者据此提出东南亚多地独立驯化的解释</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p>
    <w:p>
      <w:pPr>
        <w:jc w:val="both"/>
      </w:pPr>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。约一个世纪前的历史</w:t>
      </w:r>
      <w:r>
        <w:rPr>
          <w:i/>
        </w:rPr>
        <w:t xml:space="preserve">G. g. spadiceus</w:t>
      </w:r>
      <w:r>
        <w:t xml:space="preserve">标本，同样比其他亚种更接近家鸡，支持了现生基因组得出的主要祖源判断</w:t>
      </w:r>
      <w:r>
        <w:rPr>
          <w:vertAlign w:val="superscript"/>
        </w:rPr>
        <w:t xml:space="preserve">[19]</w:t>
      </w:r>
      <w:r>
        <w:t xml:space="preserve">。</w:t>
      </w:r>
    </w:p>
    <w:p>
      <w:pPr>
        <w:jc w:val="both"/>
      </w:pPr>
      <w:r>
        <w:t xml:space="preserve">驯化以后，家鸡在传播和育种中继续与其他亚种、品种发生基因交流。全基因组研究比较了印度鸡来源的两种情景：一是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。交流也发生在相反方向。印度57只野生红原鸡与79只邻近家鸡的比较识别出混合个体，二者共享母系单倍型的频率提示家鸡向野生群体输入了遗传成分</w:t>
      </w:r>
      <w:r>
        <w:rPr>
          <w:vertAlign w:val="superscript"/>
        </w:rPr>
        <w:t xml:space="preserve">[20]</w:t>
      </w:r>
      <w:r>
        <w:t xml:space="preserve">。商业鸡的输入同样改变了地方鸡：8个中国地方品种的基因组中，平均约15%来自商业肉鸡渗入，比例从藏鸡的0.64%到惠阳胡须鸡的21.52%不等</w:t>
      </w:r>
      <w:r>
        <w:rPr>
          <w:vertAlign w:val="superscript"/>
        </w:rPr>
        <w:t xml:space="preserve">[21]</w:t>
      </w:r>
      <w:r>
        <w:t xml:space="preserve">。因此，现代鸡群的亲缘关系是主要祖源与后期交流共同作用的结果。</w:t>
      </w:r>
    </w:p>
    <w:p>
      <w:pPr>
        <w:jc w:val="both"/>
      </w:pPr>
      <w:r>
        <w:t xml:space="preserve">全基因组比较和历史标本资料支持</w:t>
      </w:r>
      <w:r>
        <w:rPr>
          <w:i/>
        </w:rPr>
        <w:t xml:space="preserve">G. g. spadiceus</w:t>
      </w:r>
      <w:r>
        <w:t xml:space="preserve">相关群体为家鸡的主要祖先</w:t>
      </w:r>
      <w:r>
        <w:rPr>
          <w:vertAlign w:val="superscript"/>
        </w:rPr>
        <w:t xml:space="preserve">[18,19]</w:t>
      </w:r>
      <w:r>
        <w:t xml:space="preserve">。因此，家鸡中多个具有地域差异的母系单倍群，与共同的主要核祖源并不矛盾。</w:t>
      </w:r>
      <w:r>
        <w:rPr>
          <w:i/>
        </w:rPr>
        <w:t xml:space="preserve">G. g. spadiceus</w:t>
      </w:r>
      <w:r>
        <w:t xml:space="preserve">内部有多少群体参与了驯化、驯化发生在哪些地点、共发生了几次，仍需结合考古记录判断（见第4节）。</w:t>
      </w:r>
    </w:p>
    <w:p>
      <w:pPr>
        <w:pStyle w:val="Heading2"/>
      </w:pPr>
      <w:r>
        <w:t xml:space="preserve">3.3 其他原鸡物种的遗传贡献</w:t>
      </w:r>
    </w:p>
    <w:p>
      <w:pPr>
        <w:jc w:val="both"/>
      </w:pPr>
      <w:r>
        <w:t xml:space="preserve">其他原鸡物种对家鸡的贡献以局部核片段为主。最清楚的实例是黄色皮肤。该性状被定位到包含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）接近，而线粒体和另外5个核标记支持家鸡与红原鸡的亲缘关系，因此该片段最可能经杂交来自灰原鸡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表达较低，腿部皮肤积累的类胡萝卜素较多；停止补喂胡萝卜和苜蓿后，黄皮型母鸡产蛋早期的蛋黄叶黄素含量也高于红原鸡型母鸡</w:t>
      </w:r>
      <w:r>
        <w:rPr>
          <w:vertAlign w:val="superscript"/>
        </w:rPr>
        <w:t xml:space="preserve">[23]</w:t>
      </w:r>
      <w:r>
        <w:t xml:space="preserve">。全基因组分析在多个鸡群中又识别出8处灰原鸡来源的候选区域，并检出家鸡或红原鸡向灰原鸡的反向输入</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。斯里兰卡原鸡（</w:t>
      </w:r>
      <w:r>
        <w:rPr>
          <w:i/>
        </w:rPr>
        <w:t xml:space="preserve">G. lafayettii</w:t>
      </w:r>
      <w:r>
        <w:t xml:space="preserve">）和绿原鸡（</w:t>
      </w:r>
      <w:r>
        <w:rPr>
          <w:i/>
        </w:rPr>
        <w:t xml:space="preserve">G. varius</w:t>
      </w:r>
      <w:r>
        <w:t xml:space="preserve">）的核片段实例较少。斯里兰卡地方鸡的线粒体比较，未显示斯里兰卡原鸡的母系贡献</w:t>
      </w:r>
      <w:r>
        <w:rPr>
          <w:vertAlign w:val="superscript"/>
        </w:rPr>
        <w:t xml:space="preserve">[26]</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p>
    <w:p>
      <w:pPr>
        <w:pStyle w:val="Heading1"/>
      </w:pPr>
      <w:r>
        <w:t xml:space="preserve">4 初始驯化的地点与过程</w:t>
      </w:r>
    </w:p>
    <w:p>
      <w:pPr>
        <w:pStyle w:val="Heading2"/>
      </w:pPr>
      <w:r>
        <w:t xml:space="preserve">4.1 初始驯化的地点与年代</w:t>
      </w:r>
    </w:p>
    <w:p>
      <w:pPr>
        <w:jc w:val="both"/>
      </w:pPr>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。骨骼重鉴表明，中国中北部18处遗址原报的429件鸡骨均非鸡骨</w:t>
      </w:r>
      <w:r>
        <w:rPr>
          <w:vertAlign w:val="superscript"/>
        </w:rPr>
        <w:t xml:space="preserve">[34]</w:t>
      </w:r>
      <w:r>
        <w:t xml:space="preserve">；大地湾的疑似鸡骨则属于以谷物为食的雉鸡</w:t>
      </w:r>
      <w:r>
        <w:rPr>
          <w:vertAlign w:val="superscript"/>
        </w:rPr>
        <w:t xml:space="preserve">[35,36]</w:t>
      </w:r>
      <w:r>
        <w:t xml:space="preserve">。这些重鉴结果使中国北方早全新世驯化的主张失去了主要考古支撑。</w:t>
      </w:r>
    </w:p>
    <w:p>
      <w:pPr>
        <w:jc w:val="both"/>
      </w:pPr>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p>
    <w:p>
      <w:pPr>
        <w:jc w:val="both"/>
      </w:pPr>
      <w:r>
        <w:t xml:space="preserve">泰国Ban Non Wat发现了候选鸡骨</w:t>
      </w:r>
      <w:r>
        <w:rPr>
          <w:vertAlign w:val="superscript"/>
        </w:rPr>
        <w:t xml:space="preserve">[38]</w:t>
      </w:r>
      <w:r>
        <w:t xml:space="preserve">，该遗址较晚阶段遗存的古线粒体序列也确认了原鸡属身份</w:t>
      </w:r>
      <w:r>
        <w:rPr>
          <w:vertAlign w:val="superscript"/>
        </w:rPr>
        <w:t xml:space="preserve">[39]</w:t>
      </w:r>
      <w:r>
        <w:t xml:space="preserve">。一项全球综合评估将该遗址约公元前1650～1250年的遗存列为最早的明确家鸡记录</w:t>
      </w:r>
      <w:r>
        <w:rPr>
          <w:vertAlign w:val="superscript"/>
        </w:rPr>
        <w:t xml:space="preserve">[37]</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。泰国与云南的候选地点都位于</w:t>
      </w:r>
      <w:r>
        <w:rPr>
          <w:i/>
        </w:rPr>
        <w:t xml:space="preserve">G. g. spadiceus</w:t>
      </w:r>
      <w:r>
        <w:t xml:space="preserve">现今的分布区（中国西南、泰国北部和缅甸）内或其附近，与遗传证据指向的区域相接</w:t>
      </w:r>
      <w:r>
        <w:rPr>
          <w:vertAlign w:val="superscript"/>
        </w:rPr>
        <w:t xml:space="preserve">[18]</w:t>
      </w:r>
      <w:r>
        <w:t xml:space="preserve">。多重序列马尔可夫溯祖模型（MSMC）估计，家鸡与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w:t>
      </w:r>
    </w:p>
    <w:p>
      <w:pPr>
        <w:pStyle w:val="Heading2"/>
      </w:pPr>
      <w:r>
        <w:t xml:space="preserve">4.2 农业共栖与持续饲养</w:t>
      </w:r>
    </w:p>
    <w:p>
      <w:pPr>
        <w:jc w:val="both"/>
      </w:pPr>
      <w:r>
        <w:t xml:space="preserve">这一带早期家鸡的出现，与稻、粟农业的扩散有关。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。这一过程符合动物驯化的共栖路径：人类先改变动物的食物和生境，再逐步加强对其繁殖和生存的管理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。不过，接近聚落还不等于被饲养，大地湾以谷物为食的雉鸡就是一例</w:t>
      </w:r>
      <w:r>
        <w:rPr>
          <w:vertAlign w:val="superscript"/>
        </w:rPr>
        <w:t xml:space="preserve">[35]</w:t>
      </w:r>
      <w:r>
        <w:t xml:space="preserve">。原鸡还需经过人类的容纳和留养，才能进入持续饲养。图1概括了农业共栖、持续饲养、传播和后续变化之间的联系。</w:t>
      </w:r>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。图中四个部分概括的是可以相互重叠的过程，不表示界限分明的年代阶段。家鸡的主要核祖源与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p>
    <w:p>
      <w:pPr>
        <w:pStyle w:val="Heading1"/>
      </w:pPr>
      <w:r>
        <w:t xml:space="preserve">5 家鸡的全球传播</w:t>
      </w:r>
    </w:p>
    <w:p>
      <w:pPr>
        <w:jc w:val="both"/>
      </w:pPr>
      <w:r>
        <w:t xml:space="preserve">家鸡从东南亚半岛和中国西南向外传播，于公元前2千纪后期到达中国中部、南亚和美索不达米亚</w:t>
      </w:r>
      <w:r>
        <w:rPr>
          <w:vertAlign w:val="superscript"/>
        </w:rPr>
        <w:t xml:space="preserve">[37]</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。向南，非洲之角Mezber的鸡骨直接年代为公元前820～595年，研究者将其与南阿拉伯和红海的交流联系起来</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p>
    <w:p>
      <w:pPr>
        <w:jc w:val="both"/>
      </w:pPr>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，随后到达夏威夷和Rapa Nui；Niue、夏威夷和Rapa Nui复核所得的22条可重复古鸡母系序列均属D单倍群</w:t>
      </w:r>
      <w:r>
        <w:rPr>
          <w:vertAlign w:val="superscript"/>
        </w:rPr>
        <w:t xml:space="preserve">[59]</w:t>
      </w:r>
      <w:r>
        <w:t xml:space="preserve">。</w:t>
      </w:r>
    </w:p>
    <w:p>
      <w:pPr>
        <w:jc w:val="both"/>
      </w:pPr>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；英国较早的鸡多为完整埋葬，并有老龄个体和骨折愈合的记录，说明部分鸡受到长期照护</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。在东亚，C1亚单倍群和A单倍群在斗鸡中富集，其较晚扩张可能与斗鸡的育种和传播有关</w:t>
      </w:r>
      <w:r>
        <w:rPr>
          <w:vertAlign w:val="superscript"/>
        </w:rPr>
        <w:t xml:space="preserve">[9]</w:t>
      </w:r>
      <w:r>
        <w:t xml:space="preserve">。这些记录表明，鸡的出现与集中的蛋肉生产并不总是同步。</w:t>
      </w:r>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；新的遗址研究支持该地存在前哥伦布时期的活动，却未发现明确的波利尼西亚接触证据</w:t>
      </w:r>
      <w:r>
        <w:rPr>
          <w:vertAlign w:val="superscript"/>
        </w:rPr>
        <w:t xml:space="preserve">[65]</w:t>
      </w:r>
      <w:r>
        <w:t xml:space="preserve">。目前更清楚的是殖民时期伊比利亚鸡与加勒比地区古鸡之间的母系联系</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。M1表示南亚经东非传入马达加斯加的旧假说，M2表示东非与马达加斯加分别接受外来种源的模型；M2的来源参照包含印度和非洲大陆群体，其起点为来源集合的示意位置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Peters等综合评估将最早阶段遗存列为早期家鸡记录；较晚阶段古DNA仅确认原鸡属身份，不能直接验证最早阶段的家养属性。幼鸟及繁殖候选仍需按各自分期判断。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原文认为两件鸡骨与相应遗址背景年代相符，但原论文表2所列直接校准区间与原报背景年代未见重叠，二者的对应关系尚需核实，不宜据此确定具体传入年份。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Buto：相关层位跨赛特至罗马时期；Tell el-Maskhuta：约公元前320～200年组合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两地鸡骨提供下埃及存在记录；Buto只能定位较宽时期，Tell el-Maskhuta所列组合属于希腊化背景。</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Nenumbo为Peters等转引的海洋储库校正日期；Tongoleleka为原研究对6个个体的加权合并区间。支持太平洋西南部较早已有鸡。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公元前1千纪早期；鸡骨食性校正与遗址沉积模型年代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后续定年结合食性偏移及贝叶斯沉积模型，支持拉皮塔时期已有鸡；不以遗址占居期给全部鸡骨赋同一日期。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个体年代、遗址背景与传播来源分别受到检验；现有证据尚不足以确定前哥伦布时期的波利尼西亚传入。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古线粒体短片段与中世纪伊比利亚鸡共享单倍型，结合殖民背景支持跨大西洋输入。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r>
        <w:rPr>
          <w:rFonts w:ascii="Times New Roman" w:hAnsi="Times New Roman" w:eastAsia="宋体"/>
          <w:b w:val="0"/>
          <w:i w:val="0"/>
          <w:color w:val="000000"/>
          <w:sz w:val="19"/>
        </w:rPr>
        <w:t>cal BP以公元1950年为基准。Nenumbo沿用Peters等所载储库校正区间（95%概率）；Tongoleleka沿用Steadman等原研究对6个个体的加权合并区间，不能视为每个个体均获得同一精确日期</w:t>
      </w:r>
      <w:r>
        <w:rPr>
          <w:rFonts w:ascii="Times New Roman" w:hAnsi="Times New Roman" w:eastAsia="宋体"/>
          <w:b w:val="0"/>
          <w:i w:val="0"/>
          <w:color w:val="000000"/>
          <w:sz w:val="19"/>
          <w:vertAlign w:val="superscript"/>
        </w:rPr>
        <w:t>[37,56]</w:t>
      </w:r>
      <w:r>
        <w:rPr>
          <w:rFonts w:ascii="Times New Roman" w:hAnsi="Times New Roman" w:eastAsia="宋体"/>
          <w:b w:val="0"/>
          <w:i w:val="0"/>
          <w:color w:val="000000"/>
          <w:sz w:val="19"/>
        </w:rPr>
        <w:t>。</w:t>
      </w:r>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pStyle w:val="Heading2"/>
      </w:pPr>
      <w:r>
        <w:t xml:space="preserve">6.1 环境适应与抗病性</w:t>
      </w:r>
    </w:p>
    <w:p>
      <w:pPr>
        <w:jc w:val="both"/>
      </w:pPr>
      <w:r>
        <w:rPr>
          <w:b/>
        </w:rPr>
        <w:t xml:space="preserve">高海拔适应。</w:t>
      </w:r>
      <w:r>
        <w:t xml:space="preserve">高海拔环境中的低氧直接影响鸡胚发育和孵化。在海拔2900 m的孵化试验中，藏鸡和低地矮小鸡的孵化率分别为79.72%和31.69%；补充氧气后，低地矮小鸡的孵化率上升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）相关候选基因。在淮南鸡分离群体中，携带</w:t>
      </w:r>
      <w:r>
        <w:rPr>
          <w:i/>
        </w:rPr>
        <w:t xml:space="preserve">TSHR</w:t>
      </w:r>
      <w:r>
        <w:t xml:space="preserve"> Gly558Arg变异的纯合子经35±1℃、12 h热应激试验后，血清丙氨酸氨基转移酶、乳酸脱氢酶和肌酸激酶水平低于野生型</w:t>
      </w:r>
      <w:r>
        <w:rPr>
          <w:vertAlign w:val="superscript"/>
        </w:rPr>
        <w:t xml:space="preserve">[84]</w:t>
      </w:r>
      <w:r>
        <w:t xml:space="preserve">。该基因与光周期及繁殖反应的关系见第6.2节。</w:t>
      </w:r>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参与线粒体氧化磷酸化，其多个位点在不同温度地区的鸡群间呈频率分化；波兰和芬兰鸡群也显示出与寒冷地区中国鸡群相近的分化模式</w:t>
      </w:r>
      <w:r>
        <w:rPr>
          <w:vertAlign w:val="superscript"/>
        </w:rPr>
        <w:t xml:space="preserve">[88]</w:t>
      </w:r>
      <w:r>
        <w:t xml:space="preserve">。</w:t>
      </w:r>
    </w:p>
    <w:p>
      <w:pPr>
        <w:jc w:val="both"/>
      </w:pPr>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。马立克病抗性品系与易感品系的基因组比较则检出含有</w:t>
      </w:r>
      <w:r>
        <w:rPr>
          <w:i/>
        </w:rPr>
        <w:t xml:space="preserve">AKT1</w:t>
      </w:r>
      <w:r>
        <w:t xml:space="preserve">、</w:t>
      </w:r>
      <w:r>
        <w:rPr>
          <w:i/>
        </w:rPr>
        <w:t xml:space="preserve">API5</w:t>
      </w:r>
      <w:r>
        <w:t xml:space="preserve">、</w:t>
      </w:r>
      <w:r>
        <w:rPr>
          <w:i/>
        </w:rPr>
        <w:t xml:space="preserve">TNFSF13B</w:t>
      </w:r>
      <w:r>
        <w:t xml:space="preserve">等基因的候选区域，涉及细胞存活、凋亡及B细胞调节</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p>
    <w:p>
      <w:pPr>
        <w:jc w:val="both"/>
      </w:pPr>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内含子的195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。44个品种的517只纤维黑色素沉着鸡共享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pStyle w:val="Heading1"/>
      </w:pPr>
      <w:r>
        <w:t xml:space="preserve">7 基因交流</w:t>
      </w:r>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。以历史标本为参照，51只家鸡与63只原鸡的基因组比较显示，近百年来家鸡输入增加；其中部分现代红原鸡的全局家鸡祖源估计约占20%～50%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p>
    <w:p>
      <w:pPr>
        <w:jc w:val="both"/>
      </w:pPr>
      <w:r>
        <w:t xml:space="preserve">原鸡属的系统基因组研究提示，一些种间交流早于家鸡驯化</w:t>
      </w:r>
      <w:r>
        <w:rPr>
          <w:vertAlign w:val="superscript"/>
        </w:rPr>
        <w:t xml:space="preserve">[133]</w:t>
      </w:r>
      <w:r>
        <w:t xml:space="preserve">。圈养与野外样本也存在差别：所研究的圈养灰原鸡常染色体基因组中约10%的成分来自</w:t>
      </w:r>
      <w:r>
        <w:rPr>
          <w:i/>
        </w:rPr>
        <w:t xml:space="preserve">G. gallus</w:t>
      </w:r>
      <w:r>
        <w:t xml:space="preserve">，同一研究的两只野生灰原鸡未检出相应信号</w:t>
      </w:r>
      <w:r>
        <w:rPr>
          <w:vertAlign w:val="superscript"/>
        </w:rPr>
        <w:t xml:space="preserve">[134]</w:t>
      </w:r>
      <w:r>
        <w:t xml:space="preserve">。杂交回交实验还发现，保留家鸡来源的遗传成分的后代仍可呈现典型原鸡外观</w:t>
      </w:r>
      <w:r>
        <w:rPr>
          <w:vertAlign w:val="superscript"/>
        </w:rPr>
        <w:t xml:space="preserve">[135]</w:t>
      </w:r>
      <w:r>
        <w:t xml:space="preserve">。</w:t>
      </w:r>
    </w:p>
    <w:p>
      <w:pPr>
        <w:jc w:val="both"/>
      </w:pPr>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。迁移模型还检出上海新杨蛋鸡指向红原鸡参照群体，以及日本圈养红原鸡指向白来航的迁移边</w:t>
      </w:r>
      <w:r>
        <w:rPr>
          <w:vertAlign w:val="superscript"/>
        </w:rPr>
        <w:t xml:space="preserve">[137,138]</w:t>
      </w:r>
      <w:r>
        <w:t xml:space="preserve">。这些研究尚未确定输入原生野生原鸡的具体商业供体与传播路径。</w:t>
      </w:r>
    </w:p>
    <w:p>
      <w:pPr>
        <w:pStyle w:val="Heading2"/>
      </w:pPr>
      <w:r>
        <w:t xml:space="preserve">7.2 商业种源与地方群体的交流</w:t>
      </w:r>
    </w:p>
    <w:p>
      <w:pPr>
        <w:jc w:val="both"/>
      </w:pPr>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。华南的微卫星研究较早检出了商业鸡与地方鸡的混合信号</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。商业成分的输入也见于其他地方群体：部分藏鸡带有白来航相关成分，贵州部分地方品种显示上海新杨蛋鸡相关输入，江西部分品种则检出欧洲商业鸡的混合信号</w:t>
      </w:r>
      <w:r>
        <w:rPr>
          <w:vertAlign w:val="superscript"/>
        </w:rPr>
        <w:t xml:space="preserve">[137,144,145]</w:t>
      </w:r>
      <w:r>
        <w:t xml:space="preserve">。</w:t>
      </w:r>
    </w:p>
    <w:p>
      <w:pPr>
        <w:jc w:val="both"/>
      </w:pPr>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。摩洛哥、喀麦隆和阿尔及利亚的部分地方群体存在商业相关基因交流，贝宁、加纳和科特迪瓦受检群体中的影响则有限</w:t>
      </w:r>
      <w:r>
        <w:rPr>
          <w:vertAlign w:val="superscript"/>
        </w:rPr>
        <w:t xml:space="preserve">[148,149]</w:t>
      </w:r>
      <w:r>
        <w:t xml:space="preserve">。东非657只村落鸡中，仅少数个体具有较高的商业簇归属，商业输入不足以解释该区域主要的遗传结构</w:t>
      </w:r>
      <w:r>
        <w:rPr>
          <w:vertAlign w:val="superscript"/>
        </w:rPr>
        <w:t xml:space="preserve">[150]</w:t>
      </w:r>
      <w:r>
        <w:t xml:space="preserve">。卢旺达部分地方鸡表现出与SASSO的混合特征，南美多个地方群体则带有现代蛋鸡相关祖源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r>
        <w:t xml:space="preserve">红色、棕色和蓝色箭头分别表示红原鸡、地方与传统家鸡、商业鸡的遗传成分输出，箭头由输出群体指向接受群体。实线概括群体遗传与历史证据支持的祖源联系和后续渗入</w:t>
      </w:r>
      <w:r>
        <w:rPr>
          <w:vertAlign w:val="superscript"/>
        </w:rPr>
        <w:t xml:space="preserve">[18,19,21,131,139,140,142]</w:t>
      </w:r>
      <w:r>
        <w:t xml:space="preserve">；虚线概括模型推断或假说，包括以参照红原鸡或圈养红原鸡为对象的商业相关联系</w:t>
      </w:r>
      <w:r>
        <w:rPr>
          <w:vertAlign w:val="superscript"/>
        </w:rPr>
        <w:t xml:space="preserve">[137,138]</w:t>
      </w:r>
      <w:r>
        <w:t xml:space="preserve">。图中有关直接渗入和育种利用的标注为可能性表述；“传播”和“逸生”标注表示潜在的接触情境。商业鸡属于家鸡，图中按用途单列；鸡的图标只表示群体类别，箭头宽度不表示交流量。</w:t>
      </w:r>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195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