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E32E2" w14:textId="77777777" w:rsidR="009615EE" w:rsidRPr="006F2B19" w:rsidRDefault="009615EE" w:rsidP="009615EE">
      <w:pPr>
        <w:pStyle w:val="Heading1"/>
        <w:jc w:val="center"/>
        <w:rPr>
          <w:lang w:val="en-US"/>
        </w:rPr>
      </w:pPr>
      <w:r w:rsidRPr="006F2B19">
        <w:rPr>
          <w:lang w:val="en-US"/>
        </w:rPr>
        <w:t>Appendix</w:t>
      </w:r>
      <w:r>
        <w:rPr>
          <w:rFonts w:hint="eastAsia"/>
          <w:lang w:val="en-US"/>
        </w:rPr>
        <w:t xml:space="preserve"> A</w:t>
      </w:r>
    </w:p>
    <w:p w14:paraId="1672E4DE" w14:textId="77777777" w:rsidR="009615EE" w:rsidRPr="006F2B19" w:rsidRDefault="009615EE" w:rsidP="009615EE">
      <w:pPr>
        <w:pStyle w:val="NoSpacing"/>
        <w:spacing w:before="120" w:after="163"/>
        <w:rPr>
          <w:lang w:val="en-US"/>
        </w:rPr>
      </w:pPr>
      <w:r w:rsidRPr="006F2B19">
        <w:rPr>
          <w:lang w:val="en-US"/>
        </w:rPr>
        <w:t xml:space="preserve">Table A1. Summary of the </w:t>
      </w:r>
      <w:r>
        <w:rPr>
          <w:rFonts w:hint="eastAsia"/>
          <w:lang w:val="en-US"/>
        </w:rPr>
        <w:t xml:space="preserve">retained </w:t>
      </w:r>
      <w:r w:rsidRPr="006F2B19">
        <w:rPr>
          <w:lang w:val="en-US"/>
        </w:rPr>
        <w:t xml:space="preserve">risk factors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4"/>
        <w:gridCol w:w="675"/>
        <w:gridCol w:w="491"/>
        <w:gridCol w:w="5508"/>
        <w:gridCol w:w="5152"/>
      </w:tblGrid>
      <w:tr w:rsidR="009615EE" w:rsidRPr="00B261AF" w14:paraId="62FD2EE1" w14:textId="77777777" w:rsidTr="00177BA0">
        <w:trPr>
          <w:trHeight w:val="270"/>
        </w:trPr>
        <w:tc>
          <w:tcPr>
            <w:tcW w:w="456" w:type="pct"/>
            <w:noWrap/>
            <w:vAlign w:val="center"/>
            <w:hideMark/>
          </w:tcPr>
          <w:p w14:paraId="50C2C72E" w14:textId="77777777" w:rsidR="009615EE" w:rsidRPr="00B261AF" w:rsidRDefault="009615EE" w:rsidP="00177BA0">
            <w:pPr>
              <w:spacing w:after="0"/>
              <w:jc w:val="center"/>
              <w:rPr>
                <w:rFonts w:ascii="Times New Roman" w:hAnsi="Times New Roman"/>
                <w:b/>
                <w:bCs/>
                <w:color w:val="000000"/>
                <w:sz w:val="20"/>
                <w:szCs w:val="20"/>
                <w:lang w:val="en-US"/>
              </w:rPr>
            </w:pPr>
            <w:r>
              <w:rPr>
                <w:rFonts w:hint="eastAsia"/>
                <w:b/>
                <w:bCs/>
                <w:color w:val="000000"/>
                <w:sz w:val="20"/>
                <w:szCs w:val="20"/>
                <w:lang w:val="en-US"/>
              </w:rPr>
              <w:t>Group</w:t>
            </w:r>
          </w:p>
        </w:tc>
        <w:tc>
          <w:tcPr>
            <w:tcW w:w="262" w:type="pct"/>
            <w:noWrap/>
            <w:vAlign w:val="center"/>
            <w:hideMark/>
          </w:tcPr>
          <w:p w14:paraId="5B6001D5" w14:textId="77777777" w:rsidR="009615EE" w:rsidRPr="00B261AF" w:rsidRDefault="009615EE" w:rsidP="00177BA0">
            <w:pPr>
              <w:spacing w:after="0"/>
              <w:jc w:val="center"/>
              <w:rPr>
                <w:b/>
                <w:bCs/>
                <w:color w:val="000000"/>
                <w:sz w:val="20"/>
                <w:szCs w:val="20"/>
                <w:lang w:val="en-US"/>
              </w:rPr>
            </w:pPr>
            <w:r w:rsidRPr="00B261AF">
              <w:rPr>
                <w:b/>
                <w:bCs/>
                <w:color w:val="000000"/>
                <w:sz w:val="20"/>
                <w:szCs w:val="20"/>
                <w:lang w:val="en-US"/>
              </w:rPr>
              <w:t xml:space="preserve">Original </w:t>
            </w:r>
            <w:r>
              <w:rPr>
                <w:rFonts w:hint="eastAsia"/>
                <w:b/>
                <w:bCs/>
                <w:color w:val="000000"/>
                <w:sz w:val="20"/>
                <w:szCs w:val="20"/>
                <w:lang w:val="en-US"/>
              </w:rPr>
              <w:t>#</w:t>
            </w:r>
            <w:r w:rsidRPr="00B261AF">
              <w:rPr>
                <w:b/>
                <w:bCs/>
                <w:color w:val="000000"/>
                <w:sz w:val="20"/>
                <w:szCs w:val="20"/>
                <w:lang w:val="en-US"/>
              </w:rPr>
              <w:t xml:space="preserve"> in</w:t>
            </w:r>
            <w:r>
              <w:rPr>
                <w:rFonts w:hint="eastAsia"/>
                <w:b/>
                <w:bCs/>
                <w:color w:val="000000"/>
                <w:sz w:val="20"/>
                <w:szCs w:val="20"/>
                <w:lang w:val="en-US"/>
              </w:rPr>
              <w:t xml:space="preserve"> </w:t>
            </w:r>
            <w:r w:rsidRPr="0071515C">
              <w:rPr>
                <w:b/>
                <w:bCs/>
                <w:color w:val="000000"/>
                <w:sz w:val="20"/>
                <w:szCs w:val="20"/>
                <w:lang w:val="en-US"/>
              </w:rPr>
              <w:fldChar w:fldCharType="begin"/>
            </w:r>
            <w:r>
              <w:rPr>
                <w:b/>
                <w:bCs/>
                <w:color w:val="000000"/>
                <w:sz w:val="20"/>
                <w:szCs w:val="20"/>
                <w:lang w:val="en-US"/>
              </w:rPr>
              <w:instrText xml:space="preserve"> ADDIN ZOTERO_ITEM CSL_CITATION {"citationID":"gtWOuvuK","properties":{"formattedCitation":"[15]","plainCitation":"[15]","noteIndex":0},"citationItems":[{"id":4982,"uris":["http://zotero.org/users/11778082/items/J4WJKZ8W"],"itemData":{"id":4982,"type":"article-journal","container-title":"Developments in the Built Environment","DOI":"10.1016/j.dibe.2024.100570","ISSN":"26661659","journalAbbreviation":"Developments in the Built Environment","language":"en","page":"100570","source":"DOI.org (Crossref)","title":"Assessing cyber risks in construction projects: A machine learning-centric approach","title-short":"Assessing cyber risks in construction projects","volume":"20","author":[{"family":"Yao","given":"Dongchi"},{"family":"García De Soto","given":"Borja"}],"issued":{"date-parts":[["2024",12]]}}}],"schema":"https://github.com/citation-style-language/schema/raw/master/csl-citation.json"} </w:instrText>
            </w:r>
            <w:r w:rsidRPr="0071515C">
              <w:rPr>
                <w:b/>
                <w:bCs/>
                <w:color w:val="000000"/>
                <w:sz w:val="20"/>
                <w:szCs w:val="20"/>
                <w:lang w:val="en-US"/>
              </w:rPr>
              <w:fldChar w:fldCharType="separate"/>
            </w:r>
            <w:r w:rsidRPr="0071515C">
              <w:rPr>
                <w:b/>
                <w:bCs/>
                <w:color w:val="000000"/>
                <w:sz w:val="20"/>
                <w:szCs w:val="20"/>
                <w:lang w:val="en-US"/>
              </w:rPr>
              <w:t>[15]</w:t>
            </w:r>
            <w:r w:rsidRPr="0071515C">
              <w:rPr>
                <w:b/>
                <w:bCs/>
                <w:color w:val="000000"/>
                <w:sz w:val="20"/>
                <w:szCs w:val="20"/>
                <w:lang w:val="en-US"/>
              </w:rPr>
              <w:fldChar w:fldCharType="end"/>
            </w:r>
          </w:p>
        </w:tc>
        <w:tc>
          <w:tcPr>
            <w:tcW w:w="189" w:type="pct"/>
            <w:noWrap/>
            <w:vAlign w:val="center"/>
            <w:hideMark/>
          </w:tcPr>
          <w:p w14:paraId="0D332538" w14:textId="77777777" w:rsidR="009615EE" w:rsidRPr="00B261AF" w:rsidRDefault="009615EE" w:rsidP="00177BA0">
            <w:pPr>
              <w:spacing w:after="0"/>
              <w:jc w:val="center"/>
              <w:rPr>
                <w:b/>
                <w:bCs/>
                <w:color w:val="000000"/>
                <w:sz w:val="20"/>
                <w:szCs w:val="20"/>
                <w:lang w:val="en-US"/>
              </w:rPr>
            </w:pPr>
            <w:r w:rsidRPr="00B261AF">
              <w:rPr>
                <w:b/>
                <w:bCs/>
                <w:color w:val="000000"/>
                <w:sz w:val="20"/>
                <w:szCs w:val="20"/>
                <w:lang w:val="en-US"/>
              </w:rPr>
              <w:t>New</w:t>
            </w:r>
            <w:r>
              <w:rPr>
                <w:rFonts w:hint="eastAsia"/>
                <w:b/>
                <w:bCs/>
                <w:color w:val="000000"/>
                <w:sz w:val="20"/>
                <w:szCs w:val="20"/>
                <w:lang w:val="en-US"/>
              </w:rPr>
              <w:t xml:space="preserve"> #</w:t>
            </w:r>
          </w:p>
        </w:tc>
        <w:tc>
          <w:tcPr>
            <w:tcW w:w="2115" w:type="pct"/>
            <w:noWrap/>
            <w:vAlign w:val="center"/>
            <w:hideMark/>
          </w:tcPr>
          <w:p w14:paraId="7E278AD7" w14:textId="77777777" w:rsidR="009615EE" w:rsidRPr="00B261AF" w:rsidRDefault="009615EE" w:rsidP="00177BA0">
            <w:pPr>
              <w:spacing w:after="0"/>
              <w:jc w:val="center"/>
              <w:rPr>
                <w:b/>
                <w:bCs/>
                <w:color w:val="000000"/>
                <w:sz w:val="20"/>
                <w:szCs w:val="20"/>
                <w:lang w:val="en-US"/>
              </w:rPr>
            </w:pPr>
            <w:r w:rsidRPr="00B261AF">
              <w:rPr>
                <w:b/>
                <w:bCs/>
                <w:color w:val="000000"/>
                <w:sz w:val="20"/>
                <w:szCs w:val="20"/>
                <w:lang w:val="en-US"/>
              </w:rPr>
              <w:t>Risk factor</w:t>
            </w:r>
          </w:p>
        </w:tc>
        <w:tc>
          <w:tcPr>
            <w:tcW w:w="1978" w:type="pct"/>
            <w:noWrap/>
            <w:vAlign w:val="center"/>
            <w:hideMark/>
          </w:tcPr>
          <w:p w14:paraId="4E064E78" w14:textId="77777777" w:rsidR="009615EE" w:rsidRPr="00B261AF" w:rsidRDefault="009615EE" w:rsidP="00177BA0">
            <w:pPr>
              <w:spacing w:after="0"/>
              <w:jc w:val="center"/>
              <w:rPr>
                <w:b/>
                <w:bCs/>
                <w:color w:val="000000"/>
                <w:sz w:val="20"/>
                <w:szCs w:val="20"/>
                <w:lang w:val="en-US"/>
              </w:rPr>
            </w:pPr>
            <w:r w:rsidRPr="00B261AF">
              <w:rPr>
                <w:b/>
                <w:bCs/>
                <w:color w:val="000000"/>
                <w:sz w:val="20"/>
                <w:szCs w:val="20"/>
                <w:lang w:val="en-US"/>
              </w:rPr>
              <w:t>Scales</w:t>
            </w:r>
          </w:p>
        </w:tc>
      </w:tr>
      <w:tr w:rsidR="009615EE" w:rsidRPr="006F2B19" w14:paraId="2C3BFD31" w14:textId="77777777" w:rsidTr="00177BA0">
        <w:trPr>
          <w:trHeight w:val="270"/>
        </w:trPr>
        <w:tc>
          <w:tcPr>
            <w:tcW w:w="456" w:type="pct"/>
            <w:vMerge w:val="restart"/>
            <w:noWrap/>
            <w:vAlign w:val="center"/>
            <w:hideMark/>
          </w:tcPr>
          <w:p w14:paraId="25FC4D0D" w14:textId="77777777" w:rsidR="009615EE" w:rsidRPr="006F2B19" w:rsidRDefault="009615EE" w:rsidP="00177BA0">
            <w:pPr>
              <w:spacing w:after="0"/>
              <w:jc w:val="center"/>
              <w:rPr>
                <w:color w:val="000000"/>
                <w:sz w:val="20"/>
                <w:szCs w:val="20"/>
                <w:lang w:val="en-US"/>
              </w:rPr>
            </w:pPr>
            <w:bookmarkStart w:id="0" w:name="_Hlk196660242"/>
            <w:bookmarkStart w:id="1" w:name="_Hlk196749031"/>
            <w:r>
              <w:rPr>
                <w:color w:val="000000"/>
                <w:sz w:val="20"/>
                <w:szCs w:val="20"/>
                <w:lang w:val="en-US"/>
              </w:rPr>
              <w:t>Overall project information</w:t>
            </w:r>
          </w:p>
        </w:tc>
        <w:tc>
          <w:tcPr>
            <w:tcW w:w="262" w:type="pct"/>
            <w:noWrap/>
            <w:vAlign w:val="center"/>
            <w:hideMark/>
          </w:tcPr>
          <w:p w14:paraId="5B24A0FF"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1.4</w:t>
            </w:r>
          </w:p>
        </w:tc>
        <w:tc>
          <w:tcPr>
            <w:tcW w:w="189" w:type="pct"/>
            <w:noWrap/>
            <w:vAlign w:val="center"/>
            <w:hideMark/>
          </w:tcPr>
          <w:p w14:paraId="27413619"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1.1</w:t>
            </w:r>
          </w:p>
        </w:tc>
        <w:tc>
          <w:tcPr>
            <w:tcW w:w="2115" w:type="pct"/>
            <w:noWrap/>
            <w:vAlign w:val="center"/>
            <w:hideMark/>
          </w:tcPr>
          <w:p w14:paraId="0BC5204C"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What is the project duration?</w:t>
            </w:r>
          </w:p>
        </w:tc>
        <w:tc>
          <w:tcPr>
            <w:tcW w:w="1978" w:type="pct"/>
            <w:noWrap/>
            <w:vAlign w:val="center"/>
            <w:hideMark/>
          </w:tcPr>
          <w:p w14:paraId="2474B477"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[&lt;= 3 months, 3 – 6 months, 6 – 12 months, 12 – 24 months, &gt; 24 months]</w:t>
            </w:r>
          </w:p>
        </w:tc>
      </w:tr>
      <w:bookmarkEnd w:id="0"/>
      <w:tr w:rsidR="009615EE" w:rsidRPr="006F2B19" w14:paraId="29E137D9" w14:textId="77777777" w:rsidTr="00177BA0">
        <w:trPr>
          <w:trHeight w:val="270"/>
        </w:trPr>
        <w:tc>
          <w:tcPr>
            <w:tcW w:w="456" w:type="pct"/>
            <w:vMerge/>
            <w:vAlign w:val="center"/>
            <w:hideMark/>
          </w:tcPr>
          <w:p w14:paraId="146D10FA" w14:textId="77777777" w:rsidR="009615EE" w:rsidRPr="006F2B19" w:rsidRDefault="009615EE" w:rsidP="00177BA0">
            <w:pPr>
              <w:spacing w:after="0"/>
              <w:jc w:val="center"/>
              <w:rPr>
                <w:color w:val="000000"/>
                <w:sz w:val="20"/>
                <w:szCs w:val="20"/>
                <w:lang w:val="en-US"/>
              </w:rPr>
            </w:pPr>
          </w:p>
        </w:tc>
        <w:tc>
          <w:tcPr>
            <w:tcW w:w="262" w:type="pct"/>
            <w:noWrap/>
            <w:vAlign w:val="center"/>
            <w:hideMark/>
          </w:tcPr>
          <w:p w14:paraId="373107EF"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1.6</w:t>
            </w:r>
          </w:p>
        </w:tc>
        <w:tc>
          <w:tcPr>
            <w:tcW w:w="189" w:type="pct"/>
            <w:noWrap/>
            <w:vAlign w:val="center"/>
            <w:hideMark/>
          </w:tcPr>
          <w:p w14:paraId="6F0A2FBE"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1.2</w:t>
            </w:r>
          </w:p>
        </w:tc>
        <w:tc>
          <w:tcPr>
            <w:tcW w:w="2115" w:type="pct"/>
            <w:noWrap/>
            <w:vAlign w:val="center"/>
            <w:hideMark/>
          </w:tcPr>
          <w:p w14:paraId="74D676A5" w14:textId="77777777" w:rsidR="009615EE" w:rsidRPr="006F2B19" w:rsidRDefault="009615EE" w:rsidP="00177BA0">
            <w:pPr>
              <w:spacing w:after="0"/>
              <w:jc w:val="center"/>
              <w:rPr>
                <w:color w:val="000000"/>
                <w:sz w:val="20"/>
                <w:szCs w:val="20"/>
                <w:lang w:val="en-US"/>
              </w:rPr>
            </w:pPr>
            <w:bookmarkStart w:id="2" w:name="OLE_LINK30"/>
            <w:r w:rsidRPr="006F2B19">
              <w:rPr>
                <w:color w:val="000000"/>
                <w:sz w:val="20"/>
                <w:szCs w:val="20"/>
                <w:lang w:val="en-US"/>
              </w:rPr>
              <w:t>What is the project type?</w:t>
            </w:r>
            <w:bookmarkEnd w:id="2"/>
          </w:p>
        </w:tc>
        <w:tc>
          <w:tcPr>
            <w:tcW w:w="1978" w:type="pct"/>
            <w:noWrap/>
            <w:vAlign w:val="center"/>
            <w:hideMark/>
          </w:tcPr>
          <w:p w14:paraId="62928410"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[Transportation Infrastructure Projects, Government Projects, Healthcare Projects, Large-Scale Commercial Projects, Residential Projects, Other types]</w:t>
            </w:r>
          </w:p>
        </w:tc>
      </w:tr>
      <w:tr w:rsidR="009615EE" w:rsidRPr="006F2B19" w14:paraId="1315CC35" w14:textId="77777777" w:rsidTr="00177BA0">
        <w:trPr>
          <w:trHeight w:val="270"/>
        </w:trPr>
        <w:tc>
          <w:tcPr>
            <w:tcW w:w="456" w:type="pct"/>
            <w:vMerge/>
            <w:vAlign w:val="center"/>
            <w:hideMark/>
          </w:tcPr>
          <w:p w14:paraId="40285819" w14:textId="77777777" w:rsidR="009615EE" w:rsidRPr="006F2B19" w:rsidRDefault="009615EE" w:rsidP="00177BA0">
            <w:pPr>
              <w:spacing w:after="0"/>
              <w:jc w:val="center"/>
              <w:rPr>
                <w:color w:val="000000"/>
                <w:sz w:val="20"/>
                <w:szCs w:val="20"/>
                <w:lang w:val="en-US"/>
              </w:rPr>
            </w:pPr>
          </w:p>
        </w:tc>
        <w:tc>
          <w:tcPr>
            <w:tcW w:w="262" w:type="pct"/>
            <w:noWrap/>
            <w:vAlign w:val="center"/>
            <w:hideMark/>
          </w:tcPr>
          <w:p w14:paraId="66C88FDF"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1.7</w:t>
            </w:r>
          </w:p>
        </w:tc>
        <w:tc>
          <w:tcPr>
            <w:tcW w:w="189" w:type="pct"/>
            <w:noWrap/>
            <w:vAlign w:val="center"/>
            <w:hideMark/>
          </w:tcPr>
          <w:p w14:paraId="37444138"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1.3</w:t>
            </w:r>
          </w:p>
        </w:tc>
        <w:tc>
          <w:tcPr>
            <w:tcW w:w="2115" w:type="pct"/>
            <w:noWrap/>
            <w:vAlign w:val="center"/>
            <w:hideMark/>
          </w:tcPr>
          <w:p w14:paraId="5086C7B3"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Whether there is a dedicated cybersecurity legal team for the project?</w:t>
            </w:r>
          </w:p>
        </w:tc>
        <w:tc>
          <w:tcPr>
            <w:tcW w:w="1978" w:type="pct"/>
            <w:noWrap/>
            <w:vAlign w:val="center"/>
            <w:hideMark/>
          </w:tcPr>
          <w:p w14:paraId="5DA80D5F"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[Yes, No, Unsure]</w:t>
            </w:r>
          </w:p>
        </w:tc>
      </w:tr>
      <w:tr w:rsidR="009615EE" w:rsidRPr="006F2B19" w14:paraId="01C7E18D" w14:textId="77777777" w:rsidTr="00177BA0">
        <w:trPr>
          <w:trHeight w:val="270"/>
        </w:trPr>
        <w:tc>
          <w:tcPr>
            <w:tcW w:w="456" w:type="pct"/>
            <w:vMerge/>
            <w:vAlign w:val="center"/>
            <w:hideMark/>
          </w:tcPr>
          <w:p w14:paraId="4647C6CC" w14:textId="77777777" w:rsidR="009615EE" w:rsidRPr="006F2B19" w:rsidRDefault="009615EE" w:rsidP="00177BA0">
            <w:pPr>
              <w:spacing w:after="0"/>
              <w:jc w:val="center"/>
              <w:rPr>
                <w:color w:val="000000"/>
                <w:sz w:val="20"/>
                <w:szCs w:val="20"/>
                <w:lang w:val="en-US"/>
              </w:rPr>
            </w:pPr>
          </w:p>
        </w:tc>
        <w:tc>
          <w:tcPr>
            <w:tcW w:w="262" w:type="pct"/>
            <w:noWrap/>
            <w:vAlign w:val="center"/>
            <w:hideMark/>
          </w:tcPr>
          <w:p w14:paraId="4AA26D21"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3.1</w:t>
            </w:r>
          </w:p>
        </w:tc>
        <w:tc>
          <w:tcPr>
            <w:tcW w:w="189" w:type="pct"/>
            <w:noWrap/>
            <w:vAlign w:val="center"/>
            <w:hideMark/>
          </w:tcPr>
          <w:p w14:paraId="54416FD7"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1.4</w:t>
            </w:r>
          </w:p>
        </w:tc>
        <w:tc>
          <w:tcPr>
            <w:tcW w:w="2115" w:type="pct"/>
            <w:noWrap/>
            <w:vAlign w:val="center"/>
            <w:hideMark/>
          </w:tcPr>
          <w:p w14:paraId="6D6C77AD"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What is the scale of your company?</w:t>
            </w:r>
          </w:p>
        </w:tc>
        <w:tc>
          <w:tcPr>
            <w:tcW w:w="1978" w:type="pct"/>
            <w:noWrap/>
            <w:vAlign w:val="center"/>
            <w:hideMark/>
          </w:tcPr>
          <w:p w14:paraId="75380940"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[&lt;= 30, 31 – 60, 61 – 100, 101 – 150, &gt; 150]</w:t>
            </w:r>
          </w:p>
        </w:tc>
      </w:tr>
      <w:tr w:rsidR="009615EE" w:rsidRPr="006F2B19" w14:paraId="1EDAFB1B" w14:textId="77777777" w:rsidTr="00177BA0">
        <w:trPr>
          <w:trHeight w:val="270"/>
        </w:trPr>
        <w:tc>
          <w:tcPr>
            <w:tcW w:w="456" w:type="pct"/>
            <w:vMerge/>
            <w:vAlign w:val="center"/>
            <w:hideMark/>
          </w:tcPr>
          <w:p w14:paraId="6C249717" w14:textId="77777777" w:rsidR="009615EE" w:rsidRPr="006F2B19" w:rsidRDefault="009615EE" w:rsidP="00177BA0">
            <w:pPr>
              <w:spacing w:after="0"/>
              <w:jc w:val="center"/>
              <w:rPr>
                <w:color w:val="000000"/>
                <w:sz w:val="20"/>
                <w:szCs w:val="20"/>
                <w:lang w:val="en-US"/>
              </w:rPr>
            </w:pPr>
          </w:p>
        </w:tc>
        <w:tc>
          <w:tcPr>
            <w:tcW w:w="262" w:type="pct"/>
            <w:noWrap/>
            <w:vAlign w:val="center"/>
            <w:hideMark/>
          </w:tcPr>
          <w:p w14:paraId="52C54864"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3.2</w:t>
            </w:r>
          </w:p>
        </w:tc>
        <w:tc>
          <w:tcPr>
            <w:tcW w:w="189" w:type="pct"/>
            <w:noWrap/>
            <w:vAlign w:val="center"/>
            <w:hideMark/>
          </w:tcPr>
          <w:p w14:paraId="7576F878"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1.5</w:t>
            </w:r>
          </w:p>
        </w:tc>
        <w:tc>
          <w:tcPr>
            <w:tcW w:w="2115" w:type="pct"/>
            <w:noWrap/>
            <w:vAlign w:val="center"/>
            <w:hideMark/>
          </w:tcPr>
          <w:p w14:paraId="7027131E"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What is the phase of the construction project when your company is involved?</w:t>
            </w:r>
          </w:p>
        </w:tc>
        <w:tc>
          <w:tcPr>
            <w:tcW w:w="1978" w:type="pct"/>
            <w:noWrap/>
            <w:vAlign w:val="center"/>
            <w:hideMark/>
          </w:tcPr>
          <w:p w14:paraId="26156BF2"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[Planning and Bidding phase, Design phase, Construction phase, Maintenance &amp; Operation phase, Demolition phase]</w:t>
            </w:r>
          </w:p>
        </w:tc>
      </w:tr>
      <w:tr w:rsidR="009615EE" w:rsidRPr="006F2B19" w14:paraId="250F03B2" w14:textId="77777777" w:rsidTr="00177BA0">
        <w:trPr>
          <w:trHeight w:val="270"/>
        </w:trPr>
        <w:tc>
          <w:tcPr>
            <w:tcW w:w="456" w:type="pct"/>
            <w:vMerge w:val="restart"/>
            <w:noWrap/>
            <w:vAlign w:val="center"/>
            <w:hideMark/>
          </w:tcPr>
          <w:p w14:paraId="51E00CA1" w14:textId="77777777" w:rsidR="009615EE" w:rsidRPr="006F2B19" w:rsidRDefault="009615EE" w:rsidP="00177BA0">
            <w:pPr>
              <w:spacing w:after="0"/>
              <w:jc w:val="center"/>
              <w:rPr>
                <w:color w:val="000000"/>
                <w:sz w:val="20"/>
                <w:szCs w:val="20"/>
                <w:lang w:val="en-US"/>
              </w:rPr>
            </w:pPr>
            <w:bookmarkStart w:id="3" w:name="_Hlk196749429"/>
            <w:r w:rsidRPr="006F2B19">
              <w:rPr>
                <w:color w:val="000000"/>
                <w:sz w:val="20"/>
                <w:szCs w:val="20"/>
                <w:lang w:val="en-US"/>
              </w:rPr>
              <w:t>Project structure</w:t>
            </w:r>
          </w:p>
        </w:tc>
        <w:tc>
          <w:tcPr>
            <w:tcW w:w="262" w:type="pct"/>
            <w:vAlign w:val="center"/>
            <w:hideMark/>
          </w:tcPr>
          <w:p w14:paraId="1B5163D1"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 xml:space="preserve">2.2 </w:t>
            </w:r>
            <w:r w:rsidRPr="006F2B19">
              <w:rPr>
                <w:color w:val="000000"/>
                <w:sz w:val="20"/>
                <w:szCs w:val="20"/>
                <w:lang w:val="en-US"/>
              </w:rPr>
              <w:br/>
              <w:t>(2.2.1 – 2.2.</w:t>
            </w:r>
            <w:r>
              <w:rPr>
                <w:rFonts w:hint="eastAsia"/>
                <w:color w:val="000000"/>
                <w:sz w:val="20"/>
                <w:szCs w:val="20"/>
                <w:lang w:val="en-US"/>
              </w:rPr>
              <w:t>3</w:t>
            </w:r>
            <w:r w:rsidRPr="006F2B19">
              <w:rPr>
                <w:color w:val="000000"/>
                <w:sz w:val="20"/>
                <w:szCs w:val="20"/>
                <w:lang w:val="en-US"/>
              </w:rPr>
              <w:t>)</w:t>
            </w:r>
          </w:p>
        </w:tc>
        <w:tc>
          <w:tcPr>
            <w:tcW w:w="189" w:type="pct"/>
            <w:noWrap/>
            <w:vAlign w:val="center"/>
            <w:hideMark/>
          </w:tcPr>
          <w:p w14:paraId="1C6F0EE9"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2.1</w:t>
            </w:r>
            <w:r w:rsidRPr="006F2B19">
              <w:rPr>
                <w:color w:val="000000"/>
                <w:sz w:val="20"/>
                <w:szCs w:val="20"/>
                <w:lang w:val="en-US"/>
              </w:rPr>
              <w:br/>
              <w:t>(2.1.1 – 2.1.3)</w:t>
            </w:r>
          </w:p>
        </w:tc>
        <w:tc>
          <w:tcPr>
            <w:tcW w:w="2115" w:type="pct"/>
            <w:vAlign w:val="center"/>
            <w:hideMark/>
          </w:tcPr>
          <w:p w14:paraId="6B9BCD25" w14:textId="77777777" w:rsidR="009615EE" w:rsidRPr="006F2B19" w:rsidRDefault="009615EE" w:rsidP="00177BA0">
            <w:pPr>
              <w:spacing w:after="0"/>
              <w:jc w:val="center"/>
              <w:rPr>
                <w:color w:val="000000"/>
                <w:sz w:val="20"/>
                <w:szCs w:val="20"/>
                <w:lang w:val="en-US"/>
              </w:rPr>
            </w:pPr>
            <w:bookmarkStart w:id="4" w:name="OLE_LINK41"/>
            <w:r w:rsidRPr="006F2B19">
              <w:rPr>
                <w:color w:val="000000"/>
                <w:sz w:val="20"/>
                <w:szCs w:val="20"/>
                <w:lang w:val="en-US"/>
              </w:rPr>
              <w:t>What is the number of sub-teams at different layers of the project?</w:t>
            </w:r>
            <w:bookmarkEnd w:id="4"/>
            <w:r w:rsidRPr="006F2B19">
              <w:rPr>
                <w:color w:val="000000"/>
                <w:sz w:val="20"/>
                <w:szCs w:val="20"/>
                <w:lang w:val="en-US"/>
              </w:rPr>
              <w:br/>
            </w:r>
            <w:r w:rsidRPr="006F2B19">
              <w:rPr>
                <w:color w:val="000000"/>
                <w:sz w:val="20"/>
                <w:szCs w:val="20"/>
                <w:lang w:val="en-US"/>
              </w:rPr>
              <w:br/>
              <w:t>(The number of sub-teams at different layers of a project indicates the project</w:t>
            </w:r>
            <w:r>
              <w:rPr>
                <w:color w:val="000000"/>
                <w:sz w:val="20"/>
                <w:szCs w:val="20"/>
                <w:lang w:val="en-US"/>
              </w:rPr>
              <w:t>’</w:t>
            </w:r>
            <w:r w:rsidRPr="006F2B19">
              <w:rPr>
                <w:color w:val="000000"/>
                <w:sz w:val="20"/>
                <w:szCs w:val="20"/>
                <w:lang w:val="en-US"/>
              </w:rPr>
              <w:t>s structural complexity and associated cyber risks. Outer-layer sub-teams, often smaller with fewer cybersecurity resources, are generally more vulnerable, while inner-layer teams are typically larger, better equipped, and more security-conscious. Understanding the distribution of sub-teams across layers is crucial for implementing effective, targeted risk management strategies.)</w:t>
            </w:r>
          </w:p>
        </w:tc>
        <w:tc>
          <w:tcPr>
            <w:tcW w:w="1978" w:type="pct"/>
            <w:noWrap/>
            <w:vAlign w:val="center"/>
            <w:hideMark/>
          </w:tcPr>
          <w:p w14:paraId="5319EFBD"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Eight layers, each layer</w:t>
            </w:r>
            <w:r>
              <w:rPr>
                <w:color w:val="000000"/>
                <w:sz w:val="20"/>
                <w:szCs w:val="20"/>
                <w:lang w:val="en-US"/>
              </w:rPr>
              <w:t>’</w:t>
            </w:r>
            <w:r w:rsidRPr="006F2B19">
              <w:rPr>
                <w:color w:val="000000"/>
                <w:sz w:val="20"/>
                <w:szCs w:val="20"/>
                <w:lang w:val="en-US"/>
              </w:rPr>
              <w:t xml:space="preserve">s scales are: [&lt;= 10, 11 – 20, 21 – 30, 31 – 40, &gt; 40, N/A], </w:t>
            </w:r>
            <w:r>
              <w:rPr>
                <w:color w:val="000000"/>
                <w:sz w:val="20"/>
                <w:szCs w:val="20"/>
                <w:lang w:val="en-US"/>
              </w:rPr>
              <w:t>“</w:t>
            </w:r>
            <w:r w:rsidRPr="006F2B19">
              <w:rPr>
                <w:color w:val="000000"/>
                <w:sz w:val="20"/>
                <w:szCs w:val="20"/>
                <w:lang w:val="en-US"/>
              </w:rPr>
              <w:t>N/A</w:t>
            </w:r>
            <w:r>
              <w:rPr>
                <w:color w:val="000000"/>
                <w:sz w:val="20"/>
                <w:szCs w:val="20"/>
                <w:lang w:val="en-US"/>
              </w:rPr>
              <w:t>”</w:t>
            </w:r>
            <w:r w:rsidRPr="006F2B19">
              <w:rPr>
                <w:color w:val="000000"/>
                <w:sz w:val="20"/>
                <w:szCs w:val="20"/>
                <w:lang w:val="en-US"/>
              </w:rPr>
              <w:t xml:space="preserve"> means this layer is not existent</w:t>
            </w:r>
          </w:p>
        </w:tc>
      </w:tr>
      <w:bookmarkEnd w:id="3"/>
      <w:tr w:rsidR="009615EE" w:rsidRPr="006F2B19" w14:paraId="23EC0466" w14:textId="77777777" w:rsidTr="00177BA0">
        <w:trPr>
          <w:trHeight w:val="270"/>
        </w:trPr>
        <w:tc>
          <w:tcPr>
            <w:tcW w:w="456" w:type="pct"/>
            <w:vMerge/>
            <w:vAlign w:val="center"/>
            <w:hideMark/>
          </w:tcPr>
          <w:p w14:paraId="4C0D9BEE" w14:textId="77777777" w:rsidR="009615EE" w:rsidRPr="006F2B19" w:rsidRDefault="009615EE" w:rsidP="00177BA0">
            <w:pPr>
              <w:spacing w:after="0"/>
              <w:jc w:val="center"/>
              <w:rPr>
                <w:color w:val="000000"/>
                <w:sz w:val="20"/>
                <w:szCs w:val="20"/>
                <w:lang w:val="en-US"/>
              </w:rPr>
            </w:pPr>
          </w:p>
        </w:tc>
        <w:tc>
          <w:tcPr>
            <w:tcW w:w="262" w:type="pct"/>
            <w:noWrap/>
            <w:vAlign w:val="center"/>
            <w:hideMark/>
          </w:tcPr>
          <w:p w14:paraId="4123D240"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2.4</w:t>
            </w:r>
          </w:p>
        </w:tc>
        <w:tc>
          <w:tcPr>
            <w:tcW w:w="189" w:type="pct"/>
            <w:noWrap/>
            <w:vAlign w:val="center"/>
            <w:hideMark/>
          </w:tcPr>
          <w:p w14:paraId="1645C475"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2.2</w:t>
            </w:r>
          </w:p>
        </w:tc>
        <w:tc>
          <w:tcPr>
            <w:tcW w:w="2115" w:type="pct"/>
            <w:vAlign w:val="center"/>
            <w:hideMark/>
          </w:tcPr>
          <w:p w14:paraId="0D8E82DD"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What is the percentage of teams overlapping in different projects?</w:t>
            </w:r>
            <w:r w:rsidRPr="006F2B19">
              <w:rPr>
                <w:color w:val="000000"/>
                <w:sz w:val="20"/>
                <w:szCs w:val="20"/>
                <w:lang w:val="en-US"/>
              </w:rPr>
              <w:br/>
            </w:r>
            <w:r w:rsidRPr="006F2B19">
              <w:rPr>
                <w:color w:val="000000"/>
                <w:sz w:val="20"/>
                <w:szCs w:val="20"/>
                <w:lang w:val="en-US"/>
              </w:rPr>
              <w:br/>
              <w:t>(The percentage of teams overlapping in different projects refers to the proportion of teams engaged simultaneously in multiple initiatives. This overlap can elevate cyber risks due to shared resources and personnel, which may introduce security gaps and dependencies. Increased team overlap heightens the likelihood of breaches and necessitates robust management strategies to address these vulnerabilities effectively.)</w:t>
            </w:r>
          </w:p>
        </w:tc>
        <w:tc>
          <w:tcPr>
            <w:tcW w:w="1978" w:type="pct"/>
            <w:noWrap/>
            <w:vAlign w:val="center"/>
            <w:hideMark/>
          </w:tcPr>
          <w:p w14:paraId="2F3F2144"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[&lt;= 20%, 21% - 40%, 41% - 60%, 61% - 80%, 81% - 100%]</w:t>
            </w:r>
          </w:p>
        </w:tc>
      </w:tr>
      <w:tr w:rsidR="009615EE" w:rsidRPr="006F2B19" w14:paraId="71D02E54" w14:textId="77777777" w:rsidTr="00177BA0">
        <w:trPr>
          <w:trHeight w:val="270"/>
        </w:trPr>
        <w:tc>
          <w:tcPr>
            <w:tcW w:w="456" w:type="pct"/>
            <w:vMerge w:val="restart"/>
            <w:noWrap/>
            <w:vAlign w:val="center"/>
            <w:hideMark/>
          </w:tcPr>
          <w:p w14:paraId="3071769A" w14:textId="77777777" w:rsidR="009615EE" w:rsidRPr="006F2B19" w:rsidRDefault="009615EE" w:rsidP="00177BA0">
            <w:pPr>
              <w:spacing w:after="0"/>
              <w:jc w:val="center"/>
              <w:rPr>
                <w:color w:val="000000"/>
                <w:sz w:val="20"/>
                <w:szCs w:val="20"/>
                <w:lang w:val="en-US"/>
              </w:rPr>
            </w:pPr>
            <w:bookmarkStart w:id="5" w:name="_Hlk196660230"/>
            <w:r w:rsidRPr="006F2B19">
              <w:rPr>
                <w:color w:val="000000"/>
                <w:sz w:val="20"/>
                <w:szCs w:val="20"/>
                <w:lang w:val="en-US"/>
              </w:rPr>
              <w:t>IT factors</w:t>
            </w:r>
          </w:p>
        </w:tc>
        <w:tc>
          <w:tcPr>
            <w:tcW w:w="262" w:type="pct"/>
            <w:noWrap/>
            <w:vAlign w:val="center"/>
            <w:hideMark/>
          </w:tcPr>
          <w:p w14:paraId="0BDFB89B"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3.3</w:t>
            </w:r>
          </w:p>
        </w:tc>
        <w:tc>
          <w:tcPr>
            <w:tcW w:w="189" w:type="pct"/>
            <w:noWrap/>
            <w:vAlign w:val="center"/>
            <w:hideMark/>
          </w:tcPr>
          <w:p w14:paraId="20B9D0CD"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3.1</w:t>
            </w:r>
          </w:p>
        </w:tc>
        <w:tc>
          <w:tcPr>
            <w:tcW w:w="2115" w:type="pct"/>
            <w:noWrap/>
            <w:vAlign w:val="center"/>
            <w:hideMark/>
          </w:tcPr>
          <w:p w14:paraId="138C0EAF"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Is there a dedicated IT team for the project?</w:t>
            </w:r>
          </w:p>
        </w:tc>
        <w:tc>
          <w:tcPr>
            <w:tcW w:w="1978" w:type="pct"/>
            <w:noWrap/>
            <w:vAlign w:val="center"/>
            <w:hideMark/>
          </w:tcPr>
          <w:p w14:paraId="7F1C0A9D"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[Yes, No, Unsure]</w:t>
            </w:r>
          </w:p>
        </w:tc>
      </w:tr>
      <w:bookmarkEnd w:id="5"/>
      <w:tr w:rsidR="009615EE" w:rsidRPr="006F2B19" w14:paraId="73E3C3FA" w14:textId="77777777" w:rsidTr="00177BA0">
        <w:trPr>
          <w:trHeight w:val="270"/>
        </w:trPr>
        <w:tc>
          <w:tcPr>
            <w:tcW w:w="456" w:type="pct"/>
            <w:vMerge/>
            <w:vAlign w:val="center"/>
            <w:hideMark/>
          </w:tcPr>
          <w:p w14:paraId="5A8E521D" w14:textId="77777777" w:rsidR="009615EE" w:rsidRPr="006F2B19" w:rsidRDefault="009615EE" w:rsidP="00177BA0">
            <w:pPr>
              <w:spacing w:after="0"/>
              <w:jc w:val="center"/>
              <w:rPr>
                <w:color w:val="000000"/>
                <w:sz w:val="20"/>
                <w:szCs w:val="20"/>
                <w:lang w:val="en-US"/>
              </w:rPr>
            </w:pPr>
          </w:p>
        </w:tc>
        <w:tc>
          <w:tcPr>
            <w:tcW w:w="262" w:type="pct"/>
            <w:noWrap/>
            <w:vAlign w:val="center"/>
            <w:hideMark/>
          </w:tcPr>
          <w:p w14:paraId="20F0F748"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3.6</w:t>
            </w:r>
          </w:p>
        </w:tc>
        <w:tc>
          <w:tcPr>
            <w:tcW w:w="189" w:type="pct"/>
            <w:noWrap/>
            <w:vAlign w:val="center"/>
            <w:hideMark/>
          </w:tcPr>
          <w:p w14:paraId="574B4957"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3.2</w:t>
            </w:r>
          </w:p>
        </w:tc>
        <w:tc>
          <w:tcPr>
            <w:tcW w:w="2115" w:type="pct"/>
            <w:noWrap/>
            <w:vAlign w:val="center"/>
            <w:hideMark/>
          </w:tcPr>
          <w:p w14:paraId="7E4973AE"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What is the percentage of digital devices with firewalls or intrusion detection systems involved in the project?</w:t>
            </w:r>
          </w:p>
        </w:tc>
        <w:tc>
          <w:tcPr>
            <w:tcW w:w="1978" w:type="pct"/>
            <w:noWrap/>
            <w:vAlign w:val="center"/>
            <w:hideMark/>
          </w:tcPr>
          <w:p w14:paraId="62E7DBAF"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[&lt;= 20%, 21% - 40%, 41% - 60%, 61% - 80%, 81% - 100%]</w:t>
            </w:r>
          </w:p>
        </w:tc>
      </w:tr>
      <w:tr w:rsidR="009615EE" w:rsidRPr="006F2B19" w14:paraId="2E6649CC" w14:textId="77777777" w:rsidTr="00177BA0">
        <w:trPr>
          <w:trHeight w:val="270"/>
        </w:trPr>
        <w:tc>
          <w:tcPr>
            <w:tcW w:w="456" w:type="pct"/>
            <w:vMerge/>
            <w:vAlign w:val="center"/>
            <w:hideMark/>
          </w:tcPr>
          <w:p w14:paraId="03E2543F" w14:textId="77777777" w:rsidR="009615EE" w:rsidRPr="006F2B19" w:rsidRDefault="009615EE" w:rsidP="00177BA0">
            <w:pPr>
              <w:spacing w:after="0"/>
              <w:jc w:val="center"/>
              <w:rPr>
                <w:color w:val="000000"/>
                <w:sz w:val="20"/>
                <w:szCs w:val="20"/>
                <w:lang w:val="en-US"/>
              </w:rPr>
            </w:pPr>
          </w:p>
        </w:tc>
        <w:tc>
          <w:tcPr>
            <w:tcW w:w="262" w:type="pct"/>
            <w:noWrap/>
            <w:vAlign w:val="center"/>
            <w:hideMark/>
          </w:tcPr>
          <w:p w14:paraId="1CC6A31F"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3.7</w:t>
            </w:r>
          </w:p>
        </w:tc>
        <w:tc>
          <w:tcPr>
            <w:tcW w:w="189" w:type="pct"/>
            <w:noWrap/>
            <w:vAlign w:val="center"/>
            <w:hideMark/>
          </w:tcPr>
          <w:p w14:paraId="0B6C9283"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3.3</w:t>
            </w:r>
          </w:p>
        </w:tc>
        <w:tc>
          <w:tcPr>
            <w:tcW w:w="2115" w:type="pct"/>
            <w:vAlign w:val="center"/>
            <w:hideMark/>
          </w:tcPr>
          <w:p w14:paraId="5F3D728C"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 xml:space="preserve">What is the network type used for the project: Public or Private? </w:t>
            </w:r>
            <w:r w:rsidRPr="006F2B19">
              <w:rPr>
                <w:color w:val="000000"/>
                <w:sz w:val="20"/>
                <w:szCs w:val="20"/>
                <w:lang w:val="en-US"/>
              </w:rPr>
              <w:br/>
            </w:r>
            <w:r w:rsidRPr="006F2B19">
              <w:rPr>
                <w:color w:val="000000"/>
                <w:sz w:val="20"/>
                <w:szCs w:val="20"/>
                <w:lang w:val="en-US"/>
              </w:rPr>
              <w:br/>
              <w:t>(Choosing between a public or private network impacts a project</w:t>
            </w:r>
            <w:r>
              <w:rPr>
                <w:color w:val="000000"/>
                <w:sz w:val="20"/>
                <w:szCs w:val="20"/>
                <w:lang w:val="en-US"/>
              </w:rPr>
              <w:t>’</w:t>
            </w:r>
            <w:r w:rsidRPr="006F2B19">
              <w:rPr>
                <w:color w:val="000000"/>
                <w:sz w:val="20"/>
                <w:szCs w:val="20"/>
                <w:lang w:val="en-US"/>
              </w:rPr>
              <w:t>s cybersecurity. Public networks can be vulnerable to attacks due to easier access, while private networks offer enhanced security controls but may be costly and complex to manage. Each type requires specific security approaches.)</w:t>
            </w:r>
          </w:p>
        </w:tc>
        <w:tc>
          <w:tcPr>
            <w:tcW w:w="1978" w:type="pct"/>
            <w:noWrap/>
            <w:vAlign w:val="center"/>
            <w:hideMark/>
          </w:tcPr>
          <w:p w14:paraId="53603F39"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[Public network, Private network, Both public and private network]</w:t>
            </w:r>
          </w:p>
        </w:tc>
      </w:tr>
      <w:tr w:rsidR="009615EE" w:rsidRPr="006F2B19" w14:paraId="761C498C" w14:textId="77777777" w:rsidTr="00177BA0">
        <w:trPr>
          <w:trHeight w:val="270"/>
        </w:trPr>
        <w:tc>
          <w:tcPr>
            <w:tcW w:w="456" w:type="pct"/>
            <w:vMerge/>
            <w:vAlign w:val="center"/>
            <w:hideMark/>
          </w:tcPr>
          <w:p w14:paraId="2529D3A7" w14:textId="77777777" w:rsidR="009615EE" w:rsidRPr="006F2B19" w:rsidRDefault="009615EE" w:rsidP="00177BA0">
            <w:pPr>
              <w:spacing w:after="0"/>
              <w:jc w:val="center"/>
              <w:rPr>
                <w:color w:val="000000"/>
                <w:sz w:val="20"/>
                <w:szCs w:val="20"/>
                <w:lang w:val="en-US"/>
              </w:rPr>
            </w:pPr>
          </w:p>
        </w:tc>
        <w:tc>
          <w:tcPr>
            <w:tcW w:w="262" w:type="pct"/>
            <w:noWrap/>
            <w:vAlign w:val="center"/>
            <w:hideMark/>
          </w:tcPr>
          <w:p w14:paraId="50A97E84"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3.8</w:t>
            </w:r>
          </w:p>
        </w:tc>
        <w:tc>
          <w:tcPr>
            <w:tcW w:w="189" w:type="pct"/>
            <w:noWrap/>
            <w:vAlign w:val="center"/>
            <w:hideMark/>
          </w:tcPr>
          <w:p w14:paraId="1167676C"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3.4</w:t>
            </w:r>
          </w:p>
        </w:tc>
        <w:tc>
          <w:tcPr>
            <w:tcW w:w="2115" w:type="pct"/>
            <w:noWrap/>
            <w:vAlign w:val="center"/>
            <w:hideMark/>
          </w:tcPr>
          <w:p w14:paraId="46F74911" w14:textId="77777777" w:rsidR="009615EE" w:rsidRPr="006F2B19" w:rsidRDefault="009615EE" w:rsidP="00177BA0">
            <w:pPr>
              <w:spacing w:after="0"/>
              <w:jc w:val="center"/>
              <w:rPr>
                <w:color w:val="000000"/>
                <w:sz w:val="20"/>
                <w:szCs w:val="20"/>
                <w:lang w:val="en-US"/>
              </w:rPr>
            </w:pPr>
            <w:bookmarkStart w:id="6" w:name="OLE_LINK42"/>
            <w:r w:rsidRPr="006F2B19">
              <w:rPr>
                <w:color w:val="000000"/>
                <w:sz w:val="20"/>
                <w:szCs w:val="20"/>
                <w:lang w:val="en-US"/>
              </w:rPr>
              <w:t>What is the percentage of individuals who fail phishing tests after completing mandatory training?</w:t>
            </w:r>
            <w:bookmarkEnd w:id="6"/>
          </w:p>
        </w:tc>
        <w:tc>
          <w:tcPr>
            <w:tcW w:w="1978" w:type="pct"/>
            <w:noWrap/>
            <w:vAlign w:val="center"/>
            <w:hideMark/>
          </w:tcPr>
          <w:p w14:paraId="17BAD8CF"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[&lt;= 20%, 21% - 40%, 41% - 60%, 61% - 80%, 81% - 100%]</w:t>
            </w:r>
          </w:p>
        </w:tc>
      </w:tr>
      <w:tr w:rsidR="009615EE" w:rsidRPr="006F2B19" w14:paraId="60EA8C6B" w14:textId="77777777" w:rsidTr="00177BA0">
        <w:trPr>
          <w:trHeight w:val="270"/>
        </w:trPr>
        <w:tc>
          <w:tcPr>
            <w:tcW w:w="456" w:type="pct"/>
            <w:vMerge w:val="restart"/>
            <w:noWrap/>
            <w:vAlign w:val="center"/>
            <w:hideMark/>
          </w:tcPr>
          <w:p w14:paraId="363E8396" w14:textId="77777777" w:rsidR="009615EE" w:rsidRPr="006F2B19" w:rsidRDefault="009615EE" w:rsidP="00177BA0">
            <w:pPr>
              <w:spacing w:after="0"/>
              <w:jc w:val="center"/>
              <w:rPr>
                <w:color w:val="000000"/>
                <w:sz w:val="20"/>
                <w:szCs w:val="20"/>
                <w:lang w:val="en-US"/>
              </w:rPr>
            </w:pPr>
            <w:bookmarkStart w:id="7" w:name="_Hlk196660173"/>
            <w:r w:rsidRPr="006F2B19">
              <w:rPr>
                <w:color w:val="000000"/>
                <w:sz w:val="20"/>
                <w:szCs w:val="20"/>
                <w:lang w:val="en-US"/>
              </w:rPr>
              <w:t>Management and human factors</w:t>
            </w:r>
          </w:p>
        </w:tc>
        <w:tc>
          <w:tcPr>
            <w:tcW w:w="262" w:type="pct"/>
            <w:noWrap/>
            <w:vAlign w:val="center"/>
            <w:hideMark/>
          </w:tcPr>
          <w:p w14:paraId="174AD169"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5.1</w:t>
            </w:r>
          </w:p>
        </w:tc>
        <w:tc>
          <w:tcPr>
            <w:tcW w:w="189" w:type="pct"/>
            <w:noWrap/>
            <w:vAlign w:val="center"/>
            <w:hideMark/>
          </w:tcPr>
          <w:p w14:paraId="2C505A4D"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4.1</w:t>
            </w:r>
          </w:p>
        </w:tc>
        <w:tc>
          <w:tcPr>
            <w:tcW w:w="2115" w:type="pct"/>
            <w:noWrap/>
            <w:vAlign w:val="center"/>
            <w:hideMark/>
          </w:tcPr>
          <w:p w14:paraId="21A4F572"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What is the average level of commitment to corporate governance, ethical practices and cybersecurity policy?</w:t>
            </w:r>
          </w:p>
        </w:tc>
        <w:tc>
          <w:tcPr>
            <w:tcW w:w="1978" w:type="pct"/>
            <w:noWrap/>
            <w:vAlign w:val="center"/>
            <w:hideMark/>
          </w:tcPr>
          <w:p w14:paraId="5068D61A"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[Level 1, Level 2, Level 3, Level 4, Level 5]</w:t>
            </w:r>
          </w:p>
        </w:tc>
      </w:tr>
      <w:bookmarkEnd w:id="7"/>
      <w:tr w:rsidR="009615EE" w:rsidRPr="006F2B19" w14:paraId="09D13394" w14:textId="77777777" w:rsidTr="00177BA0">
        <w:trPr>
          <w:trHeight w:val="270"/>
        </w:trPr>
        <w:tc>
          <w:tcPr>
            <w:tcW w:w="456" w:type="pct"/>
            <w:vMerge/>
            <w:vAlign w:val="center"/>
            <w:hideMark/>
          </w:tcPr>
          <w:p w14:paraId="2119D112" w14:textId="77777777" w:rsidR="009615EE" w:rsidRPr="006F2B19" w:rsidRDefault="009615EE" w:rsidP="00177BA0">
            <w:pPr>
              <w:spacing w:after="0"/>
              <w:jc w:val="center"/>
              <w:rPr>
                <w:color w:val="000000"/>
                <w:sz w:val="20"/>
                <w:szCs w:val="20"/>
                <w:lang w:val="en-US"/>
              </w:rPr>
            </w:pPr>
          </w:p>
        </w:tc>
        <w:tc>
          <w:tcPr>
            <w:tcW w:w="262" w:type="pct"/>
            <w:noWrap/>
            <w:vAlign w:val="center"/>
            <w:hideMark/>
          </w:tcPr>
          <w:p w14:paraId="76765E1A"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5.3</w:t>
            </w:r>
          </w:p>
        </w:tc>
        <w:tc>
          <w:tcPr>
            <w:tcW w:w="189" w:type="pct"/>
            <w:noWrap/>
            <w:vAlign w:val="center"/>
            <w:hideMark/>
          </w:tcPr>
          <w:p w14:paraId="3604FEFC"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4.2</w:t>
            </w:r>
          </w:p>
        </w:tc>
        <w:tc>
          <w:tcPr>
            <w:tcW w:w="2115" w:type="pct"/>
            <w:noWrap/>
            <w:vAlign w:val="center"/>
            <w:hideMark/>
          </w:tcPr>
          <w:p w14:paraId="78B6E6D4"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Do you allow password reuse for any project-related software, systems, or accounts (e.g., project management tools, email, internal networks, file storage, etc.)?</w:t>
            </w:r>
          </w:p>
        </w:tc>
        <w:tc>
          <w:tcPr>
            <w:tcW w:w="1978" w:type="pct"/>
            <w:noWrap/>
            <w:vAlign w:val="center"/>
            <w:hideMark/>
          </w:tcPr>
          <w:p w14:paraId="1BC258B1"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[Yes, No]</w:t>
            </w:r>
          </w:p>
        </w:tc>
      </w:tr>
      <w:tr w:rsidR="009615EE" w:rsidRPr="006F2B19" w14:paraId="14079864" w14:textId="77777777" w:rsidTr="00177BA0">
        <w:trPr>
          <w:trHeight w:val="270"/>
        </w:trPr>
        <w:tc>
          <w:tcPr>
            <w:tcW w:w="456" w:type="pct"/>
            <w:vMerge/>
            <w:vAlign w:val="center"/>
            <w:hideMark/>
          </w:tcPr>
          <w:p w14:paraId="39B46DDD" w14:textId="77777777" w:rsidR="009615EE" w:rsidRPr="006F2B19" w:rsidRDefault="009615EE" w:rsidP="00177BA0">
            <w:pPr>
              <w:spacing w:after="0"/>
              <w:jc w:val="center"/>
              <w:rPr>
                <w:color w:val="000000"/>
                <w:sz w:val="20"/>
                <w:szCs w:val="20"/>
                <w:lang w:val="en-US"/>
              </w:rPr>
            </w:pPr>
          </w:p>
        </w:tc>
        <w:tc>
          <w:tcPr>
            <w:tcW w:w="262" w:type="pct"/>
            <w:noWrap/>
            <w:vAlign w:val="center"/>
            <w:hideMark/>
          </w:tcPr>
          <w:p w14:paraId="59E77A7F"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5.4</w:t>
            </w:r>
          </w:p>
        </w:tc>
        <w:tc>
          <w:tcPr>
            <w:tcW w:w="189" w:type="pct"/>
            <w:noWrap/>
            <w:vAlign w:val="center"/>
            <w:hideMark/>
          </w:tcPr>
          <w:p w14:paraId="2053315B"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4.3</w:t>
            </w:r>
          </w:p>
        </w:tc>
        <w:tc>
          <w:tcPr>
            <w:tcW w:w="2115" w:type="pct"/>
            <w:noWrap/>
            <w:vAlign w:val="center"/>
            <w:hideMark/>
          </w:tcPr>
          <w:p w14:paraId="32993405"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Does internet access within your construction project require Multi-Factor Authentication (MFA) or utilize other methods such as biometrics or face recognition?</w:t>
            </w:r>
          </w:p>
        </w:tc>
        <w:tc>
          <w:tcPr>
            <w:tcW w:w="1978" w:type="pct"/>
            <w:noWrap/>
            <w:vAlign w:val="center"/>
            <w:hideMark/>
          </w:tcPr>
          <w:p w14:paraId="3A6D73FE" w14:textId="77777777" w:rsidR="009615EE" w:rsidRPr="006F2B19" w:rsidRDefault="009615EE" w:rsidP="00177BA0">
            <w:pPr>
              <w:spacing w:after="0"/>
              <w:jc w:val="center"/>
              <w:rPr>
                <w:color w:val="000000"/>
                <w:sz w:val="20"/>
                <w:szCs w:val="20"/>
                <w:lang w:val="en-US"/>
              </w:rPr>
            </w:pPr>
            <w:r w:rsidRPr="006F2B19">
              <w:rPr>
                <w:color w:val="000000"/>
                <w:sz w:val="20"/>
                <w:szCs w:val="20"/>
                <w:lang w:val="en-US"/>
              </w:rPr>
              <w:t>[Yes, No]</w:t>
            </w:r>
          </w:p>
        </w:tc>
      </w:tr>
    </w:tbl>
    <w:bookmarkEnd w:id="1"/>
    <w:p w14:paraId="026DE1E3" w14:textId="77777777" w:rsidR="009615EE" w:rsidRPr="00A9655D" w:rsidRDefault="009615EE" w:rsidP="009615EE">
      <w:pPr>
        <w:spacing w:after="0"/>
        <w:rPr>
          <w:i/>
          <w:iCs/>
          <w:sz w:val="20"/>
          <w:szCs w:val="20"/>
          <w:lang w:val="en-US"/>
        </w:rPr>
      </w:pPr>
      <w:r w:rsidRPr="00A9655D">
        <w:rPr>
          <w:i/>
          <w:iCs/>
          <w:sz w:val="20"/>
          <w:szCs w:val="20"/>
          <w:lang w:val="en-US"/>
        </w:rPr>
        <w:t xml:space="preserve">Notes: </w:t>
      </w:r>
      <w:r w:rsidRPr="00A9655D">
        <w:rPr>
          <w:i/>
          <w:iCs/>
          <w:color w:val="000000"/>
          <w:sz w:val="20"/>
          <w:szCs w:val="20"/>
          <w:lang w:val="en-US"/>
        </w:rPr>
        <w:t xml:space="preserve">For detailed information about each risk factor, please </w:t>
      </w:r>
      <w:r w:rsidRPr="00ED545F">
        <w:rPr>
          <w:i/>
          <w:iCs/>
          <w:color w:val="000000"/>
          <w:sz w:val="20"/>
          <w:szCs w:val="20"/>
          <w:lang w:val="en-US"/>
        </w:rPr>
        <w:t>refer to</w:t>
      </w:r>
      <w:r w:rsidRPr="00ED545F">
        <w:rPr>
          <w:rFonts w:hint="eastAsia"/>
          <w:i/>
          <w:iCs/>
          <w:color w:val="000000"/>
          <w:sz w:val="20"/>
          <w:szCs w:val="20"/>
          <w:lang w:val="en-US"/>
        </w:rPr>
        <w:t xml:space="preserve"> </w:t>
      </w:r>
      <w:r w:rsidRPr="00ED545F">
        <w:rPr>
          <w:i/>
          <w:iCs/>
          <w:color w:val="000000"/>
          <w:sz w:val="20"/>
          <w:szCs w:val="20"/>
          <w:lang w:val="en-US"/>
        </w:rPr>
        <w:fldChar w:fldCharType="begin"/>
      </w:r>
      <w:r>
        <w:rPr>
          <w:i/>
          <w:iCs/>
          <w:color w:val="000000"/>
          <w:sz w:val="20"/>
          <w:szCs w:val="20"/>
          <w:lang w:val="en-US"/>
        </w:rPr>
        <w:instrText xml:space="preserve"> ADDIN ZOTERO_ITEM CSL_CITATION {"citationID":"mBcWMaPM","properties":{"formattedCitation":"[15]","plainCitation":"[15]","noteIndex":0},"citationItems":[{"id":4982,"uris":["http://zotero.org/users/11778082/items/J4WJKZ8W"],"itemData":{"id":4982,"type":"article-journal","container-title":"Developments in the Built Environment","DOI":"10.1016/j.dibe.2024.100570","ISSN":"26661659","journalAbbreviation":"Developments in the Built Environment","language":"en","page":"100570","source":"DOI.org (Crossref)","title":"Assessing cyber risks in construction projects: A machine learning-centric approach","title-short":"Assessing cyber risks in construction projects","volume":"20","author":[{"family":"Yao","given":"Dongchi"},{"family":"García De Soto","given":"Borja"}],"issued":{"date-parts":[["2024",12]]}}}],"schema":"https://github.com/citation-style-language/schema/raw/master/csl-citation.json"} </w:instrText>
      </w:r>
      <w:r w:rsidRPr="00ED545F">
        <w:rPr>
          <w:i/>
          <w:iCs/>
          <w:color w:val="000000"/>
          <w:sz w:val="20"/>
          <w:szCs w:val="20"/>
          <w:lang w:val="en-US"/>
        </w:rPr>
        <w:fldChar w:fldCharType="separate"/>
      </w:r>
      <w:r w:rsidRPr="00ED545F">
        <w:rPr>
          <w:i/>
          <w:iCs/>
          <w:color w:val="000000"/>
          <w:sz w:val="20"/>
          <w:szCs w:val="20"/>
          <w:lang w:val="en-US"/>
        </w:rPr>
        <w:t>[15]</w:t>
      </w:r>
      <w:r w:rsidRPr="00ED545F">
        <w:rPr>
          <w:i/>
          <w:iCs/>
          <w:color w:val="000000"/>
          <w:sz w:val="20"/>
          <w:szCs w:val="20"/>
          <w:lang w:val="en-US"/>
        </w:rPr>
        <w:fldChar w:fldCharType="end"/>
      </w:r>
      <w:r w:rsidRPr="00ED545F">
        <w:rPr>
          <w:i/>
          <w:iCs/>
          <w:color w:val="000000"/>
          <w:sz w:val="20"/>
          <w:szCs w:val="20"/>
          <w:lang w:val="en-US"/>
        </w:rPr>
        <w:t>.</w:t>
      </w:r>
      <w:r w:rsidRPr="00A9655D">
        <w:rPr>
          <w:i/>
          <w:iCs/>
          <w:color w:val="000000"/>
          <w:sz w:val="20"/>
          <w:szCs w:val="20"/>
          <w:lang w:val="en-US"/>
        </w:rPr>
        <w:t xml:space="preserve"> </w:t>
      </w:r>
    </w:p>
    <w:p w14:paraId="2A6606F2" w14:textId="77777777" w:rsidR="009615EE" w:rsidRPr="009615EE" w:rsidRDefault="009615EE">
      <w:pPr>
        <w:rPr>
          <w:lang w:val="en-US"/>
        </w:rPr>
      </w:pPr>
    </w:p>
    <w:sectPr w:rsidR="009615EE" w:rsidRPr="009615EE" w:rsidSect="009615EE">
      <w:pgSz w:w="15840" w:h="12240" w:orient="landscape"/>
      <w:pgMar w:top="1440" w:right="1440" w:bottom="1440" w:left="1440" w:header="851" w:footer="567" w:gutter="0"/>
      <w:cols w:sep="1"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EE"/>
    <w:rsid w:val="009615EE"/>
    <w:rsid w:val="00A925D7"/>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19BA46"/>
  <w15:chartTrackingRefBased/>
  <w15:docId w15:val="{F1AA6EF1-C1BF-DB43-A6A4-23FDE230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5EE"/>
    <w:pPr>
      <w:adjustRightInd w:val="0"/>
      <w:snapToGrid w:val="0"/>
      <w:spacing w:after="120" w:line="240" w:lineRule="auto"/>
      <w:jc w:val="both"/>
    </w:pPr>
    <w:rPr>
      <w:rFonts w:ascii="Garamond" w:eastAsia="Times New Roman" w:hAnsi="Garamond" w:cs="Times New Roman"/>
      <w:kern w:val="0"/>
      <w:sz w:val="22"/>
      <w14:ligatures w14:val="none"/>
    </w:rPr>
  </w:style>
  <w:style w:type="paragraph" w:styleId="Heading1">
    <w:name w:val="heading 1"/>
    <w:aliases w:val="1,大标题"/>
    <w:basedOn w:val="Normal"/>
    <w:next w:val="Normal"/>
    <w:link w:val="Heading1Char"/>
    <w:qFormat/>
    <w:rsid w:val="009615EE"/>
    <w:pPr>
      <w:keepNext/>
      <w:keepLines/>
      <w:adjustRightInd/>
      <w:snapToGrid/>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615EE"/>
    <w:pPr>
      <w:keepNext/>
      <w:keepLines/>
      <w:adjustRightInd/>
      <w:snapToGrid/>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615EE"/>
    <w:pPr>
      <w:keepNext/>
      <w:keepLines/>
      <w:adjustRightInd/>
      <w:snapToGrid/>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615EE"/>
    <w:pPr>
      <w:keepNext/>
      <w:keepLines/>
      <w:adjustRightInd/>
      <w:snapToGrid/>
      <w:spacing w:before="80" w:after="40" w:line="278" w:lineRule="auto"/>
      <w:jc w:val="left"/>
      <w:outlineLvl w:val="3"/>
    </w:pPr>
    <w:rPr>
      <w:rFonts w:asciiTheme="minorHAnsi" w:eastAsiaTheme="majorEastAsia" w:hAnsiTheme="minorHAnsi" w:cstheme="majorBidi"/>
      <w:i/>
      <w:iCs/>
      <w:color w:val="0F4761" w:themeColor="accent1" w:themeShade="BF"/>
      <w:kern w:val="2"/>
      <w:sz w:val="24"/>
      <w14:ligatures w14:val="standardContextual"/>
    </w:rPr>
  </w:style>
  <w:style w:type="paragraph" w:styleId="Heading5">
    <w:name w:val="heading 5"/>
    <w:basedOn w:val="Normal"/>
    <w:next w:val="Normal"/>
    <w:link w:val="Heading5Char"/>
    <w:uiPriority w:val="9"/>
    <w:semiHidden/>
    <w:unhideWhenUsed/>
    <w:qFormat/>
    <w:rsid w:val="009615EE"/>
    <w:pPr>
      <w:keepNext/>
      <w:keepLines/>
      <w:adjustRightInd/>
      <w:snapToGrid/>
      <w:spacing w:before="80" w:after="40" w:line="278" w:lineRule="auto"/>
      <w:jc w:val="left"/>
      <w:outlineLvl w:val="4"/>
    </w:pPr>
    <w:rPr>
      <w:rFonts w:asciiTheme="minorHAnsi" w:eastAsiaTheme="majorEastAsia" w:hAnsiTheme="minorHAnsi" w:cstheme="majorBidi"/>
      <w:color w:val="0F4761" w:themeColor="accent1" w:themeShade="BF"/>
      <w:kern w:val="2"/>
      <w:sz w:val="24"/>
      <w14:ligatures w14:val="standardContextual"/>
    </w:rPr>
  </w:style>
  <w:style w:type="paragraph" w:styleId="Heading6">
    <w:name w:val="heading 6"/>
    <w:basedOn w:val="Normal"/>
    <w:next w:val="Normal"/>
    <w:link w:val="Heading6Char"/>
    <w:uiPriority w:val="9"/>
    <w:semiHidden/>
    <w:unhideWhenUsed/>
    <w:qFormat/>
    <w:rsid w:val="009615EE"/>
    <w:pPr>
      <w:keepNext/>
      <w:keepLines/>
      <w:adjustRightInd/>
      <w:snapToGrid/>
      <w:spacing w:before="40" w:after="0" w:line="278" w:lineRule="auto"/>
      <w:jc w:val="left"/>
      <w:outlineLvl w:val="5"/>
    </w:pPr>
    <w:rPr>
      <w:rFonts w:asciiTheme="minorHAnsi" w:eastAsiaTheme="majorEastAsia" w:hAnsiTheme="minorHAnsi" w:cstheme="majorBidi"/>
      <w:i/>
      <w:iCs/>
      <w:color w:val="595959" w:themeColor="text1" w:themeTint="A6"/>
      <w:kern w:val="2"/>
      <w:sz w:val="24"/>
      <w14:ligatures w14:val="standardContextual"/>
    </w:rPr>
  </w:style>
  <w:style w:type="paragraph" w:styleId="Heading7">
    <w:name w:val="heading 7"/>
    <w:basedOn w:val="Normal"/>
    <w:next w:val="Normal"/>
    <w:link w:val="Heading7Char"/>
    <w:uiPriority w:val="9"/>
    <w:semiHidden/>
    <w:unhideWhenUsed/>
    <w:qFormat/>
    <w:rsid w:val="009615EE"/>
    <w:pPr>
      <w:keepNext/>
      <w:keepLines/>
      <w:adjustRightInd/>
      <w:snapToGrid/>
      <w:spacing w:before="40" w:after="0" w:line="278" w:lineRule="auto"/>
      <w:jc w:val="left"/>
      <w:outlineLvl w:val="6"/>
    </w:pPr>
    <w:rPr>
      <w:rFonts w:asciiTheme="minorHAnsi" w:eastAsiaTheme="majorEastAsia" w:hAnsiTheme="minorHAnsi" w:cstheme="majorBidi"/>
      <w:color w:val="595959" w:themeColor="text1" w:themeTint="A6"/>
      <w:kern w:val="2"/>
      <w:sz w:val="24"/>
      <w14:ligatures w14:val="standardContextual"/>
    </w:rPr>
  </w:style>
  <w:style w:type="paragraph" w:styleId="Heading8">
    <w:name w:val="heading 8"/>
    <w:basedOn w:val="Normal"/>
    <w:next w:val="Normal"/>
    <w:link w:val="Heading8Char"/>
    <w:uiPriority w:val="9"/>
    <w:semiHidden/>
    <w:unhideWhenUsed/>
    <w:qFormat/>
    <w:rsid w:val="009615EE"/>
    <w:pPr>
      <w:keepNext/>
      <w:keepLines/>
      <w:adjustRightInd/>
      <w:snapToGrid/>
      <w:spacing w:after="0" w:line="278" w:lineRule="auto"/>
      <w:jc w:val="left"/>
      <w:outlineLvl w:val="7"/>
    </w:pPr>
    <w:rPr>
      <w:rFonts w:asciiTheme="minorHAnsi" w:eastAsiaTheme="majorEastAsia" w:hAnsiTheme="minorHAnsi" w:cstheme="majorBidi"/>
      <w:i/>
      <w:iCs/>
      <w:color w:val="272727" w:themeColor="text1" w:themeTint="D8"/>
      <w:kern w:val="2"/>
      <w:sz w:val="24"/>
      <w14:ligatures w14:val="standardContextual"/>
    </w:rPr>
  </w:style>
  <w:style w:type="paragraph" w:styleId="Heading9">
    <w:name w:val="heading 9"/>
    <w:basedOn w:val="Normal"/>
    <w:next w:val="Normal"/>
    <w:link w:val="Heading9Char"/>
    <w:uiPriority w:val="9"/>
    <w:semiHidden/>
    <w:unhideWhenUsed/>
    <w:qFormat/>
    <w:rsid w:val="009615EE"/>
    <w:pPr>
      <w:keepNext/>
      <w:keepLines/>
      <w:adjustRightInd/>
      <w:snapToGrid/>
      <w:spacing w:after="0" w:line="278" w:lineRule="auto"/>
      <w:jc w:val="left"/>
      <w:outlineLvl w:val="8"/>
    </w:pPr>
    <w:rPr>
      <w:rFonts w:asciiTheme="minorHAnsi" w:eastAsiaTheme="majorEastAsia" w:hAnsiTheme="minorHAnsi" w:cstheme="majorBidi"/>
      <w:color w:val="272727" w:themeColor="text1" w:themeTint="D8"/>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大标题 Char"/>
    <w:basedOn w:val="DefaultParagraphFont"/>
    <w:link w:val="Heading1"/>
    <w:rsid w:val="00961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5EE"/>
    <w:rPr>
      <w:rFonts w:eastAsiaTheme="majorEastAsia" w:cstheme="majorBidi"/>
      <w:color w:val="272727" w:themeColor="text1" w:themeTint="D8"/>
    </w:rPr>
  </w:style>
  <w:style w:type="paragraph" w:styleId="Title">
    <w:name w:val="Title"/>
    <w:basedOn w:val="Normal"/>
    <w:next w:val="Normal"/>
    <w:link w:val="TitleChar"/>
    <w:uiPriority w:val="10"/>
    <w:qFormat/>
    <w:rsid w:val="009615EE"/>
    <w:pPr>
      <w:adjustRightInd/>
      <w:snapToGrid/>
      <w:spacing w:after="80"/>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61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5EE"/>
    <w:pPr>
      <w:numPr>
        <w:ilvl w:val="1"/>
      </w:numPr>
      <w:adjustRightInd/>
      <w:snapToGrid/>
      <w:spacing w:after="160" w:line="278"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61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5EE"/>
    <w:pPr>
      <w:adjustRightInd/>
      <w:snapToGrid/>
      <w:spacing w:before="160" w:after="160" w:line="278" w:lineRule="auto"/>
      <w:jc w:val="center"/>
    </w:pPr>
    <w:rPr>
      <w:rFonts w:asciiTheme="minorHAnsi" w:eastAsiaTheme="minorEastAsia" w:hAnsiTheme="minorHAnsi" w:cstheme="minorBidi"/>
      <w:i/>
      <w:iCs/>
      <w:color w:val="404040" w:themeColor="text1" w:themeTint="BF"/>
      <w:kern w:val="2"/>
      <w:sz w:val="24"/>
      <w14:ligatures w14:val="standardContextual"/>
    </w:rPr>
  </w:style>
  <w:style w:type="character" w:customStyle="1" w:styleId="QuoteChar">
    <w:name w:val="Quote Char"/>
    <w:basedOn w:val="DefaultParagraphFont"/>
    <w:link w:val="Quote"/>
    <w:uiPriority w:val="29"/>
    <w:rsid w:val="009615EE"/>
    <w:rPr>
      <w:i/>
      <w:iCs/>
      <w:color w:val="404040" w:themeColor="text1" w:themeTint="BF"/>
    </w:rPr>
  </w:style>
  <w:style w:type="paragraph" w:styleId="ListParagraph">
    <w:name w:val="List Paragraph"/>
    <w:basedOn w:val="Normal"/>
    <w:uiPriority w:val="34"/>
    <w:qFormat/>
    <w:rsid w:val="009615EE"/>
    <w:pPr>
      <w:adjustRightInd/>
      <w:snapToGrid/>
      <w:spacing w:after="160" w:line="278" w:lineRule="auto"/>
      <w:ind w:left="720"/>
      <w:contextualSpacing/>
      <w:jc w:val="left"/>
    </w:pPr>
    <w:rPr>
      <w:rFonts w:asciiTheme="minorHAnsi" w:eastAsiaTheme="minorEastAsia" w:hAnsiTheme="minorHAnsi" w:cstheme="minorBidi"/>
      <w:kern w:val="2"/>
      <w:sz w:val="24"/>
      <w14:ligatures w14:val="standardContextual"/>
    </w:rPr>
  </w:style>
  <w:style w:type="character" w:styleId="IntenseEmphasis">
    <w:name w:val="Intense Emphasis"/>
    <w:basedOn w:val="DefaultParagraphFont"/>
    <w:uiPriority w:val="21"/>
    <w:qFormat/>
    <w:rsid w:val="009615EE"/>
    <w:rPr>
      <w:i/>
      <w:iCs/>
      <w:color w:val="0F4761" w:themeColor="accent1" w:themeShade="BF"/>
    </w:rPr>
  </w:style>
  <w:style w:type="paragraph" w:styleId="IntenseQuote">
    <w:name w:val="Intense Quote"/>
    <w:basedOn w:val="Normal"/>
    <w:next w:val="Normal"/>
    <w:link w:val="IntenseQuoteChar"/>
    <w:uiPriority w:val="30"/>
    <w:qFormat/>
    <w:rsid w:val="009615EE"/>
    <w:pPr>
      <w:pBdr>
        <w:top w:val="single" w:sz="4" w:space="10" w:color="0F4761" w:themeColor="accent1" w:themeShade="BF"/>
        <w:bottom w:val="single" w:sz="4" w:space="10" w:color="0F4761" w:themeColor="accent1" w:themeShade="BF"/>
      </w:pBdr>
      <w:adjustRightInd/>
      <w:snapToGrid/>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14:ligatures w14:val="standardContextual"/>
    </w:rPr>
  </w:style>
  <w:style w:type="character" w:customStyle="1" w:styleId="IntenseQuoteChar">
    <w:name w:val="Intense Quote Char"/>
    <w:basedOn w:val="DefaultParagraphFont"/>
    <w:link w:val="IntenseQuote"/>
    <w:uiPriority w:val="30"/>
    <w:rsid w:val="009615EE"/>
    <w:rPr>
      <w:i/>
      <w:iCs/>
      <w:color w:val="0F4761" w:themeColor="accent1" w:themeShade="BF"/>
    </w:rPr>
  </w:style>
  <w:style w:type="character" w:styleId="IntenseReference">
    <w:name w:val="Intense Reference"/>
    <w:basedOn w:val="DefaultParagraphFont"/>
    <w:uiPriority w:val="32"/>
    <w:qFormat/>
    <w:rsid w:val="009615EE"/>
    <w:rPr>
      <w:b/>
      <w:bCs/>
      <w:smallCaps/>
      <w:color w:val="0F4761" w:themeColor="accent1" w:themeShade="BF"/>
      <w:spacing w:val="5"/>
    </w:rPr>
  </w:style>
  <w:style w:type="paragraph" w:styleId="NoSpacing">
    <w:name w:val="No Spacing"/>
    <w:aliases w:val="表0490,表"/>
    <w:basedOn w:val="Normal"/>
    <w:next w:val="TableofFigures"/>
    <w:uiPriority w:val="1"/>
    <w:qFormat/>
    <w:rsid w:val="009615EE"/>
    <w:pPr>
      <w:spacing w:after="50"/>
      <w:jc w:val="center"/>
    </w:pPr>
    <w:rPr>
      <w:b/>
      <w:bCs/>
      <w:color w:val="000000"/>
    </w:rPr>
  </w:style>
  <w:style w:type="paragraph" w:styleId="TableofFigures">
    <w:name w:val="table of figures"/>
    <w:basedOn w:val="Normal"/>
    <w:next w:val="Normal"/>
    <w:uiPriority w:val="99"/>
    <w:semiHidden/>
    <w:unhideWhenUsed/>
    <w:rsid w:val="009615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2025-05-25T12:29:00Z</dcterms:created>
  <dcterms:modified xsi:type="dcterms:W3CDTF">2025-05-25T12:30:00Z</dcterms:modified>
</cp:coreProperties>
</file>