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DDF" w:rsidRPr="00A67D44" w:rsidRDefault="00A67D44" w:rsidP="00A67D44">
      <w:pPr>
        <w:jc w:val="center"/>
        <w:rPr>
          <w:rFonts w:asciiTheme="majorHAnsi" w:hAnsiTheme="majorHAnsi"/>
          <w:sz w:val="28"/>
        </w:rPr>
      </w:pPr>
      <w:r w:rsidRPr="00A67D44">
        <w:rPr>
          <w:rFonts w:asciiTheme="majorHAnsi" w:hAnsiTheme="majorHAnsi"/>
          <w:sz w:val="28"/>
        </w:rPr>
        <w:t>Description of Additional Supplementary Files</w:t>
      </w:r>
    </w:p>
    <w:p w:rsidR="00A67D44" w:rsidRDefault="00A67D44"/>
    <w:p w:rsidR="00A67D44" w:rsidRDefault="00A67D44" w:rsidP="00A67D44">
      <w:bookmarkStart w:id="0" w:name="_GoBack"/>
      <w:bookmarkEnd w:id="0"/>
      <w:proofErr w:type="gramStart"/>
      <w:r>
        <w:t>Supplementary Data 1.</w:t>
      </w:r>
      <w:proofErr w:type="gramEnd"/>
      <w:r>
        <w:t xml:space="preserve"> Related to Figure 1 – Cell line and drug sensitivity information</w:t>
      </w:r>
    </w:p>
    <w:p w:rsidR="00A67D44" w:rsidRDefault="00A67D44" w:rsidP="00A67D44"/>
    <w:p w:rsidR="00A67D44" w:rsidRDefault="00A67D44" w:rsidP="00A67D44">
      <w:proofErr w:type="gramStart"/>
      <w:r>
        <w:t>Supplementary Data 2.</w:t>
      </w:r>
      <w:proofErr w:type="gramEnd"/>
      <w:r>
        <w:t xml:space="preserve"> Related to Figure 1 – </w:t>
      </w:r>
      <w:proofErr w:type="spellStart"/>
      <w:r>
        <w:t>Phosphosite</w:t>
      </w:r>
      <w:proofErr w:type="spellEnd"/>
      <w:r>
        <w:t xml:space="preserve"> information</w:t>
      </w:r>
    </w:p>
    <w:p w:rsidR="00A67D44" w:rsidRDefault="00A67D44" w:rsidP="00A67D44"/>
    <w:p w:rsidR="00A67D44" w:rsidRDefault="00A67D44" w:rsidP="00A67D44">
      <w:proofErr w:type="gramStart"/>
      <w:r>
        <w:t>Supplementary Data 3.</w:t>
      </w:r>
      <w:proofErr w:type="gramEnd"/>
      <w:r>
        <w:t xml:space="preserve"> Related to Figure 1 – Protein information</w:t>
      </w:r>
    </w:p>
    <w:p w:rsidR="00A67D44" w:rsidRDefault="00A67D44" w:rsidP="00A67D44">
      <w:pPr>
        <w:jc w:val="both"/>
      </w:pPr>
    </w:p>
    <w:p w:rsidR="00A67D44" w:rsidRDefault="00A67D44" w:rsidP="00A67D44">
      <w:pPr>
        <w:jc w:val="both"/>
      </w:pPr>
      <w:proofErr w:type="gramStart"/>
      <w:r>
        <w:t>Supplementary Data 4.</w:t>
      </w:r>
      <w:proofErr w:type="gramEnd"/>
      <w:r>
        <w:t xml:space="preserve"> Related to Figure 1E and Supplementary Figure 2 – Enrichment analysis of</w:t>
      </w:r>
    </w:p>
    <w:p w:rsidR="00A67D44" w:rsidRDefault="00A67D44" w:rsidP="00A67D44">
      <w:pPr>
        <w:jc w:val="both"/>
      </w:pPr>
      <w:proofErr w:type="gramStart"/>
      <w:r>
        <w:t>functional</w:t>
      </w:r>
      <w:proofErr w:type="gramEnd"/>
      <w:r>
        <w:t xml:space="preserve"> associations</w:t>
      </w:r>
    </w:p>
    <w:p w:rsidR="00A67D44" w:rsidRDefault="00A67D44" w:rsidP="00A67D44">
      <w:pPr>
        <w:jc w:val="both"/>
      </w:pPr>
    </w:p>
    <w:p w:rsidR="00A67D44" w:rsidRDefault="00A67D44" w:rsidP="00A67D44">
      <w:pPr>
        <w:jc w:val="both"/>
      </w:pPr>
      <w:proofErr w:type="gramStart"/>
      <w:r>
        <w:t>Supplementary Data 5.</w:t>
      </w:r>
      <w:proofErr w:type="gramEnd"/>
      <w:r>
        <w:t xml:space="preserve"> Related to Figure 2 and Supplementary Figure 3 – Integrated kinase substrate</w:t>
      </w:r>
    </w:p>
    <w:p w:rsidR="00A67D44" w:rsidRDefault="00A67D44" w:rsidP="00A67D44">
      <w:pPr>
        <w:jc w:val="both"/>
      </w:pPr>
      <w:proofErr w:type="gramStart"/>
      <w:r>
        <w:t>database</w:t>
      </w:r>
      <w:proofErr w:type="gramEnd"/>
    </w:p>
    <w:p w:rsidR="00A67D44" w:rsidRDefault="00A67D44" w:rsidP="00A67D44">
      <w:pPr>
        <w:jc w:val="both"/>
      </w:pPr>
    </w:p>
    <w:p w:rsidR="00A67D44" w:rsidRDefault="00A67D44" w:rsidP="00A67D44">
      <w:pPr>
        <w:jc w:val="both"/>
      </w:pPr>
      <w:proofErr w:type="gramStart"/>
      <w:r>
        <w:t>Supplementary Data 6.</w:t>
      </w:r>
      <w:proofErr w:type="gramEnd"/>
      <w:r>
        <w:t xml:space="preserve"> Related to Figure 2E &amp; F and Supplementary Figure 3C – Functional</w:t>
      </w:r>
    </w:p>
    <w:p w:rsidR="00A67D44" w:rsidRDefault="00A67D44" w:rsidP="00A67D44">
      <w:pPr>
        <w:jc w:val="both"/>
      </w:pPr>
      <w:proofErr w:type="gramStart"/>
      <w:r>
        <w:t>associations</w:t>
      </w:r>
      <w:proofErr w:type="gramEnd"/>
    </w:p>
    <w:p w:rsidR="00A67D44" w:rsidRDefault="00A67D44" w:rsidP="00A67D44">
      <w:pPr>
        <w:jc w:val="both"/>
      </w:pPr>
    </w:p>
    <w:p w:rsidR="00A67D44" w:rsidRDefault="00A67D44" w:rsidP="00A67D44">
      <w:pPr>
        <w:jc w:val="both"/>
      </w:pPr>
      <w:proofErr w:type="gramStart"/>
      <w:r>
        <w:t>Supplementary Data 7.</w:t>
      </w:r>
      <w:proofErr w:type="gramEnd"/>
      <w:r>
        <w:t xml:space="preserve"> Related to Figure 3 &amp; 4F-H and Supplementary Figure 4 – Outlier analysis and</w:t>
      </w:r>
    </w:p>
    <w:p w:rsidR="00A67D44" w:rsidRDefault="00A67D44" w:rsidP="00A67D44">
      <w:pPr>
        <w:jc w:val="both"/>
      </w:pPr>
      <w:r>
        <w:t>5FU signatures</w:t>
      </w:r>
    </w:p>
    <w:p w:rsidR="00A67D44" w:rsidRDefault="00A67D44" w:rsidP="00A67D44">
      <w:pPr>
        <w:jc w:val="both"/>
      </w:pPr>
    </w:p>
    <w:p w:rsidR="00A67D44" w:rsidRDefault="00A67D44" w:rsidP="00A67D44">
      <w:pPr>
        <w:jc w:val="both"/>
      </w:pPr>
      <w:proofErr w:type="gramStart"/>
      <w:r>
        <w:t>Supplementary Data 8.</w:t>
      </w:r>
      <w:proofErr w:type="gramEnd"/>
      <w:r>
        <w:t xml:space="preserve"> Related to Figure 5and 6A-B – SMBPLSR analysis</w:t>
      </w:r>
    </w:p>
    <w:p w:rsidR="00A67D44" w:rsidRDefault="00A67D44" w:rsidP="00A67D44">
      <w:pPr>
        <w:jc w:val="both"/>
      </w:pPr>
    </w:p>
    <w:p w:rsidR="00A67D44" w:rsidRDefault="00A67D44" w:rsidP="00A67D44">
      <w:pPr>
        <w:jc w:val="both"/>
      </w:pPr>
      <w:proofErr w:type="gramStart"/>
      <w:r>
        <w:t>Supplementary Data 9.</w:t>
      </w:r>
      <w:proofErr w:type="gramEnd"/>
      <w:r>
        <w:t xml:space="preserve"> Related to Figure 6F and 7C &amp; F – Cox proportional-hazards models of </w:t>
      </w:r>
      <w:proofErr w:type="spellStart"/>
      <w:r>
        <w:t>pPGR</w:t>
      </w:r>
      <w:proofErr w:type="spellEnd"/>
    </w:p>
    <w:p w:rsidR="00A67D44" w:rsidRDefault="00A67D44" w:rsidP="00A67D44">
      <w:pPr>
        <w:jc w:val="both"/>
      </w:pPr>
      <w:r>
        <w:t>&amp; AK1 and AK1 MRM analysis</w:t>
      </w:r>
    </w:p>
    <w:sectPr w:rsidR="00A6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DBA"/>
    <w:multiLevelType w:val="hybridMultilevel"/>
    <w:tmpl w:val="92926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2DA2"/>
    <w:multiLevelType w:val="hybridMultilevel"/>
    <w:tmpl w:val="B8C258BA"/>
    <w:lvl w:ilvl="0" w:tplc="ED7682A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E55476"/>
    <w:multiLevelType w:val="hybridMultilevel"/>
    <w:tmpl w:val="D862BB0E"/>
    <w:lvl w:ilvl="0" w:tplc="ED7682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44"/>
    <w:rsid w:val="00870DDF"/>
    <w:rsid w:val="00A6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Whittingham</dc:creator>
  <cp:lastModifiedBy>Alessandra Whittingham</cp:lastModifiedBy>
  <cp:revision>1</cp:revision>
  <dcterms:created xsi:type="dcterms:W3CDTF">2020-06-19T13:26:00Z</dcterms:created>
  <dcterms:modified xsi:type="dcterms:W3CDTF">2020-06-19T13:33:00Z</dcterms:modified>
</cp:coreProperties>
</file>