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Microsoft YaHei" w:cs="Times New Roman"/>
          <w:b/>
          <w:sz w:val="36"/>
        </w:rPr>
        <w:t>NGAP NGReset</w:t>
      </w:r>
    </w:p>
    <w:p>
      <w:pPr>
        <w:spacing w:after="200"/>
        <w:jc w:val="center"/>
      </w:pPr>
      <w:r>
        <w:rPr>
          <w:rFonts w:ascii="Times New Roman" w:hAnsi="Times New Roman" w:eastAsia="Microsoft YaHei" w:cs="Times New Roman"/>
          <w:b/>
          <w:sz w:val="32"/>
        </w:rPr>
        <w:t>异常报文处理与 3GPP 规范不一致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Microsoft YaHei" w:cs="Times New Roman"/>
          <w:b w:val="0"/>
          <w:sz w:val="24"/>
        </w:rPr>
        <w:t>本轮针对 20 种 NGAP 消息开展协议一致性测试，共发现 24 条异常处理结果，问题集中在 NGReset、NGSetupRequest 和 RANConfigurationUpdate 三种消息。其中 NGReset 共发现 4 条异常。测试均设置了同消息的合法对照报文，合法报文能够正常处理，因此可以排除基础消息构造或测试链路异常。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Microsoft YaHei" w:cs="Times New Roman"/>
          <w:b w:val="0"/>
          <w:sz w:val="24"/>
        </w:rPr>
        <w:t>NGReset 的异常主要出现在部分必填 IE 重复、插入 Criticality 标记为 reject 的未知 IE，以及测试规则认定的消息结构异常等场景。实测中，目标 AMF 未进入预期的异常消息处理流程，而是继续接受该 NGReset，并返回成功的 NGReset Acknowledge。典型情况包括重复 IE ID 15、重复 IE ID 88，以及插入 IE ID 65535 且 Criticality 为 reject 的未知字段。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Microsoft YaHei" w:cs="Times New Roman"/>
          <w:b w:val="0"/>
          <w:sz w:val="24"/>
        </w:rPr>
        <w:t>该问题当前主要定性为 NGAP 协议实现一致性问题，说明 AMF 对 NGReset 的 IE 唯一性、Criticality 及异常输入处理不够严格。异常报文仍进入正常处理流程，可能造成不同网元之间对同一 NGReset 的解析结果不一致，并增加后续状态处理歧义的风险。建议产品侧重点核查 NGReset 解码后的 IE 完整性与唯一性检查，并确保遇到应拒绝的未知 IE 或非法消息结构时进入规范要求的错误处理流程，而不是返回成功应答。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