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Microsoft YaHei" w:cs="Times New Roman"/>
          <w:b/>
          <w:sz w:val="36"/>
        </w:rPr>
        <w:t>NGAP NGSetupRequest</w:t>
      </w:r>
    </w:p>
    <w:p>
      <w:pPr>
        <w:spacing w:after="200"/>
        <w:jc w:val="center"/>
      </w:pPr>
      <w:r>
        <w:rPr>
          <w:rFonts w:ascii="Times New Roman" w:hAnsi="Times New Roman" w:eastAsia="Microsoft YaHei" w:cs="Times New Roman"/>
          <w:b/>
          <w:sz w:val="32"/>
        </w:rPr>
        <w:t>异常报文处理与 3GPP 规范不一致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本轮针对 20 种 NGAP 消息开展协议一致性测试，共发现 24 条异常处理结果，问题集中在 NGReset、NGSetupRequest 和 RANConfigurationUpdate 三种消息。其中 NGSetupRequest 共发现 11 条异常，是本轮一致性测试中异常类型最多的消息。所有异常用例均设置了合法对照，合法 NGSetupRequest 同样能够正常完成 NG Setup，因此测试结果具备可比性。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实测发现，目标 AMF 对多类结构非法的 NGSetupRequest 仍然返回成功的 NGSetupResponse。异常类型包括删除必填 IE ID 27、重复必填 IE ID 27/102/21、重复多个可选 IE、插入 IE ID 65535 且 Criticality 为 reject 的未知字段，以及部分字段取值长度或位串形式非法等。也就是说，即使 NG Setup 请求缺少关键必填信息或包含按测试规则应进入错误处理的字段，当前实现仍可能继续建立 NG 接口。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该问题属于 NG Setup 入口处的协议实现一致性不足。由于 NGSetupRequest 是 gNB 与 AMF 建立 NG 接口时的基础配置消息，对异常 IE 的宽松接受可能造成网元对 RAN 身份、支持能力或配置参数的理解不一致，并使后续业务在不完整或歧义配置基础上继续运行。建议产品侧优先检查必填 IE 缺失、重复 IE、Criticality=reject 未知 IE 以及非法取值的统一校验逻辑，确保非法 NGSetupRequest 不进入正常建链成功路径。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