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Agents: Architectures, Learning Mechanisms, Applications, and Future Directions</w:t>
      </w:r>
      <w:r/>
    </w:p>
    <w:p>
      <w:pPr>
        <w:pStyle w:val="Heading2"/>
      </w:pPr>
      <w:r>
        <w:t>Introduction</w:t>
      </w:r>
      <w:r/>
    </w:p>
    <w:p>
      <w:r/>
      <w:r>
        <w:t>The 2026 wave of AI-agent commercialization has shifted the central competitive question from “who answers better” to “who completes tasks better” (</w:t>
      </w:r>
      <w:hyperlink r:id="rId9">
        <w:r>
          <w:rPr>
            <w:color w:val="0000EE"/>
            <w:u w:val="single"/>
          </w:rPr>
          <w:t>Tecdat, 2026</w:t>
        </w:r>
      </w:hyperlink>
      <w:r>
        <w:t>). Within this shift, learning agents are gaining attention as systems that do not merely generate text or call tools once, but that update their behavior from feedback, environment interaction, and accumulated experience. The core proposition of artificial intelligence—enabling machines to acquire the knowledge needed for complex tasks—applies directly to this class of systems (</w:t>
      </w:r>
      <w:hyperlink r:id="rId10">
        <w:r>
          <w:rPr>
            <w:color w:val="0000EE"/>
            <w:u w:val="single"/>
          </w:rPr>
          <w:t>AgeClub, 2026</w:t>
        </w:r>
      </w:hyperlink>
      <w:r>
        <w:t>). A 2026 report defines the modern AI agent as an intelligent entity whose core capabilities are supported by four cooperating modules: perception, brain, action, and memory; it has evolved from fixed-task automation toward autonomous behavior based on intention understanding and environment awareness (</w:t>
      </w:r>
      <w:hyperlink r:id="rId11">
        <w:r>
          <w:rPr>
            <w:color w:val="0000EE"/>
            <w:u w:val="single"/>
          </w:rPr>
          <w:t>iEduMedia, 2026</w:t>
        </w:r>
      </w:hyperlink>
      <w:r>
        <w:t>).</w:t>
      </w:r>
      <w:r/>
    </w:p>
    <w:p>
      <w:r/>
      <w:r>
        <w:t>Learning agents add a temporal dimension to this definition. In the agentic-reasoning framework, learning is no longer confined to offline pretraining; it becomes continuous self-evolution through feedback, memory, and adaptation (</w:t>
      </w:r>
      <w:hyperlink r:id="rId12">
        <w:r>
          <w:rPr>
            <w:color w:val="0000EE"/>
            <w:u w:val="single"/>
          </w:rPr>
          <w:t>MLPOD, 2026</w:t>
        </w:r>
      </w:hyperlink>
      <w:r>
        <w:t>). This report synthesizes current evidence on learning agents across definitions, learning mechanisms, architectures, applications, challenges, and future trends.</w:t>
      </w:r>
      <w:r/>
    </w:p>
    <w:p>
      <w:pPr>
        <w:pStyle w:val="Heading2"/>
      </w:pPr>
      <w:r>
        <w:t>Defining Learning Agents</w:t>
      </w:r>
      <w:r/>
    </w:p>
    <w:p>
      <w:r/>
      <w:r>
        <w:t>A standard AI definition describes an agent as any system that perceives its environment through sensors and acts on it through actuators, with an effector or “brain” determining how observations become actions (</w:t>
      </w:r>
      <w:hyperlink r:id="rId13">
        <w:r>
          <w:rPr>
            <w:color w:val="0000EE"/>
            <w:u w:val="single"/>
          </w:rPr>
          <w:t>Volcano Engine, 2026</w:t>
        </w:r>
      </w:hyperlink>
      <w:r>
        <w:t>). In large language model (LLM) agents, the model serves as the policy core, but the system becomes agentic only when it observes, plans, calls tools, and updates state. An autonomous agent is further defined as an advanced AI system that reasons from a goal, plans, and executes multistep tasks under built-in safety, privacy, and policy controls (</w:t>
      </w:r>
      <w:hyperlink r:id="rId14">
        <w:r>
          <w:rPr>
            <w:color w:val="0000EE"/>
            <w:u w:val="single"/>
          </w:rPr>
          <w:t>NVIDIA, 2026</w:t>
        </w:r>
      </w:hyperlink>
      <w:r>
        <w:t>).</w:t>
      </w:r>
      <w:r/>
    </w:p>
    <w:p>
      <w:r/>
      <w:r>
        <w:t>Learning agents extend this architecture with learning capability. Rather than remaining static after deployment, a learning agent can improve its policy, knowledge, or tools from experience. The self-evolution concept is defined as the ability of an AI system to learn, adapt, and enhance itself over time without explicit human reprogramming; this may involve adjusting strategies from feedback, updating memory, or modifying parts of its own logic (</w:t>
      </w:r>
      <w:hyperlink r:id="rId15">
        <w:r>
          <w:rPr>
            <w:color w:val="0000EE"/>
            <w:u w:val="single"/>
          </w:rPr>
          <w:t>PowerDrill, 2026</w:t>
        </w:r>
      </w:hyperlink>
      <w:r>
        <w:t>). The key contrast is shown in Table 1.</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Static LLM application</w:t>
            </w:r>
          </w:p>
        </w:tc>
        <w:tc>
          <w:tcPr>
            <w:tcW w:type="dxa" w:w="2880"/>
          </w:tcPr>
          <w:p>
            <w:r>
              <w:rPr>
                <w:b/>
              </w:rPr>
              <w:t>Learning agent</w:t>
            </w:r>
          </w:p>
        </w:tc>
      </w:tr>
      <w:tr>
        <w:tc>
          <w:tcPr>
            <w:tcW w:type="dxa" w:w="2880"/>
          </w:tcPr>
          <w:p>
            <w:r>
              <w:t>Paradigm</w:t>
            </w:r>
          </w:p>
        </w:tc>
        <w:tc>
          <w:tcPr>
            <w:tcW w:type="dxa" w:w="2880"/>
          </w:tcPr>
          <w:p>
            <w:r>
              <w:t>Request–response</w:t>
            </w:r>
          </w:p>
        </w:tc>
        <w:tc>
          <w:tcPr>
            <w:tcW w:type="dxa" w:w="2880"/>
          </w:tcPr>
          <w:p>
            <w:r>
              <w:t>Goal-oriented control loop</w:t>
            </w:r>
          </w:p>
        </w:tc>
      </w:tr>
      <w:tr>
        <w:tc>
          <w:tcPr>
            <w:tcW w:type="dxa" w:w="2880"/>
          </w:tcPr>
          <w:p>
            <w:r>
              <w:t>State</w:t>
            </w:r>
          </w:p>
        </w:tc>
        <w:tc>
          <w:tcPr>
            <w:tcW w:type="dxa" w:w="2880"/>
          </w:tcPr>
          <w:p>
            <w:r>
              <w:t>Context window</w:t>
            </w:r>
          </w:p>
        </w:tc>
        <w:tc>
          <w:tcPr>
            <w:tcW w:type="dxa" w:w="2880"/>
          </w:tcPr>
          <w:p>
            <w:r>
              <w:t>External memory and state tracking</w:t>
            </w:r>
          </w:p>
        </w:tc>
      </w:tr>
      <w:tr>
        <w:tc>
          <w:tcPr>
            <w:tcW w:type="dxa" w:w="2880"/>
          </w:tcPr>
          <w:p>
            <w:r>
              <w:t>Learning</w:t>
            </w:r>
          </w:p>
        </w:tc>
        <w:tc>
          <w:tcPr>
            <w:tcW w:type="dxa" w:w="2880"/>
          </w:tcPr>
          <w:p>
            <w:r>
              <w:t>Offline pretraining only</w:t>
            </w:r>
          </w:p>
        </w:tc>
        <w:tc>
          <w:tcPr>
            <w:tcW w:type="dxa" w:w="2880"/>
          </w:tcPr>
          <w:p>
            <w:r>
              <w:t>Continuous feedback-driven adaptation</w:t>
            </w:r>
          </w:p>
        </w:tc>
      </w:tr>
      <w:tr>
        <w:tc>
          <w:tcPr>
            <w:tcW w:type="dxa" w:w="2880"/>
          </w:tcPr>
          <w:p>
            <w:r>
              <w:t>Interaction</w:t>
            </w:r>
          </w:p>
        </w:tc>
        <w:tc>
          <w:tcPr>
            <w:tcW w:type="dxa" w:w="2880"/>
          </w:tcPr>
          <w:p>
            <w:r>
              <w:t>Single-turn</w:t>
            </w:r>
          </w:p>
        </w:tc>
        <w:tc>
          <w:tcPr>
            <w:tcW w:type="dxa" w:w="2880"/>
          </w:tcPr>
          <w:p>
            <w:r>
              <w:t>Multi-step environment interaction</w:t>
            </w:r>
          </w:p>
        </w:tc>
      </w:tr>
    </w:tbl>
    <w:p>
      <w:r/>
    </w:p>
    <w:p>
      <w:r/>
      <w:r>
        <w:rPr>
          <w:i/>
        </w:rPr>
        <w:t>Adapted from</w:t>
      </w:r>
      <w:r>
        <w:t xml:space="preserve"> (</w:t>
      </w:r>
      <w:hyperlink r:id="rId12">
        <w:r>
          <w:rPr>
            <w:color w:val="0000EE"/>
            <w:u w:val="single"/>
          </w:rPr>
          <w:t>MLPOD, 2026</w:t>
        </w:r>
      </w:hyperlink>
      <w:r>
        <w:t xml:space="preserve">; </w:t>
      </w:r>
      <w:hyperlink r:id="rId15">
        <w:r>
          <w:rPr>
            <w:color w:val="0000EE"/>
            <w:u w:val="single"/>
          </w:rPr>
          <w:t>PowerDrill, 2026</w:t>
        </w:r>
      </w:hyperlink>
      <w:r>
        <w:t>).</w:t>
      </w:r>
      <w:r/>
    </w:p>
    <w:p>
      <w:pPr>
        <w:pStyle w:val="Heading2"/>
      </w:pPr>
      <w:r>
        <w:t>Learning Mechanisms and Algorithmic Paradigms</w:t>
      </w:r>
      <w:r/>
    </w:p>
    <w:p>
      <w:pPr>
        <w:pStyle w:val="Heading3"/>
      </w:pPr>
      <w:r>
        <w:t>Reinforcement Learning and Imitation Learning</w:t>
      </w:r>
      <w:r/>
    </w:p>
    <w:p>
      <w:r/>
      <w:r>
        <w:t>Agent learning operates at three levels: learning strategies and mechanisms, agent-system organization, and foundation-model adaptation (</w:t>
      </w:r>
      <w:hyperlink r:id="rId16">
        <w:r>
          <w:rPr>
            <w:color w:val="0000EE"/>
            <w:u w:val="single"/>
          </w:rPr>
          <w:t>Yongge AI Notes, 2026</w:t>
        </w:r>
      </w:hyperlink>
      <w:r>
        <w:t>). Reinforcement learning is a natural fit for agent behavior because it directly optimizes long-term reward, typically formalized as a Markov decision process. The agent learns when to collect information, when to act, and how to recover across multi-step trajectories. In tool-rich real-world environments, however, reinforcement learning faces sparse rewards, high rollback cost, and expensive tool calls, which motivates offline RL and safe RL approaches (</w:t>
      </w:r>
      <w:hyperlink r:id="rId16">
        <w:r>
          <w:rPr>
            <w:color w:val="0000EE"/>
            <w:u w:val="single"/>
          </w:rPr>
          <w:t>Yongge AI Notes, 2026</w:t>
        </w:r>
      </w:hyperlink>
      <w:r>
        <w:t>).</w:t>
      </w:r>
      <w:r/>
    </w:p>
    <w:p>
      <w:r/>
      <w:r>
        <w:t>Imitation learning offers a pragmatic alternative when expert demonstrations are available. Behavioral cloning trains a policy to match expert actions, but it is susceptible to distribution drift and compounding errors; methods such as DAgger mitigate this by collecting corrective demonstrations on states induced by the learned policy (</w:t>
      </w:r>
      <w:hyperlink r:id="rId16">
        <w:r>
          <w:rPr>
            <w:color w:val="0000EE"/>
            <w:u w:val="single"/>
          </w:rPr>
          <w:t>Yongge AI Notes, 2026</w:t>
        </w:r>
      </w:hyperlink>
      <w:r>
        <w:t>).</w:t>
      </w:r>
      <w:r/>
    </w:p>
    <w:p>
      <w:pPr>
        <w:pStyle w:val="Heading3"/>
      </w:pPr>
      <w:r>
        <w:t>In-Context Learning, Reflexion, and Feedback Loops</w:t>
      </w:r>
      <w:r/>
    </w:p>
    <w:p>
      <w:r/>
      <w:r>
        <w:t>LLM agents can also learn within context without updating model weights. ReAct structures behavior as thinking–action–observation cycles. Reflexion extends ReAct by adding verbal reinforcement: three LLM roles—actor, evaluator, and self-reflection—work together so that the agent reviews prior actions and evaluator scores and learns from failure (</w:t>
      </w:r>
      <w:hyperlink r:id="rId13">
        <w:r>
          <w:rPr>
            <w:color w:val="0000EE"/>
            <w:u w:val="single"/>
          </w:rPr>
          <w:t>Volcano Engine, 2026</w:t>
        </w:r>
      </w:hyperlink>
      <w:r>
        <w:t>). This is an operational learning loop: the actor executes, the evaluator scores, and the reflection model produces corrective feedback.</w:t>
      </w:r>
      <w:r/>
    </w:p>
    <w:p>
      <w:r/>
      <w:r>
        <w:t>A more explicit learning architecture is the “trace-first” data loop. In this approach, the agent runs in a real environment, records full trajectories—prompts, tool calls, and results—and continuously mines failure cases for targeted improvement, such as prompt revision, new tool creation, or fine-tuning on corrected trajectories. This shifts learning from one-time model training to continuous system refinement (</w:t>
      </w:r>
      <w:hyperlink r:id="rId16">
        <w:r>
          <w:rPr>
            <w:color w:val="0000EE"/>
            <w:u w:val="single"/>
          </w:rPr>
          <w:t>Yongge AI Notes, 2026</w:t>
        </w:r>
      </w:hyperlink>
      <w:r>
        <w:t>).</w:t>
      </w:r>
      <w:r/>
    </w:p>
    <w:p>
      <w:pPr>
        <w:pStyle w:val="Heading3"/>
      </w:pPr>
      <w:r>
        <w:t>Self-Evolution, Meta-Learning, and Recursive Self-Modification</w:t>
      </w:r>
      <w:r/>
    </w:p>
    <w:p>
      <w:r/>
      <w:r>
        <w:t>Self-evolving agents combine three technical foundations: reinforcement learning through trial-and-error reward, meta-learning—“learning how to learn”—for faster adaptation, and recursive self-modification, in which an agent rewrites parts of its own policy or code against a high-level goal (</w:t>
      </w:r>
      <w:hyperlink r:id="rId15">
        <w:r>
          <w:rPr>
            <w:color w:val="0000EE"/>
            <w:u w:val="single"/>
          </w:rPr>
          <w:t>PowerDrill, 2026</w:t>
        </w:r>
      </w:hyperlink>
      <w:r>
        <w:t>). Early prototypes illustrate this direction. AutoGPT decomposes a high-level goal into subtasks, iteratively prompts itself, uses tools, and revises plans based on intermediate results (</w:t>
      </w:r>
      <w:hyperlink r:id="rId15">
        <w:r>
          <w:rPr>
            <w:color w:val="0000EE"/>
            <w:u w:val="single"/>
          </w:rPr>
          <w:t>PowerDrill, 2026</w:t>
        </w:r>
      </w:hyperlink>
      <w:r>
        <w:t>). Gödel Agent, a research prototype, uses an LLM to propose modifications to its own reasoning logic and has shown improvement on mathematical problem solving and planning, thereby validating recursive self-improvement in a limited setting (</w:t>
      </w:r>
      <w:hyperlink r:id="rId15">
        <w:r>
          <w:rPr>
            <w:color w:val="0000EE"/>
            <w:u w:val="single"/>
          </w:rPr>
          <w:t>PowerDrill, 2026</w:t>
        </w:r>
      </w:hyperlink>
      <w:r>
        <w:t>).</w:t>
      </w:r>
      <w:r/>
    </w:p>
    <w:p>
      <w:r/>
      <w:r>
        <w:t>The broad survey of agentic reasoning organizes these capacities into three layers: foundational, self-evolving, and collective. Foundational agents focus on planning, tool use, and search; self-evolving agents add feedback, memory, and continuous adaptation; collective systems use role division, collaboration, and co-evolution to solve more complex problems (</w:t>
      </w:r>
      <w:hyperlink r:id="rId12">
        <w:r>
          <w:rPr>
            <w:color w:val="0000EE"/>
            <w:u w:val="single"/>
          </w:rPr>
          <w:t>MLPOD, 2026</w:t>
        </w:r>
      </w:hyperlink>
      <w:r>
        <w:t>). Table 2 summarizes the main mechanisms.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Mechanism</w:t>
            </w:r>
          </w:p>
        </w:tc>
        <w:tc>
          <w:tcPr>
            <w:tcW w:type="dxa" w:w="2160"/>
          </w:tcPr>
          <w:p>
            <w:r>
              <w:rPr>
                <w:b/>
              </w:rPr>
              <w:t>Core idea</w:t>
            </w:r>
          </w:p>
        </w:tc>
        <w:tc>
          <w:tcPr>
            <w:tcW w:type="dxa" w:w="2160"/>
          </w:tcPr>
          <w:p>
            <w:r>
              <w:rPr>
                <w:b/>
              </w:rPr>
              <w:t>Strengths</w:t>
            </w:r>
          </w:p>
        </w:tc>
        <w:tc>
          <w:tcPr>
            <w:tcW w:type="dxa" w:w="2160"/>
          </w:tcPr>
          <w:p>
            <w:r>
              <w:rPr>
                <w:b/>
              </w:rPr>
              <w:t>Key limitations</w:t>
            </w:r>
          </w:p>
        </w:tc>
      </w:tr>
      <w:tr>
        <w:tc>
          <w:tcPr>
            <w:tcW w:type="dxa" w:w="2160"/>
          </w:tcPr>
          <w:p>
            <w:r>
              <w:t>Reinforcement learning</w:t>
            </w:r>
          </w:p>
        </w:tc>
        <w:tc>
          <w:tcPr>
            <w:tcW w:type="dxa" w:w="2160"/>
          </w:tcPr>
          <w:p>
            <w:r>
              <w:t>Optimize long-term reward via environment interaction</w:t>
            </w:r>
          </w:p>
        </w:tc>
        <w:tc>
          <w:tcPr>
            <w:tcW w:type="dxa" w:w="2160"/>
          </w:tcPr>
          <w:p>
            <w:r>
              <w:t>General policy optimization</w:t>
            </w:r>
          </w:p>
        </w:tc>
        <w:tc>
          <w:tcPr>
            <w:tcW w:type="dxa" w:w="2160"/>
          </w:tcPr>
          <w:p>
            <w:r>
              <w:t>Sparse reward, high rollback cost</w:t>
            </w:r>
          </w:p>
        </w:tc>
      </w:tr>
      <w:tr>
        <w:tc>
          <w:tcPr>
            <w:tcW w:type="dxa" w:w="2160"/>
          </w:tcPr>
          <w:p>
            <w:r>
              <w:t>Imitation learning</w:t>
            </w:r>
          </w:p>
        </w:tc>
        <w:tc>
          <w:tcPr>
            <w:tcW w:type="dxa" w:w="2160"/>
          </w:tcPr>
          <w:p>
            <w:r>
              <w:t>Match expert demonstrations</w:t>
            </w:r>
          </w:p>
        </w:tc>
        <w:tc>
          <w:tcPr>
            <w:tcW w:type="dxa" w:w="2160"/>
          </w:tcPr>
          <w:p>
            <w:r>
              <w:t>Sample-efficient</w:t>
            </w:r>
          </w:p>
        </w:tc>
        <w:tc>
          <w:tcPr>
            <w:tcW w:type="dxa" w:w="2160"/>
          </w:tcPr>
          <w:p>
            <w:r>
              <w:t>Distribution shift, compounding errors</w:t>
            </w:r>
          </w:p>
        </w:tc>
      </w:tr>
      <w:tr>
        <w:tc>
          <w:tcPr>
            <w:tcW w:type="dxa" w:w="2160"/>
          </w:tcPr>
          <w:p>
            <w:r>
              <w:t>In-context learning</w:t>
            </w:r>
          </w:p>
        </w:tc>
        <w:tc>
          <w:tcPr>
            <w:tcW w:type="dxa" w:w="2160"/>
          </w:tcPr>
          <w:p>
            <w:r>
              <w:t>Adapt through prompt and retrieved context</w:t>
            </w:r>
          </w:p>
        </w:tc>
        <w:tc>
          <w:tcPr>
            <w:tcW w:type="dxa" w:w="2160"/>
          </w:tcPr>
          <w:p>
            <w:r>
              <w:t>No retraining required</w:t>
            </w:r>
          </w:p>
        </w:tc>
        <w:tc>
          <w:tcPr>
            <w:tcW w:type="dxa" w:w="2160"/>
          </w:tcPr>
          <w:p>
            <w:r>
              <w:t>Limited by context window</w:t>
            </w:r>
          </w:p>
        </w:tc>
      </w:tr>
      <w:tr>
        <w:tc>
          <w:tcPr>
            <w:tcW w:type="dxa" w:w="2160"/>
          </w:tcPr>
          <w:p>
            <w:r>
              <w:t>Reflexion</w:t>
            </w:r>
          </w:p>
        </w:tc>
        <w:tc>
          <w:tcPr>
            <w:tcW w:type="dxa" w:w="2160"/>
          </w:tcPr>
          <w:p>
            <w:r>
              <w:t>Learn from self-review and verbal feedback</w:t>
            </w:r>
          </w:p>
        </w:tc>
        <w:tc>
          <w:tcPr>
            <w:tcW w:type="dxa" w:w="2160"/>
          </w:tcPr>
          <w:p>
            <w:r>
              <w:t>Corrects failures</w:t>
            </w:r>
          </w:p>
        </w:tc>
        <w:tc>
          <w:tcPr>
            <w:tcW w:type="dxa" w:w="2160"/>
          </w:tcPr>
          <w:p>
            <w:r>
              <w:t>Depends on evaluator reliability</w:t>
            </w:r>
          </w:p>
        </w:tc>
      </w:tr>
      <w:tr>
        <w:tc>
          <w:tcPr>
            <w:tcW w:type="dxa" w:w="2160"/>
          </w:tcPr>
          <w:p>
            <w:r>
              <w:t>Recursive self-modification</w:t>
            </w:r>
          </w:p>
        </w:tc>
        <w:tc>
          <w:tcPr>
            <w:tcW w:type="dxa" w:w="2160"/>
          </w:tcPr>
          <w:p>
            <w:r>
              <w:t>Rewrite parts of own policy or code</w:t>
            </w:r>
          </w:p>
        </w:tc>
        <w:tc>
          <w:tcPr>
            <w:tcW w:type="dxa" w:w="2160"/>
          </w:tcPr>
          <w:p>
            <w:r>
              <w:t>High capability ceiling</w:t>
            </w:r>
          </w:p>
        </w:tc>
        <w:tc>
          <w:tcPr>
            <w:tcW w:type="dxa" w:w="2160"/>
          </w:tcPr>
          <w:p>
            <w:r>
              <w:t>Safety and alignment risks</w:t>
            </w:r>
          </w:p>
        </w:tc>
      </w:tr>
    </w:tbl>
    <w:p>
      <w:r/>
    </w:p>
    <w:p>
      <w:r/>
      <w:r>
        <w:rPr>
          <w:i/>
        </w:rPr>
        <w:t>Sources: (</w:t>
      </w:r>
      <w:hyperlink r:id="rId16">
        <w:r>
          <w:rPr>
            <w:color w:val="0000EE"/>
            <w:u w:val="single"/>
          </w:rPr>
          <w:t>Yongge AI Notes, 2026</w:t>
        </w:r>
      </w:hyperlink>
      <w:r>
        <w:rPr>
          <w:i/>
        </w:rPr>
        <w:t xml:space="preserve">; </w:t>
      </w:r>
      <w:hyperlink r:id="rId15">
        <w:r>
          <w:rPr>
            <w:color w:val="0000EE"/>
            <w:u w:val="single"/>
          </w:rPr>
          <w:t>PowerDrill, 2026</w:t>
        </w:r>
      </w:hyperlink>
      <w:r>
        <w:rPr>
          <w:i/>
        </w:rPr>
        <w:t>).</w:t>
      </w:r>
      <w:r/>
    </w:p>
    <w:p>
      <w:pPr>
        <w:pStyle w:val="Heading2"/>
      </w:pPr>
      <w:r>
        <w:t>Architectures and System Building Blocks</w:t>
      </w:r>
      <w:r/>
    </w:p>
    <w:p>
      <w:r/>
      <w:r>
        <w:t>A learning agent is best understood as a system rather than a model. A common execution loop includes collecting observations, retrieving memory, generating an action, verifying constraints, executing tools, and updating memory and state (</w:t>
      </w:r>
      <w:hyperlink r:id="rId16">
        <w:r>
          <w:rPr>
            <w:color w:val="0000EE"/>
            <w:u w:val="single"/>
          </w:rPr>
          <w:t>Yongge AI Notes, 2026</w:t>
        </w:r>
      </w:hyperlink>
      <w:r>
        <w:t>). The three recurring components in many designs are memory, tools, and planning (</w:t>
      </w:r>
      <w:hyperlink r:id="rId13">
        <w:r>
          <w:rPr>
            <w:color w:val="0000EE"/>
            <w:u w:val="single"/>
          </w:rPr>
          <w:t>Volcano Engine, 2026</w:t>
        </w:r>
      </w:hyperlink>
      <w:r>
        <w:t>). Multi-agent systems add agent initialization and coordination, where specialized agents operate under supervision and may have different tools and memory systems (</w:t>
      </w:r>
      <w:hyperlink r:id="rId13">
        <w:r>
          <w:rPr>
            <w:color w:val="0000EE"/>
            <w:u w:val="single"/>
          </w:rPr>
          <w:t>Volcano Engine, 2026</w:t>
        </w:r>
      </w:hyperlink>
      <w:r>
        <w:t>).</w:t>
      </w:r>
      <w:r/>
    </w:p>
    <w:p>
      <w:r/>
      <w:r>
        <w:t>In 2025, three breakthroughs accelerated this architecture: stronger base models, mainstream multi-agent systems, and open protocols such as Model Context Protocol and Agent-to-Agent Protocol, which establish interoperability standards for the agent internet (</w:t>
      </w:r>
      <w:hyperlink r:id="rId11">
        <w:r>
          <w:rPr>
            <w:color w:val="0000EE"/>
            <w:u w:val="single"/>
          </w:rPr>
          <w:t>iEduMedia, 2026</w:t>
        </w:r>
      </w:hyperlink>
      <w:r>
        <w:t>).</w:t>
      </w:r>
      <w:r/>
    </w:p>
    <w:p>
      <w:r/>
      <w:r>
        <w:t>Learning-specific patterns also appear in production examples. A report-generation agent on AWS Bedrock implements a “generation–evaluation–iterative optimization” loop, storing standards and expert knowledge in a vector database and iterating until a quality threshold is met (</w:t>
      </w:r>
      <w:hyperlink r:id="rId17">
        <w:r>
          <w:rPr>
            <w:color w:val="0000EE"/>
            <w:u w:val="single"/>
          </w:rPr>
          <w:t>AWS, 2026</w:t>
        </w:r>
      </w:hyperlink>
      <w:r>
        <w:t>). A data-agent pipeline parses requirements, decomposes tasks, calls tools, verifies results, and optimizes delivery; in a manufacturing case, this workflow reduced daily report generation from four hours to eight minutes and cut manual review by 70% (</w:t>
      </w:r>
      <w:hyperlink r:id="rId18">
        <w:r>
          <w:rPr>
            <w:color w:val="0000EE"/>
            <w:u w:val="single"/>
          </w:rPr>
          <w:t>Baidu AI Cloud, 2026</w:t>
        </w:r>
      </w:hyperlink>
      <w:r>
        <w:t>). These are feedback-driven systems: they do not necessarily rewrite their own core models, but they learn operationally through verification loops.</w:t>
      </w:r>
      <w:r/>
    </w:p>
    <w:p>
      <w:pPr>
        <w:pStyle w:val="Heading2"/>
      </w:pPr>
      <w:r>
        <w:t>Application Scenarios</w:t>
      </w:r>
      <w:r/>
    </w:p>
    <w:p>
      <w:pPr>
        <w:pStyle w:val="Heading3"/>
      </w:pPr>
      <w:r>
        <w:t>Industrial Agents</w:t>
      </w:r>
      <w:r/>
    </w:p>
    <w:p>
      <w:r/>
      <w:r>
        <w:t>Industrial AI agents illustrate the transition from “assisted judgment” to “closed-loop execution.” Under the factory-native principle, agents learn industrial constraints only through real production processes and continuous feedback; this allows them to accumulate experience and iterate. Priority scenarios include scheduling, process optimization, execution monitoring, and equipment maintenance, where tasks are frequent, constraints are clear, data can be continuously accessed, and results can be quantitatively verified (</w:t>
      </w:r>
      <w:hyperlink r:id="rId19">
        <w:r>
          <w:rPr>
            <w:color w:val="0000EE"/>
            <w:u w:val="single"/>
          </w:rPr>
          <w:t>SmartCity Team, 2026</w:t>
        </w:r>
      </w:hyperlink>
      <w:r>
        <w:t>). The market maturity data, however, shows that 75% of industrial agents remain in laboratory validation and only 9.1% have achieved deployment (</w:t>
      </w:r>
      <w:hyperlink r:id="rId9">
        <w:r>
          <w:rPr>
            <w:color w:val="0000EE"/>
            <w:u w:val="single"/>
          </w:rPr>
          <w:t>Tecdat, 2026</w:t>
        </w:r>
      </w:hyperlink>
      <w:r>
        <w:t>).</w:t>
      </w:r>
      <w:r/>
    </w:p>
    <w:p>
      <w:pPr>
        <w:pStyle w:val="Heading3"/>
      </w:pPr>
      <w:r>
        <w:t>Data Analysis and Report Generation</w:t>
      </w:r>
      <w:r/>
    </w:p>
    <w:p>
      <w:r/>
      <w:r>
        <w:t>Learning-based feedback loops are visible in data and report agents. NVIDIA’s report-generator agent, built with LangGraph and NVIDIA NIM, coordinates four components: initial research, outline planning, section writing, and final compilation (</w:t>
      </w:r>
      <w:hyperlink r:id="rId20">
        <w:r>
          <w:rPr>
            <w:color w:val="0000EE"/>
            <w:u w:val="single"/>
          </w:rPr>
          <w:t>NVIDIA Technical Blog, 2025</w:t>
        </w:r>
      </w:hyperlink>
      <w:r>
        <w:t>). AWS’s ESG report agent uses Map-Reduce parallel generation combined with evaluation and iterative refinement, embedding quality control directly into the workflow (</w:t>
      </w:r>
      <w:hyperlink r:id="rId17">
        <w:r>
          <w:rPr>
            <w:color w:val="0000EE"/>
            <w:u w:val="single"/>
          </w:rPr>
          <w:t>AWS, 2026</w:t>
        </w:r>
      </w:hyperlink>
      <w:r>
        <w:t>).</w:t>
      </w:r>
      <w:r/>
    </w:p>
    <w:p>
      <w:pPr>
        <w:pStyle w:val="Heading3"/>
      </w:pPr>
      <w:r>
        <w:t>Education Agents</w:t>
      </w:r>
      <w:r/>
    </w:p>
    <w:p>
      <w:r/>
      <w:r>
        <w:t>Education agents are also moving from static answering to adaptive teaching loops. Zhejiang University’s campus agent platform, “Zheda Xiansheng,” uses student learning data to dynamically adjust teaching content and tutoring strategies, while Xi’an Jiaotong University’s “Jiaoxiaozhi” supports customizable teaching assistants and precise resource recommendations. These examples show preference for agents that adapt to learner state rather than providing one-shot answers (</w:t>
      </w:r>
      <w:hyperlink r:id="rId21">
        <w:r>
          <w:rPr>
            <w:color w:val="0000EE"/>
            <w:u w:val="single"/>
          </w:rPr>
          <w:t>China Education and Research Network, 2026</w:t>
        </w:r>
      </w:hyperlink>
      <w:r>
        <w:t>).</w:t>
      </w:r>
      <w:r/>
    </w:p>
    <w:p>
      <w:pPr>
        <w:pStyle w:val="Heading2"/>
      </w:pPr>
      <w:r>
        <w:t>Technical Challenges and Risks</w:t>
      </w:r>
      <w:r/>
    </w:p>
    <w:p>
      <w:r/>
      <w:r>
        <w:t>Several constraints limit learning-agent reliability. Reinforcement learning suffers from sparse rewards, high rollback cost, and expensive tool calls; imitation learning suffers from distribution drift; and recursive self-modification creates safety and alignment risks if agent changes diverge from human intent (</w:t>
      </w:r>
      <w:hyperlink r:id="rId16">
        <w:r>
          <w:rPr>
            <w:color w:val="0000EE"/>
            <w:u w:val="single"/>
          </w:rPr>
          <w:t>Yongge AI Notes, 2026</w:t>
        </w:r>
      </w:hyperlink>
      <w:r>
        <w:t xml:space="preserve">; </w:t>
      </w:r>
      <w:hyperlink r:id="rId15">
        <w:r>
          <w:rPr>
            <w:color w:val="0000EE"/>
            <w:u w:val="single"/>
          </w:rPr>
          <w:t>PowerDrill, 2026</w:t>
        </w:r>
      </w:hyperlink>
      <w:r>
        <w:t>). Current AI agents are often static, with limited adaptability, dependence on manual maintenance, and no built-in mechanism to correct hallucinations from prior errors (</w:t>
      </w:r>
      <w:hyperlink r:id="rId15">
        <w:r>
          <w:rPr>
            <w:color w:val="0000EE"/>
            <w:u w:val="single"/>
          </w:rPr>
          <w:t>PowerDrill, 2026</w:t>
        </w:r>
      </w:hyperlink>
      <w:r>
        <w:t>). Multi-agent systems introduce additional risks such as collective hallucination, agent disagreement, and conflicting agent behaviors (</w:t>
      </w:r>
      <w:hyperlink r:id="rId16">
        <w:r>
          <w:rPr>
            <w:color w:val="0000EE"/>
            <w:u w:val="single"/>
          </w:rPr>
          <w:t>Yongge AI Notes, 2026</w:t>
        </w:r>
      </w:hyperlink>
      <w:r>
        <w:t>). Evaluation is also difficult because agent results depend heavily on prompts and seeds; researchers call for trace-first evaluation and standardized protocols (</w:t>
      </w:r>
      <w:hyperlink r:id="rId16">
        <w:r>
          <w:rPr>
            <w:color w:val="0000EE"/>
            <w:u w:val="single"/>
          </w:rPr>
          <w:t>Yongge AI Notes, 2026</w:t>
        </w:r>
      </w:hyperlink>
      <w:r>
        <w:t>).</w:t>
      </w:r>
      <w:r/>
    </w:p>
    <w:p>
      <w:pPr>
        <w:pStyle w:val="Heading2"/>
      </w:pPr>
      <w:r>
        <w:t>Market Trends and Future Outlook</w:t>
      </w:r>
      <w:r/>
    </w:p>
    <w:p>
      <w:r/>
      <w:r>
        <w:t>Commercial interest in agents is expanding rapidly. The global AI agent market is estimated at USD 28.6 billion in 2026 and projected to reach USD 159 billion by 2030, with a compound annual growth rate of 53.6%; the open-source local deployment submarket is estimated at USD 5.1 billion in 2026 and USD 28.6 billion by 2030 (</w:t>
      </w:r>
      <w:hyperlink r:id="rId9">
        <w:r>
          <w:rPr>
            <w:color w:val="0000EE"/>
            <w:u w:val="single"/>
          </w:rPr>
          <w:t>Tecdat, 2026</w:t>
        </w:r>
      </w:hyperlink>
      <w:r>
        <w:t>). Developer attention is indicated by GitHub stars: OpenClaw has 216,000, AutoGPT 170,000, and Hermes Agent 95,600 (</w:t>
      </w:r>
      <w:hyperlink r:id="rId9">
        <w:r>
          <w:rPr>
            <w:color w:val="0000EE"/>
            <w:u w:val="single"/>
          </w:rPr>
          <w:t>Tecdat, 2026</w:t>
        </w:r>
      </w:hyperlink>
      <w:r>
        <w:t>).</w:t>
      </w:r>
      <w:r/>
    </w:p>
    <w:p>
      <w:r/>
      <w:r>
        <w:t>Several trends are likely to shape learning agents after 2026. First, the underlying commercial logic is moving from “connecting information” to “acting on behalf of people,” which increases demand for agents that can improve through use rather than remain frozen after deployment (</w:t>
      </w:r>
      <w:hyperlink r:id="rId9">
        <w:r>
          <w:rPr>
            <w:color w:val="0000EE"/>
            <w:u w:val="single"/>
          </w:rPr>
          <w:t>Tecdat, 2026</w:t>
        </w:r>
      </w:hyperlink>
      <w:r>
        <w:t>). Second, multi-agent coordination is becoming standard, supported by open protocols and role-based collaboration (</w:t>
      </w:r>
      <w:hyperlink r:id="rId11">
        <w:r>
          <w:rPr>
            <w:color w:val="0000EE"/>
            <w:u w:val="single"/>
          </w:rPr>
          <w:t>iEduMedia, 2026</w:t>
        </w:r>
      </w:hyperlink>
      <w:r>
        <w:t>). Third, self-evolving AI is expected to move from laboratory prototypes toward practical enterprise use, though it will require safeguards, monitoring, and governance to keep autonomous changes aligned with human objectives (</w:t>
      </w:r>
      <w:hyperlink r:id="rId15">
        <w:r>
          <w:rPr>
            <w:color w:val="0000EE"/>
            <w:u w:val="single"/>
          </w:rPr>
          <w:t>PowerDrill, 2026</w:t>
        </w:r>
      </w:hyperlink>
      <w:r>
        <w:t>). Finally, industry analysis suggests that agent mode will be integrated into a large share of enterprise data systems, with trends toward multimodal interaction, autonomous evolution via reinforcement learning, and edge deployment (</w:t>
      </w:r>
      <w:hyperlink r:id="rId18">
        <w:r>
          <w:rPr>
            <w:color w:val="0000EE"/>
            <w:u w:val="single"/>
          </w:rPr>
          <w:t>Baidu AI Cloud, 2026</w:t>
        </w:r>
      </w:hyperlink>
      <w:r>
        <w:t>).</w:t>
      </w:r>
      <w:r/>
    </w:p>
    <w:p>
      <w:pPr>
        <w:pStyle w:val="Heading2"/>
      </w:pPr>
      <w:r>
        <w:t>Conclusion</w:t>
      </w:r>
      <w:r/>
    </w:p>
    <w:p>
      <w:r/>
      <w:r>
        <w:t>The evidence across sources supports a bounded-learning conclusion: the most credible learning agents in 2026 are not unbounded self-modifying systems, but supervised feedback loops embedded in domain-specific workflows. Their value comes from continuous system refinement—recording trajectories, mining failures, evaluating outputs, and adjusting tools or prompts—rather than from complete autonomy. Recursive self-improvement offers a higher strategic ceiling, but its practical deployment depends on verification, safety controls, and alignment with human intent. As agents move from answering questions to completing complex tasks, learning capability will likely become the main differentiator between static assistants and durable digital workers.</w:t>
      </w:r>
      <w:r/>
    </w:p>
    <w:p>
      <w:pPr>
        <w:pStyle w:val="Heading2"/>
      </w:pPr>
      <w:r>
        <w:t>References</w:t>
      </w:r>
      <w:r/>
    </w:p>
    <w:p>
      <w:r/>
      <w:r>
        <w:t xml:space="preserve">AgeClub. (2026, March 24). </w:t>
      </w:r>
      <w:r>
        <w:rPr>
          <w:i/>
        </w:rPr>
        <w:t>大模型时代AI智能体发展研究报告（2026）</w:t>
      </w:r>
      <w:r>
        <w:t xml:space="preserve">. AgeClub. </w:t>
      </w:r>
      <w:hyperlink r:id="rId10">
        <w:r>
          <w:rPr>
            <w:color w:val="0000EE"/>
            <w:u w:val="single"/>
          </w:rPr>
          <w:t>https://m.ageclub.net/article-detail/8653</w:t>
        </w:r>
      </w:hyperlink>
      <w:r/>
    </w:p>
    <w:p>
      <w:r/>
      <w:r>
        <w:t xml:space="preserve">Amazon Web Services. (2026). </w:t>
      </w:r>
      <w:r>
        <w:rPr>
          <w:i/>
        </w:rPr>
        <w:t>利用AWS Bedrock构建智能报告生成Agent</w:t>
      </w:r>
      <w:r>
        <w:t xml:space="preserve">. AWS Official Blog. </w:t>
      </w:r>
      <w:hyperlink r:id="rId17">
        <w:r>
          <w:rPr>
            <w:color w:val="0000EE"/>
            <w:u w:val="single"/>
          </w:rPr>
          <w:t>https://aws.amazon.com/cn/blogs/china/building-intelligent-report-generation-agent-with-aws-bedrock</w:t>
        </w:r>
      </w:hyperlink>
      <w:r/>
    </w:p>
    <w:p>
      <w:r/>
      <w:r>
        <w:t xml:space="preserve">Baidu AI Cloud. (2026). </w:t>
      </w:r>
      <w:r>
        <w:rPr>
          <w:i/>
        </w:rPr>
        <w:t>新一代智能大模型Agent模式深度解析：从数据处理到自动化报告生成</w:t>
      </w:r>
      <w:r>
        <w:t xml:space="preserve">. Baidu International. </w:t>
      </w:r>
      <w:hyperlink r:id="rId18">
        <w:r>
          <w:rPr>
            <w:color w:val="0000EE"/>
            <w:u w:val="single"/>
          </w:rPr>
          <w:t>https://intl.cloud.baidu.com/zh/article/8753301</w:t>
        </w:r>
      </w:hyperlink>
      <w:r/>
    </w:p>
    <w:p>
      <w:r/>
      <w:r>
        <w:t xml:space="preserve">China Education and Research Network. (2026, June 18). </w:t>
      </w:r>
      <w:r>
        <w:rPr>
          <w:i/>
        </w:rPr>
        <w:t>高校如何打造好用、落地的教育智能体？</w:t>
      </w:r>
      <w:r>
        <w:t xml:space="preserve">. CERNET. </w:t>
      </w:r>
      <w:hyperlink r:id="rId21">
        <w:r>
          <w:rPr>
            <w:color w:val="0000EE"/>
            <w:u w:val="single"/>
          </w:rPr>
          <w:t>https://www.edu.cn/xxh/xy/xytp/202606/t20260617_2746057.shtml</w:t>
        </w:r>
      </w:hyperlink>
      <w:r/>
    </w:p>
    <w:p>
      <w:r/>
      <w:r>
        <w:t xml:space="preserve">iEduMedia. (2026, January 23). </w:t>
      </w:r>
      <w:r>
        <w:rPr>
          <w:i/>
        </w:rPr>
        <w:t>行业报告丨2026年AI Agent智能体技术发展报告</w:t>
      </w:r>
      <w:r>
        <w:t xml:space="preserve">. 智教新媒. </w:t>
      </w:r>
      <w:hyperlink r:id="rId11">
        <w:r>
          <w:rPr>
            <w:color w:val="0000EE"/>
            <w:u w:val="single"/>
          </w:rPr>
          <w:t>https://www.iedumedia.com/news/newsinfo/1645</w:t>
        </w:r>
      </w:hyperlink>
      <w:r/>
    </w:p>
    <w:p>
      <w:r/>
      <w:r>
        <w:t xml:space="preserve">MLPOD. (2026). </w:t>
      </w:r>
      <w:r>
        <w:rPr>
          <w:i/>
        </w:rPr>
        <w:t>Agentic Reasoning for Large Language Models 综述：基础、进化与协作</w:t>
      </w:r>
      <w:r>
        <w:t xml:space="preserve">. Machine Learning POD. </w:t>
      </w:r>
      <w:hyperlink r:id="rId12">
        <w:r>
          <w:rPr>
            <w:color w:val="0000EE"/>
            <w:u w:val="single"/>
          </w:rPr>
          <w:t>https://www.mlpod.com/papers/1392</w:t>
        </w:r>
      </w:hyperlink>
      <w:r/>
    </w:p>
    <w:p>
      <w:r/>
      <w:r>
        <w:t xml:space="preserve">NVIDIA. (2026). </w:t>
      </w:r>
      <w:r>
        <w:rPr>
          <w:i/>
        </w:rPr>
        <w:t>什么是自主 AI 智能体？</w:t>
      </w:r>
      <w:r>
        <w:t xml:space="preserve">. NVIDIA Glossary. </w:t>
      </w:r>
      <w:hyperlink r:id="rId14">
        <w:r>
          <w:rPr>
            <w:color w:val="0000EE"/>
            <w:u w:val="single"/>
          </w:rPr>
          <w:t>https://www.nvidia.cn/glossary/ai-agents</w:t>
        </w:r>
      </w:hyperlink>
      <w:r/>
    </w:p>
    <w:p>
      <w:r/>
      <w:r>
        <w:t xml:space="preserve">NVIDIA Technical Blog. (2025, September 15). </w:t>
      </w:r>
      <w:r>
        <w:rPr>
          <w:i/>
        </w:rPr>
        <w:t>Build a Report Generator AI Agent with NVIDIA Nemotron on OpenRouter</w:t>
      </w:r>
      <w:r>
        <w:t xml:space="preserve">. NVIDIA Developer. </w:t>
      </w:r>
      <w:hyperlink r:id="rId20">
        <w:r>
          <w:rPr>
            <w:color w:val="0000EE"/>
            <w:u w:val="single"/>
          </w:rPr>
          <w:t>https://developer.nvidia.com/blog/build-a-report-generator-ai-agent-with-nvidia-nemotron-on-openrouter</w:t>
        </w:r>
      </w:hyperlink>
      <w:r/>
    </w:p>
    <w:p>
      <w:r/>
      <w:r>
        <w:t xml:space="preserve">PowerDrill. (2026). </w:t>
      </w:r>
      <w:r>
        <w:rPr>
          <w:i/>
        </w:rPr>
        <w:t>自演进数据智能体：开启智能体自主学习与自适应之路</w:t>
      </w:r>
      <w:r>
        <w:t xml:space="preserve">. PowerDrill Blog. </w:t>
      </w:r>
      <w:hyperlink r:id="rId15">
        <w:r>
          <w:rPr>
            <w:color w:val="0000EE"/>
            <w:u w:val="single"/>
          </w:rPr>
          <w:t>https://powerdrill.ai/zh-CN/blog/self-improving-data-agents</w:t>
        </w:r>
      </w:hyperlink>
      <w:r/>
    </w:p>
    <w:p>
      <w:r/>
      <w:r>
        <w:t xml:space="preserve">SmartCity Team. (2026). </w:t>
      </w:r>
      <w:r>
        <w:rPr>
          <w:i/>
        </w:rPr>
        <w:t>甲子光年智库：2026工业AI智能体研究报告</w:t>
      </w:r>
      <w:r>
        <w:t xml:space="preserve">. 智慧城市行业分析. </w:t>
      </w:r>
      <w:hyperlink r:id="rId19">
        <w:r>
          <w:rPr>
            <w:color w:val="0000EE"/>
            <w:u w:val="single"/>
          </w:rPr>
          <w:t>https://www.smartcity.team/reports/jiazi_induaiagent</w:t>
        </w:r>
      </w:hyperlink>
      <w:r/>
    </w:p>
    <w:p>
      <w:r/>
      <w:r>
        <w:t xml:space="preserve">Tecdat. (2026, June 5). </w:t>
      </w:r>
      <w:r>
        <w:rPr>
          <w:i/>
        </w:rPr>
        <w:t>2026年Agent智能体深度研究报告：问答到行动—产业化路径与风险全景</w:t>
      </w:r>
      <w:r>
        <w:t xml:space="preserve">. SegmentFault 思否. </w:t>
      </w:r>
      <w:hyperlink r:id="rId9">
        <w:r>
          <w:rPr>
            <w:color w:val="0000EE"/>
            <w:u w:val="single"/>
          </w:rPr>
          <w:t>https://segmentfault.com/a/1190000047820216</w:t>
        </w:r>
      </w:hyperlink>
      <w:r/>
    </w:p>
    <w:p>
      <w:r/>
      <w:r>
        <w:t xml:space="preserve">Volcano Engine. (2026). </w:t>
      </w:r>
      <w:r>
        <w:rPr>
          <w:i/>
        </w:rPr>
        <w:t>AI Agents全栈技术框架综述与未来</w:t>
      </w:r>
      <w:r>
        <w:t xml:space="preserve">. 火山引擎开发者社区. </w:t>
      </w:r>
      <w:hyperlink r:id="rId13">
        <w:r>
          <w:rPr>
            <w:color w:val="0000EE"/>
            <w:u w:val="single"/>
          </w:rPr>
          <w:t>https://developer.volcengine.com/articles/7485526538503323659</w:t>
        </w:r>
      </w:hyperlink>
      <w:r/>
    </w:p>
    <w:p>
      <w:r/>
      <w:r>
        <w:t xml:space="preserve">Yongge AI Notes. (2026, March 11). </w:t>
      </w:r>
      <w:r>
        <w:rPr>
          <w:i/>
        </w:rPr>
        <w:t>Agent 即系统：面向可靠性的智能体架构、多维评估与未来挑战</w:t>
      </w:r>
      <w:r>
        <w:t xml:space="preserve">. Tencent Cloud Developer Community. </w:t>
      </w:r>
      <w:hyperlink r:id="rId16">
        <w:r>
          <w:rPr>
            <w:color w:val="0000EE"/>
            <w:u w:val="single"/>
          </w:rPr>
          <w:t>https://cloud.tencent.com/developer/article/2637126</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gmentfault.com/a/1190000047820216" TargetMode="External"/><Relationship Id="rId10" Type="http://schemas.openxmlformats.org/officeDocument/2006/relationships/hyperlink" Target="https://m.ageclub.net/article-detail/8653" TargetMode="External"/><Relationship Id="rId11" Type="http://schemas.openxmlformats.org/officeDocument/2006/relationships/hyperlink" Target="https://www.iedumedia.com/news/newsinfo/1645" TargetMode="External"/><Relationship Id="rId12" Type="http://schemas.openxmlformats.org/officeDocument/2006/relationships/hyperlink" Target="https://www.mlpod.com/papers/1392" TargetMode="External"/><Relationship Id="rId13" Type="http://schemas.openxmlformats.org/officeDocument/2006/relationships/hyperlink" Target="https://developer.volcengine.com/articles/7485526538503323659" TargetMode="External"/><Relationship Id="rId14" Type="http://schemas.openxmlformats.org/officeDocument/2006/relationships/hyperlink" Target="https://www.nvidia.cn/glossary/ai-agents" TargetMode="External"/><Relationship Id="rId15" Type="http://schemas.openxmlformats.org/officeDocument/2006/relationships/hyperlink" Target="https://powerdrill.ai/zh-CN/blog/self-improving-data-agents" TargetMode="External"/><Relationship Id="rId16" Type="http://schemas.openxmlformats.org/officeDocument/2006/relationships/hyperlink" Target="https://cloud.tencent.com/developer/article/2637126" TargetMode="External"/><Relationship Id="rId17" Type="http://schemas.openxmlformats.org/officeDocument/2006/relationships/hyperlink" Target="https://aws.amazon.com/cn/blogs/china/building-intelligent-report-generation-agent-with-aws-bedrock" TargetMode="External"/><Relationship Id="rId18" Type="http://schemas.openxmlformats.org/officeDocument/2006/relationships/hyperlink" Target="https://intl.cloud.baidu.com/zh/article/8753301" TargetMode="External"/><Relationship Id="rId19" Type="http://schemas.openxmlformats.org/officeDocument/2006/relationships/hyperlink" Target="https://www.smartcity.team/reports/jiazi_induaiagent" TargetMode="External"/><Relationship Id="rId20" Type="http://schemas.openxmlformats.org/officeDocument/2006/relationships/hyperlink" Target="https://developer.nvidia.com/blog/build-a-report-generator-ai-agent-with-nvidia-nemotron-on-openrouter" TargetMode="External"/><Relationship Id="rId21" Type="http://schemas.openxmlformats.org/officeDocument/2006/relationships/hyperlink" Target="https://www.edu.cn/xxh/xy/xytp/202606/t20260617_2746057.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