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Learning Agents: Definition, Mechanisms, Architecture, Applications, Frameworks, Evaluation, Challenges, and Future Trends</w:t>
      </w:r>
      <w:r/>
    </w:p>
    <w:p>
      <w:pPr>
        <w:pStyle w:val="Heading2"/>
      </w:pPr>
      <w:r>
        <w:t>Introduction</w:t>
      </w:r>
      <w:r/>
    </w:p>
    <w:p>
      <w:r/>
      <w:r>
        <w:t>A learning agent is best understood not as a new model class, but as an operationalized system in which the agent’s learning characteristic—often listed alongside autonomy, perception, reasoning, and action—is made explicit through closed feedback loops, persistent memory, and environment-driven training. In other words, a learning agent is an AI agent that improves its future behavior based on past experience, explicit critique, or interaction feedback. This report synthesizes definitions, learning mechanisms, technical architecture, algorithms, applications, frameworks, evaluation methods, and challenges from technical tutorials, industry reports, and survey sources current as of 2026-10-09.</w:t>
      </w:r>
      <w:r/>
    </w:p>
    <w:p>
      <w:r/>
      <w:r>
        <w:t>The evidence supports a concrete conclusion: current learning agents are real but bounded. They learn within a designed loop—evaluation, reflection, improvement, memory update, or reinforcement learning—rather than through open-ended autonomous generalization. Industry capability is generally moving from deterministic task automation toward early strategic task automation (</w:t>
      </w:r>
      <w:hyperlink r:id="rId9">
        <w:r>
          <w:rPr>
            <w:color w:val="0000EE"/>
            <w:u w:val="single"/>
          </w:rPr>
          <w:t>CSDN, 2026</w:t>
        </w:r>
      </w:hyperlink>
      <w:r>
        <w:t>). The gap between laboratory capability and deployed industrial value remains large: only 9.1% of industrial agents are reported as deployed, while 75% remain in laboratory validation (</w:t>
      </w:r>
      <w:hyperlink r:id="rId10">
        <w:r>
          <w:rPr>
            <w:color w:val="0000EE"/>
            <w:u w:val="single"/>
          </w:rPr>
          <w:t>eastmoney, 2026</w:t>
        </w:r>
      </w:hyperlink>
      <w:r>
        <w:t>).</w:t>
      </w:r>
      <w:r/>
    </w:p>
    <w:p>
      <w:pPr>
        <w:pStyle w:val="Heading2"/>
      </w:pPr>
      <w:r>
        <w:t>Definition and Core Characteristics</w:t>
      </w:r>
      <w:r/>
    </w:p>
    <w:p>
      <w:r/>
      <w:r>
        <w:t>The IBM definition cited by Jimmy Song describes an agent as a software system that can autonomously execute tasks, design workflows, and use tools on behalf of a user or another system (</w:t>
      </w:r>
      <w:hyperlink r:id="rId11">
        <w:r>
          <w:rPr>
            <w:color w:val="0000EE"/>
            <w:u w:val="single"/>
          </w:rPr>
          <w:t>J. Song, n.d.</w:t>
        </w:r>
      </w:hyperlink>
      <w:r>
        <w:t>). The same source lists five core agent characteristics: autonomy, perception, reasoning, action, and learning. In this framing, learning means improving performance through experience and feedback, which is the defining trait of a learning agent (</w:t>
      </w:r>
      <w:hyperlink r:id="rId11">
        <w:r>
          <w:rPr>
            <w:color w:val="0000EE"/>
            <w:u w:val="single"/>
          </w:rPr>
          <w:t>J. Song, n.d.</w:t>
        </w:r>
      </w:hyperlink>
      <w:r>
        <w:t>).</w:t>
      </w:r>
      <w:r/>
    </w:p>
    <w:p>
      <w:r/>
      <w:r>
        <w:t>A widely referenced maturity scale describes five evolutionary levels of AI agents: L1 simple step following, L2 deterministic task automation, L3 strategic task automation, L4 memory and context awareness, and L5 digital persona. According to this analysis, the industry is currently in the L2-to-L3 transition, while L4 and L5 require breakthroughs in long-term memory and autonomous decision-making (</w:t>
      </w:r>
      <w:hyperlink r:id="rId9">
        <w:r>
          <w:rPr>
            <w:color w:val="0000EE"/>
            <w:u w:val="single"/>
          </w:rPr>
          <w:t>CSDN, 2026</w:t>
        </w:r>
      </w:hyperlink>
      <w:r>
        <w:t>). A separate educational framework similarly ranks agents from L0, no tools, to L5, multi-agent collaboration, framing higher levels as progressively more autonomous and adaptive (</w:t>
      </w:r>
      <w:hyperlink r:id="rId12">
        <w:r>
          <w:rPr>
            <w:color w:val="0000EE"/>
            <w:u w:val="single"/>
          </w:rPr>
          <w:t>Datawhale, n.d.</w:t>
        </w:r>
      </w:hyperlink>
      <w:r>
        <w:t>).</w:t>
      </w:r>
      <w:r/>
    </w:p>
    <w:p>
      <w:r/>
      <w:r>
        <w:t>Thus, a learning agent is not simply an LLM plus tool calling. It requires at least four additional characteristics: persistence of state across interactions, the ability to receive and store feedback, the capacity to modify plans or reasoning paths, and mechanisms to update memory or policy for later tasks (</w:t>
      </w:r>
      <w:hyperlink r:id="rId11">
        <w:r>
          <w:rPr>
            <w:color w:val="0000EE"/>
            <w:u w:val="single"/>
          </w:rPr>
          <w:t>J. Song, n.d.</w:t>
        </w:r>
      </w:hyperlink>
      <w:r>
        <w:t xml:space="preserve">; </w:t>
      </w:r>
      <w:hyperlink r:id="rId13">
        <w:r>
          <w:rPr>
            <w:color w:val="0000EE"/>
            <w:u w:val="single"/>
          </w:rPr>
          <w:t>stardsd, 2026</w:t>
        </w:r>
      </w:hyperlink>
      <w:r>
        <w:t>).</w:t>
      </w:r>
      <w:r/>
    </w:p>
    <w:p>
      <w:pPr>
        <w:pStyle w:val="Heading2"/>
      </w:pPr>
      <w:r>
        <w:t>Learning Mechanisms</w:t>
      </w:r>
      <w:r/>
    </w:p>
    <w:p>
      <w:pPr>
        <w:pStyle w:val="Heading3"/>
      </w:pPr>
      <w:r>
        <w:t>Closed-Loop Autonomy and Reflection</w:t>
      </w:r>
      <w:r/>
    </w:p>
    <w:p>
      <w:r/>
      <w:r>
        <w:t>Modern learning agents rely on a cognitive loop rather than a single response. The loop is perception → reasoning → execution → feedback → reflection → memory update (</w:t>
      </w:r>
      <w:hyperlink r:id="rId11">
        <w:r>
          <w:rPr>
            <w:color w:val="0000EE"/>
            <w:u w:val="single"/>
          </w:rPr>
          <w:t>J. Song, n.d.</w:t>
        </w:r>
      </w:hyperlink>
      <w:r>
        <w:t>). The core workflow is often described as Think-Act-Observe: the agent thinks about the situation, acts by calling tools, and observes the result to adjust subsequent behavior (</w:t>
      </w:r>
      <w:hyperlink r:id="rId11">
        <w:r>
          <w:rPr>
            <w:color w:val="0000EE"/>
            <w:u w:val="single"/>
          </w:rPr>
          <w:t>J. Song, n.d.</w:t>
        </w:r>
      </w:hyperlink>
      <w:r>
        <w:t>). An industrial article describes the same principle as a self-evolution framework built from environment, evaluation, reflection, and improvement—an “evaluate-reflect-improve” loop (</w:t>
      </w:r>
      <w:hyperlink r:id="rId9">
        <w:r>
          <w:rPr>
            <w:color w:val="0000EE"/>
            <w:u w:val="single"/>
          </w:rPr>
          <w:t>CSDN, 2026</w:t>
        </w:r>
      </w:hyperlink>
      <w:r>
        <w:t>).</w:t>
      </w:r>
      <w:r/>
    </w:p>
    <w:p>
      <w:pPr>
        <w:pStyle w:val="Heading3"/>
      </w:pPr>
      <w:r>
        <w:t>Natural-Language Reinforcement and Self-Critique</w:t>
      </w:r>
      <w:r/>
    </w:p>
    <w:p>
      <w:r/>
      <w:r>
        <w:t>Reflexion is an important learning mechanism: it uses verbal feedback as a reinforcement signal, allowing an agent to store lessons from failed attempts and improve on retries without gradient updates (</w:t>
      </w:r>
      <w:hyperlink r:id="rId13">
        <w:r>
          <w:rPr>
            <w:color w:val="0000EE"/>
            <w:u w:val="single"/>
          </w:rPr>
          <w:t>stardsd, 2026</w:t>
        </w:r>
      </w:hyperlink>
      <w:r>
        <w:t>). Tree-of-Thought and related search methods, including LATS, bring Monte Carlo tree search into LLM decision-making, effectively trading more inference-time compute for better solutions (</w:t>
      </w:r>
      <w:hyperlink r:id="rId13">
        <w:r>
          <w:rPr>
            <w:color w:val="0000EE"/>
            <w:u w:val="single"/>
          </w:rPr>
          <w:t>stardsd, 2026</w:t>
        </w:r>
      </w:hyperlink>
      <w:r>
        <w:t>). These mechanisms are forms of learning because they change the agent’s future reasoning and action selection based on prior outcomes.</w:t>
      </w:r>
      <w:r/>
    </w:p>
    <w:p>
      <w:pPr>
        <w:pStyle w:val="Heading3"/>
      </w:pPr>
      <w:r>
        <w:t>Memory as the Substrate for Learning</w:t>
      </w:r>
      <w:r/>
    </w:p>
    <w:p>
      <w:r/>
      <w:r>
        <w:t>Memory systems provide continuity across tasks and sessions. Short-term memory preserves the current context, while long-term memory stores user profiles, workflows, and accumulated knowledge (</w:t>
      </w:r>
      <w:hyperlink r:id="rId11">
        <w:r>
          <w:rPr>
            <w:color w:val="0000EE"/>
            <w:u w:val="single"/>
          </w:rPr>
          <w:t>J. Song, n.d.</w:t>
        </w:r>
      </w:hyperlink>
      <w:r>
        <w:t>). Systems such as MemGPT emulate operating-system virtual memory paging to overcome LLM context limits. Mem0 uses an extraction-update memory pipeline, and A-MEM lets the agent organize self-linked memories like a Zettelkasten (</w:t>
      </w:r>
      <w:hyperlink r:id="rId13">
        <w:r>
          <w:rPr>
            <w:color w:val="0000EE"/>
            <w:u w:val="single"/>
          </w:rPr>
          <w:t>stardsd, 2026</w:t>
        </w:r>
      </w:hyperlink>
      <w:r>
        <w:t>). Memory can be implemented in three broad ways: parametric-external storage with retrieval, in-context memory, and in-weight memory through fine-tuning (</w:t>
      </w:r>
      <w:hyperlink r:id="rId13">
        <w:r>
          <w:rPr>
            <w:color w:val="0000EE"/>
            <w:u w:val="single"/>
          </w:rPr>
          <w:t>stardsd, 2026</w:t>
        </w:r>
      </w:hyperlink>
      <w:r>
        <w:t>). This is central to learning because it determines what the agent can recall and reuse.</w:t>
      </w:r>
      <w:r/>
    </w:p>
    <w:p>
      <w:pPr>
        <w:pStyle w:val="Heading3"/>
      </w:pPr>
      <w:r>
        <w:t>Agentic Reinforcement Learning</w:t>
      </w:r>
      <w:r/>
    </w:p>
    <w:p>
      <w:r/>
      <w:r>
        <w:t>The most substantial recent shift is agentic reinforcement learning, or agent tuning. Instead of relying only on prompt scaffolding, agents are trained end to end in interactive environments with verifiable rewards. Representative works include WebRL, which uses a self-evolving curriculum and outcome reward model; SWE-agent, which demonstrated that the agent-computer interface itself can improve model performance; SWE-smith, which synthesizes bug-fixing tasks; and Search-R1 or DeepResearcher, which train retrieval-augmented agents (</w:t>
      </w:r>
      <w:hyperlink r:id="rId13">
        <w:r>
          <w:rPr>
            <w:color w:val="0000EE"/>
            <w:u w:val="single"/>
          </w:rPr>
          <w:t>stardsd, 2026</w:t>
        </w:r>
      </w:hyperlink>
      <w:r>
        <w:t>). These methods embed learning into model weights, not only into prompts or memory.</w:t>
      </w:r>
      <w:r/>
    </w:p>
    <w:p>
      <w:pPr>
        <w:pStyle w:val="Heading2"/>
      </w:pPr>
      <w:r>
        <w:t>Technical Architecture</w:t>
      </w:r>
      <w:r/>
    </w:p>
    <w:p>
      <w:r/>
      <w:r>
        <w:t>A learning agent comprises several interacting modules. One widely cited architecture names five core components: perception, planning, memory, tool use, and action (</w:t>
      </w:r>
      <w:hyperlink r:id="rId9">
        <w:r>
          <w:rPr>
            <w:color w:val="0000EE"/>
            <w:u w:val="single"/>
          </w:rPr>
          <w:t>CSDN, 2026</w:t>
        </w:r>
      </w:hyperlink>
      <w:r>
        <w:t>). The same source describes a layered enterprise architecture: user input, access gateway, intent recognition, reasoning and decision, tool execution, result generation, and support modules for management, memory, and knowledge bases (</w:t>
      </w:r>
      <w:hyperlink r:id="rId9">
        <w:r>
          <w:rPr>
            <w:color w:val="0000EE"/>
            <w:u w:val="single"/>
          </w:rPr>
          <w:t>CSDN, 2026</w:t>
        </w:r>
      </w:hyperlink>
      <w:r>
        <w:t>).</w:t>
      </w:r>
      <w:r/>
    </w:p>
    <w:p>
      <w:r/>
      <w:r>
        <w:t>Another architecture source organizes the agent into four subsystems: perception, reasoning, memory, and execution. Perception transforms text, images, structured data, or tool outputs into semantic representations. Reasoning handles decomposition, planning, and reflection. Memory stores short- and long-term context. Execution carries out tool calls, GUI actions, code, or physical actions (</w:t>
      </w:r>
      <w:hyperlink r:id="rId11">
        <w:r>
          <w:rPr>
            <w:color w:val="0000EE"/>
            <w:u w:val="single"/>
          </w:rPr>
          <w:t>J. Song, n.d.</w:t>
        </w:r>
      </w:hyperlink>
      <w:r>
        <w:t>). A tutorial-oriented source describes the agent as an LLM brain plus tools, memory, planning, and guardrails, emphasizing that the LLM generates structured tool-calling instructions rather than directly executing operations (</w:t>
      </w:r>
      <w:hyperlink r:id="rId12">
        <w:r>
          <w:rPr>
            <w:color w:val="0000EE"/>
            <w:u w:val="single"/>
          </w:rPr>
          <w:t>Datawhale, n.d.</w:t>
        </w:r>
      </w:hyperlink>
      <w:r>
        <w:t>).</w:t>
      </w:r>
      <w:r/>
    </w:p>
    <w:tbl>
      <w:tblPr>
        <w:tblW w:type="auto" w:w="0"/>
        <w:tblLook w:firstColumn="1" w:firstRow="1" w:lastColumn="0" w:lastRow="0" w:noHBand="0" w:noVBand="1" w:val="04A0"/>
      </w:tblPr>
      <w:tblGrid>
        <w:gridCol w:w="2880"/>
        <w:gridCol w:w="2880"/>
        <w:gridCol w:w="2880"/>
      </w:tblGrid>
      <w:tr>
        <w:tc>
          <w:tcPr>
            <w:tcW w:type="dxa" w:w="2880"/>
          </w:tcPr>
          <w:p>
            <w:r>
              <w:rPr>
                <w:b/>
              </w:rPr>
              <w:t>Module</w:t>
            </w:r>
          </w:p>
        </w:tc>
        <w:tc>
          <w:tcPr>
            <w:tcW w:type="dxa" w:w="2880"/>
          </w:tcPr>
          <w:p>
            <w:r>
              <w:rPr>
                <w:b/>
              </w:rPr>
              <w:t>Core Function</w:t>
            </w:r>
          </w:p>
        </w:tc>
        <w:tc>
          <w:tcPr>
            <w:tcW w:type="dxa" w:w="2880"/>
          </w:tcPr>
          <w:p>
            <w:r>
              <w:rPr>
                <w:b/>
              </w:rPr>
              <w:t>Representative Implementations</w:t>
            </w:r>
          </w:p>
        </w:tc>
      </w:tr>
      <w:tr>
        <w:tc>
          <w:tcPr>
            <w:tcW w:type="dxa" w:w="2880"/>
          </w:tcPr>
          <w:p>
            <w:r>
              <w:t>Perception</w:t>
            </w:r>
          </w:p>
        </w:tc>
        <w:tc>
          <w:tcPr>
            <w:tcW w:type="dxa" w:w="2880"/>
          </w:tcPr>
          <w:p>
            <w:r>
              <w:t>Parse text, images, GUI, API, structured data</w:t>
            </w:r>
          </w:p>
        </w:tc>
        <w:tc>
          <w:tcPr>
            <w:tcW w:type="dxa" w:w="2880"/>
          </w:tcPr>
          <w:p>
            <w:r>
              <w:t xml:space="preserve">OpenHands, OSWorld, Vision Transformers, Set-of-Mark ( </w:t>
            </w:r>
            <w:hyperlink r:id="rId11">
              <w:r>
                <w:rPr>
                  <w:color w:val="0000EE"/>
                  <w:u w:val="single"/>
                </w:rPr>
                <w:t>J. Song, n.d.</w:t>
              </w:r>
            </w:hyperlink>
            <w:r>
              <w:t xml:space="preserve"> )</w:t>
            </w:r>
          </w:p>
        </w:tc>
      </w:tr>
      <w:tr>
        <w:tc>
          <w:tcPr>
            <w:tcW w:type="dxa" w:w="2880"/>
          </w:tcPr>
          <w:p>
            <w:r>
              <w:t>Memory</w:t>
            </w:r>
          </w:p>
        </w:tc>
        <w:tc>
          <w:tcPr>
            <w:tcW w:type="dxa" w:w="2880"/>
          </w:tcPr>
          <w:p>
            <w:r>
              <w:t>Short-term context, long-term knowledge, episodic memory</w:t>
            </w:r>
          </w:p>
        </w:tc>
        <w:tc>
          <w:tcPr>
            <w:tcW w:type="dxa" w:w="2880"/>
          </w:tcPr>
          <w:p>
            <w:r>
              <w:t xml:space="preserve">LangChain Memory, MemGPT/Letta, Mem0 ( </w:t>
            </w:r>
            <w:hyperlink r:id="rId11">
              <w:r>
                <w:rPr>
                  <w:color w:val="0000EE"/>
                  <w:u w:val="single"/>
                </w:rPr>
                <w:t>J. Song, n.d.</w:t>
              </w:r>
            </w:hyperlink>
            <w:r>
              <w:t xml:space="preserve"> ; </w:t>
            </w:r>
            <w:hyperlink r:id="rId13">
              <w:r>
                <w:rPr>
                  <w:color w:val="0000EE"/>
                  <w:u w:val="single"/>
                </w:rPr>
                <w:t>stardsd, 2026</w:t>
              </w:r>
            </w:hyperlink>
            <w:r>
              <w:t xml:space="preserve"> )</w:t>
            </w:r>
          </w:p>
        </w:tc>
      </w:tr>
      <w:tr>
        <w:tc>
          <w:tcPr>
            <w:tcW w:type="dxa" w:w="2880"/>
          </w:tcPr>
          <w:p>
            <w:r>
              <w:t>Planning and reasoning</w:t>
            </w:r>
          </w:p>
        </w:tc>
        <w:tc>
          <w:tcPr>
            <w:tcW w:type="dxa" w:w="2880"/>
          </w:tcPr>
          <w:p>
            <w:r>
              <w:t>Decompose tasks, reflect, search plans</w:t>
            </w:r>
          </w:p>
        </w:tc>
        <w:tc>
          <w:tcPr>
            <w:tcW w:type="dxa" w:w="2880"/>
          </w:tcPr>
          <w:p>
            <w:r>
              <w:t xml:space="preserve">LangGraph, AutoGen; ReAct, ToT, Reflection ( </w:t>
            </w:r>
            <w:hyperlink r:id="rId11">
              <w:r>
                <w:rPr>
                  <w:color w:val="0000EE"/>
                  <w:u w:val="single"/>
                </w:rPr>
                <w:t>J. Song, n.d.</w:t>
              </w:r>
            </w:hyperlink>
            <w:r>
              <w:t xml:space="preserve"> ; </w:t>
            </w:r>
            <w:hyperlink r:id="rId13">
              <w:r>
                <w:rPr>
                  <w:color w:val="0000EE"/>
                  <w:u w:val="single"/>
                </w:rPr>
                <w:t>stardsd, 2026</w:t>
              </w:r>
            </w:hyperlink>
            <w:r>
              <w:t xml:space="preserve"> )</w:t>
            </w:r>
          </w:p>
        </w:tc>
      </w:tr>
      <w:tr>
        <w:tc>
          <w:tcPr>
            <w:tcW w:type="dxa" w:w="2880"/>
          </w:tcPr>
          <w:p>
            <w:r>
              <w:t>Execution</w:t>
            </w:r>
          </w:p>
        </w:tc>
        <w:tc>
          <w:tcPr>
            <w:tcW w:type="dxa" w:w="2880"/>
          </w:tcPr>
          <w:p>
            <w:r>
              <w:t>Tool calls, GUI automation, code execution</w:t>
            </w:r>
          </w:p>
        </w:tc>
        <w:tc>
          <w:tcPr>
            <w:tcW w:type="dxa" w:w="2880"/>
          </w:tcPr>
          <w:p>
            <w:r>
              <w:t xml:space="preserve">CrewAI, OpenInterpreter ( </w:t>
            </w:r>
            <w:hyperlink r:id="rId11">
              <w:r>
                <w:rPr>
                  <w:color w:val="0000EE"/>
                  <w:u w:val="single"/>
                </w:rPr>
                <w:t>J. Song, n.d.</w:t>
              </w:r>
            </w:hyperlink>
            <w:r>
              <w:t xml:space="preserve"> )</w:t>
            </w:r>
          </w:p>
        </w:tc>
      </w:tr>
      <w:tr>
        <w:tc>
          <w:tcPr>
            <w:tcW w:type="dxa" w:w="2880"/>
          </w:tcPr>
          <w:p>
            <w:r>
              <w:t>Multi-agent coordination</w:t>
            </w:r>
          </w:p>
        </w:tc>
        <w:tc>
          <w:tcPr>
            <w:tcW w:type="dxa" w:w="2880"/>
          </w:tcPr>
          <w:p>
            <w:r>
              <w:t>Role specialization and communication</w:t>
            </w:r>
          </w:p>
        </w:tc>
        <w:tc>
          <w:tcPr>
            <w:tcW w:type="dxa" w:w="2880"/>
          </w:tcPr>
          <w:p>
            <w:r>
              <w:t xml:space="preserve">ChatDev, CAMEL, AgentVerse ( </w:t>
            </w:r>
            <w:hyperlink r:id="rId11">
              <w:r>
                <w:rPr>
                  <w:color w:val="0000EE"/>
                  <w:u w:val="single"/>
                </w:rPr>
                <w:t>J. Song, n.d.</w:t>
              </w:r>
            </w:hyperlink>
            <w:r>
              <w:t xml:space="preserve"> )</w:t>
            </w:r>
          </w:p>
        </w:tc>
      </w:tr>
    </w:tbl>
    <w:p>
      <w:r/>
    </w:p>
    <w:p>
      <w:pPr>
        <w:pStyle w:val="Heading2"/>
      </w:pPr>
      <w:r>
        <w:t>Typical Algorithms and Reasoning Approaches</w:t>
      </w:r>
      <w:r/>
    </w:p>
    <w:p>
      <w:r/>
      <w:r>
        <w:t>Learning agents draw on both symbolic planning and statistical training methods. The foundational agent paradigm is ReAct, which interleaves reasoning and action (</w:t>
      </w:r>
      <w:hyperlink r:id="rId13">
        <w:r>
          <w:rPr>
            <w:color w:val="0000EE"/>
            <w:u w:val="single"/>
          </w:rPr>
          <w:t>stardsd, 2026</w:t>
        </w:r>
      </w:hyperlink>
      <w:r>
        <w:t>). Planning can be improved through chain-of-thought, tree-of-thought, graph-of-thought, and Monte Carlo tree search variants such as LATS (</w:t>
      </w:r>
      <w:hyperlink r:id="rId11">
        <w:r>
          <w:rPr>
            <w:color w:val="0000EE"/>
            <w:u w:val="single"/>
          </w:rPr>
          <w:t>J. Song, n.d.</w:t>
        </w:r>
      </w:hyperlink>
      <w:r>
        <w:t xml:space="preserve">; </w:t>
      </w:r>
      <w:hyperlink r:id="rId13">
        <w:r>
          <w:rPr>
            <w:color w:val="0000EE"/>
            <w:u w:val="single"/>
          </w:rPr>
          <w:t>stardsd, 2026</w:t>
        </w:r>
      </w:hyperlink>
      <w:r>
        <w:t>).</w:t>
      </w:r>
      <w:r/>
    </w:p>
    <w:tbl>
      <w:tblPr>
        <w:tblW w:type="auto" w:w="0"/>
        <w:tblLook w:firstColumn="1" w:firstRow="1" w:lastColumn="0" w:lastRow="0" w:noHBand="0" w:noVBand="1" w:val="04A0"/>
      </w:tblPr>
      <w:tblGrid>
        <w:gridCol w:w="2880"/>
        <w:gridCol w:w="2880"/>
        <w:gridCol w:w="2880"/>
      </w:tblGrid>
      <w:tr>
        <w:tc>
          <w:tcPr>
            <w:tcW w:type="dxa" w:w="2880"/>
          </w:tcPr>
          <w:p>
            <w:r>
              <w:rPr>
                <w:b/>
              </w:rPr>
              <w:t>Approach</w:t>
            </w:r>
          </w:p>
        </w:tc>
        <w:tc>
          <w:tcPr>
            <w:tcW w:type="dxa" w:w="2880"/>
          </w:tcPr>
          <w:p>
            <w:r>
              <w:rPr>
                <w:b/>
              </w:rPr>
              <w:t>Mechanism</w:t>
            </w:r>
          </w:p>
        </w:tc>
        <w:tc>
          <w:tcPr>
            <w:tcW w:type="dxa" w:w="2880"/>
          </w:tcPr>
          <w:p>
            <w:r>
              <w:rPr>
                <w:b/>
              </w:rPr>
              <w:t>Representative Use</w:t>
            </w:r>
          </w:p>
        </w:tc>
      </w:tr>
      <w:tr>
        <w:tc>
          <w:tcPr>
            <w:tcW w:type="dxa" w:w="2880"/>
          </w:tcPr>
          <w:p>
            <w:r>
              <w:t>ReAct</w:t>
            </w:r>
          </w:p>
        </w:tc>
        <w:tc>
          <w:tcPr>
            <w:tcW w:type="dxa" w:w="2880"/>
          </w:tcPr>
          <w:p>
            <w:r>
              <w:t>Alternate reasoning and tool action</w:t>
            </w:r>
          </w:p>
        </w:tc>
        <w:tc>
          <w:tcPr>
            <w:tcW w:type="dxa" w:w="2880"/>
          </w:tcPr>
          <w:p>
            <w:r>
              <w:t xml:space="preserve">Basic autonomous agent loop ( </w:t>
            </w:r>
            <w:hyperlink r:id="rId13">
              <w:r>
                <w:rPr>
                  <w:color w:val="0000EE"/>
                  <w:u w:val="single"/>
                </w:rPr>
                <w:t>stardsd, 2026</w:t>
              </w:r>
            </w:hyperlink>
            <w:r>
              <w:t xml:space="preserve"> )</w:t>
            </w:r>
          </w:p>
        </w:tc>
      </w:tr>
      <w:tr>
        <w:tc>
          <w:tcPr>
            <w:tcW w:type="dxa" w:w="2880"/>
          </w:tcPr>
          <w:p>
            <w:r>
              <w:t>CoT / ToT / GoT</w:t>
            </w:r>
          </w:p>
        </w:tc>
        <w:tc>
          <w:tcPr>
            <w:tcW w:type="dxa" w:w="2880"/>
          </w:tcPr>
          <w:p>
            <w:r>
              <w:t>Chain, tree, or graph reasoning paths</w:t>
            </w:r>
          </w:p>
        </w:tc>
        <w:tc>
          <w:tcPr>
            <w:tcW w:type="dxa" w:w="2880"/>
          </w:tcPr>
          <w:p>
            <w:r>
              <w:t xml:space="preserve">Complex planning and problem solving ( </w:t>
            </w:r>
            <w:hyperlink r:id="rId11">
              <w:r>
                <w:rPr>
                  <w:color w:val="0000EE"/>
                  <w:u w:val="single"/>
                </w:rPr>
                <w:t>J. Song, n.d.</w:t>
              </w:r>
            </w:hyperlink>
            <w:r>
              <w:t xml:space="preserve"> )</w:t>
            </w:r>
          </w:p>
        </w:tc>
      </w:tr>
      <w:tr>
        <w:tc>
          <w:tcPr>
            <w:tcW w:type="dxa" w:w="2880"/>
          </w:tcPr>
          <w:p>
            <w:r>
              <w:t>Reflexion / Reflection</w:t>
            </w:r>
          </w:p>
        </w:tc>
        <w:tc>
          <w:tcPr>
            <w:tcW w:type="dxa" w:w="2880"/>
          </w:tcPr>
          <w:p>
            <w:r>
              <w:t>Verbal self-critique and failure memory</w:t>
            </w:r>
          </w:p>
        </w:tc>
        <w:tc>
          <w:tcPr>
            <w:tcW w:type="dxa" w:w="2880"/>
          </w:tcPr>
          <w:p>
            <w:r>
              <w:t xml:space="preserve">Retry and self-improvement ( </w:t>
            </w:r>
            <w:hyperlink r:id="rId13">
              <w:r>
                <w:rPr>
                  <w:color w:val="0000EE"/>
                  <w:u w:val="single"/>
                </w:rPr>
                <w:t>stardsd, 2026</w:t>
              </w:r>
            </w:hyperlink>
            <w:r>
              <w:t xml:space="preserve"> )</w:t>
            </w:r>
          </w:p>
        </w:tc>
      </w:tr>
      <w:tr>
        <w:tc>
          <w:tcPr>
            <w:tcW w:type="dxa" w:w="2880"/>
          </w:tcPr>
          <w:p>
            <w:r>
              <w:t>LATS</w:t>
            </w:r>
          </w:p>
        </w:tc>
        <w:tc>
          <w:tcPr>
            <w:tcW w:type="dxa" w:w="2880"/>
          </w:tcPr>
          <w:p>
            <w:r>
              <w:t>LLM plus Monte Carlo tree search</w:t>
            </w:r>
          </w:p>
        </w:tc>
        <w:tc>
          <w:tcPr>
            <w:tcW w:type="dxa" w:w="2880"/>
          </w:tcPr>
          <w:p>
            <w:r>
              <w:t xml:space="preserve">Search-intensive reasoning and interaction ( </w:t>
            </w:r>
            <w:hyperlink r:id="rId13">
              <w:r>
                <w:rPr>
                  <w:color w:val="0000EE"/>
                  <w:u w:val="single"/>
                </w:rPr>
                <w:t>stardsd, 2026</w:t>
              </w:r>
            </w:hyperlink>
            <w:r>
              <w:t xml:space="preserve"> )</w:t>
            </w:r>
          </w:p>
        </w:tc>
      </w:tr>
      <w:tr>
        <w:tc>
          <w:tcPr>
            <w:tcW w:type="dxa" w:w="2880"/>
          </w:tcPr>
          <w:p>
            <w:r>
              <w:t>RLVR, GRPO</w:t>
            </w:r>
          </w:p>
        </w:tc>
        <w:tc>
          <w:tcPr>
            <w:tcW w:type="dxa" w:w="2880"/>
          </w:tcPr>
          <w:p>
            <w:r>
              <w:t>Reinforcement learning from verifiable rewards</w:t>
            </w:r>
          </w:p>
        </w:tc>
        <w:tc>
          <w:tcPr>
            <w:tcW w:type="dxa" w:w="2880"/>
          </w:tcPr>
          <w:p>
            <w:r>
              <w:t xml:space="preserve">Math and code reasoning models such as o1 and DeepSeek-R1 ( </w:t>
            </w:r>
            <w:hyperlink r:id="rId13">
              <w:r>
                <w:rPr>
                  <w:color w:val="0000EE"/>
                  <w:u w:val="single"/>
                </w:rPr>
                <w:t>stardsd, 2026</w:t>
              </w:r>
            </w:hyperlink>
            <w:r>
              <w:t xml:space="preserve"> )</w:t>
            </w:r>
          </w:p>
        </w:tc>
      </w:tr>
      <w:tr>
        <w:tc>
          <w:tcPr>
            <w:tcW w:type="dxa" w:w="2880"/>
          </w:tcPr>
          <w:p>
            <w:r>
              <w:t>Agentic RL</w:t>
            </w:r>
          </w:p>
        </w:tc>
        <w:tc>
          <w:tcPr>
            <w:tcW w:type="dxa" w:w="2880"/>
          </w:tcPr>
          <w:p>
            <w:r>
              <w:t>Interaction-based outcome reward training</w:t>
            </w:r>
          </w:p>
        </w:tc>
        <w:tc>
          <w:tcPr>
            <w:tcW w:type="dxa" w:w="2880"/>
          </w:tcPr>
          <w:p>
            <w:r>
              <w:t xml:space="preserve">Web agents, code agents, retrieval agents ( </w:t>
            </w:r>
            <w:hyperlink r:id="rId13">
              <w:r>
                <w:rPr>
                  <w:color w:val="0000EE"/>
                  <w:u w:val="single"/>
                </w:rPr>
                <w:t>stardsd, 2026</w:t>
              </w:r>
            </w:hyperlink>
            <w:r>
              <w:t xml:space="preserve"> )</w:t>
            </w:r>
          </w:p>
        </w:tc>
      </w:tr>
      <w:tr>
        <w:tc>
          <w:tcPr>
            <w:tcW w:type="dxa" w:w="2880"/>
          </w:tcPr>
          <w:p>
            <w:r>
              <w:t>Tool calling</w:t>
            </w:r>
          </w:p>
        </w:tc>
        <w:tc>
          <w:tcPr>
            <w:tcW w:type="dxa" w:w="2880"/>
          </w:tcPr>
          <w:p>
            <w:r>
              <w:t>LLM emits structured function invocation</w:t>
            </w:r>
          </w:p>
        </w:tc>
        <w:tc>
          <w:tcPr>
            <w:tcW w:type="dxa" w:w="2880"/>
          </w:tcPr>
          <w:p>
            <w:r>
              <w:t xml:space="preserve">External API, database, and GUI actions ( </w:t>
            </w:r>
            <w:hyperlink r:id="rId12">
              <w:r>
                <w:rPr>
                  <w:color w:val="0000EE"/>
                  <w:u w:val="single"/>
                </w:rPr>
                <w:t>Datawhale, n.d.</w:t>
              </w:r>
            </w:hyperlink>
            <w:r>
              <w:t xml:space="preserve"> )</w:t>
            </w:r>
          </w:p>
        </w:tc>
      </w:tr>
    </w:tbl>
    <w:p>
      <w:r/>
    </w:p>
    <w:p>
      <w:r/>
      <w:r>
        <w:t>The transition from prompting to training is significant. Before 2024, many gains came from scaffolding; after 2024, the strongest agents are increasingly tuned in interactive environments, especially in code repair, GUI operation, and web retrieval (</w:t>
      </w:r>
      <w:hyperlink r:id="rId13">
        <w:r>
          <w:rPr>
            <w:color w:val="0000EE"/>
            <w:u w:val="single"/>
          </w:rPr>
          <w:t>stardsd, 2026</w:t>
        </w:r>
      </w:hyperlink>
      <w:r>
        <w:t>).</w:t>
      </w:r>
      <w:r/>
    </w:p>
    <w:p>
      <w:pPr>
        <w:pStyle w:val="Heading2"/>
      </w:pPr>
      <w:r>
        <w:t>Application Scenarios</w:t>
      </w:r>
      <w:r/>
    </w:p>
    <w:p>
      <w:r/>
      <w:r>
        <w:t>Learning agents are already deployed across industries, though maturity varies widely. In heavy industry, a digital employee system reduced nonstandard repair-list-to-SKU matching from one week to thirty minutes, with reported accuracy above 90% (</w:t>
      </w:r>
      <w:hyperlink r:id="rId9">
        <w:r>
          <w:rPr>
            <w:color w:val="0000EE"/>
            <w:u w:val="single"/>
          </w:rPr>
          <w:t>CSDN, 2026</w:t>
        </w:r>
      </w:hyperlink>
      <w:r>
        <w:t>). In recruiting, a multi-agent system combining profile builder, search agent, and communication agent automated resume screening and initial candidate interaction (</w:t>
      </w:r>
      <w:hyperlink r:id="rId9">
        <w:r>
          <w:rPr>
            <w:color w:val="0000EE"/>
            <w:u w:val="single"/>
          </w:rPr>
          <w:t>CSDN, 2026</w:t>
        </w:r>
      </w:hyperlink>
      <w:r>
        <w:t>).</w:t>
      </w:r>
      <w:r/>
    </w:p>
    <w:p>
      <w:r/>
      <w:r>
        <w:t>Cross-industry cases include:</w:t>
      </w:r>
      <w:r/>
    </w:p>
    <w:tbl>
      <w:tblPr>
        <w:tblW w:type="auto" w:w="0"/>
        <w:tblLook w:firstColumn="1" w:firstRow="1" w:lastColumn="0" w:lastRow="0" w:noHBand="0" w:noVBand="1" w:val="04A0"/>
      </w:tblPr>
      <w:tblGrid>
        <w:gridCol w:w="4320"/>
        <w:gridCol w:w="4320"/>
      </w:tblGrid>
      <w:tr>
        <w:tc>
          <w:tcPr>
            <w:tcW w:type="dxa" w:w="4320"/>
          </w:tcPr>
          <w:p>
            <w:r>
              <w:rPr>
                <w:b/>
              </w:rPr>
              <w:t>Domain</w:t>
            </w:r>
          </w:p>
        </w:tc>
        <w:tc>
          <w:tcPr>
            <w:tcW w:type="dxa" w:w="4320"/>
          </w:tcPr>
          <w:p>
            <w:r>
              <w:rPr>
                <w:b/>
              </w:rPr>
              <w:t>Example Applications</w:t>
            </w:r>
          </w:p>
        </w:tc>
      </w:tr>
      <w:tr>
        <w:tc>
          <w:tcPr>
            <w:tcW w:type="dxa" w:w="4320"/>
          </w:tcPr>
          <w:p>
            <w:r>
              <w:t>Healthcare</w:t>
            </w:r>
          </w:p>
        </w:tc>
        <w:tc>
          <w:tcPr>
            <w:tcW w:type="dxa" w:w="4320"/>
          </w:tcPr>
          <w:p>
            <w:r>
              <w:t xml:space="preserve">Clinical assistant, appointment robot, drug discovery support ( </w:t>
            </w:r>
            <w:hyperlink r:id="rId14">
              <w:r>
                <w:rPr>
                  <w:color w:val="0000EE"/>
                  <w:u w:val="single"/>
                </w:rPr>
                <w:t>Kimi, 2026</w:t>
              </w:r>
            </w:hyperlink>
            <w:r>
              <w:t xml:space="preserve"> )</w:t>
            </w:r>
          </w:p>
        </w:tc>
      </w:tr>
      <w:tr>
        <w:tc>
          <w:tcPr>
            <w:tcW w:type="dxa" w:w="4320"/>
          </w:tcPr>
          <w:p>
            <w:r>
              <w:t>Finance</w:t>
            </w:r>
          </w:p>
        </w:tc>
        <w:tc>
          <w:tcPr>
            <w:tcW w:type="dxa" w:w="4320"/>
          </w:tcPr>
          <w:p>
            <w:r>
              <w:t xml:space="preserve">KYC automation, algorithmic trading support ( </w:t>
            </w:r>
            <w:hyperlink r:id="rId14">
              <w:r>
                <w:rPr>
                  <w:color w:val="0000EE"/>
                  <w:u w:val="single"/>
                </w:rPr>
                <w:t>Kimi, 2026</w:t>
              </w:r>
            </w:hyperlink>
            <w:r>
              <w:t xml:space="preserve"> )</w:t>
            </w:r>
          </w:p>
        </w:tc>
      </w:tr>
      <w:tr>
        <w:tc>
          <w:tcPr>
            <w:tcW w:type="dxa" w:w="4320"/>
          </w:tcPr>
          <w:p>
            <w:r>
              <w:t>Retail and e-commerce</w:t>
            </w:r>
          </w:p>
        </w:tc>
        <w:tc>
          <w:tcPr>
            <w:tcW w:type="dxa" w:w="4320"/>
          </w:tcPr>
          <w:p>
            <w:r>
              <w:t xml:space="preserve">Demand forecasting, visual product tagging ( </w:t>
            </w:r>
            <w:hyperlink r:id="rId14">
              <w:r>
                <w:rPr>
                  <w:color w:val="0000EE"/>
                  <w:u w:val="single"/>
                </w:rPr>
                <w:t>Kimi, 2026</w:t>
              </w:r>
            </w:hyperlink>
            <w:r>
              <w:t xml:space="preserve"> )</w:t>
            </w:r>
          </w:p>
        </w:tc>
      </w:tr>
      <w:tr>
        <w:tc>
          <w:tcPr>
            <w:tcW w:type="dxa" w:w="4320"/>
          </w:tcPr>
          <w:p>
            <w:r>
              <w:t>Supply chain and logistics</w:t>
            </w:r>
          </w:p>
        </w:tc>
        <w:tc>
          <w:tcPr>
            <w:tcW w:type="dxa" w:w="4320"/>
          </w:tcPr>
          <w:p>
            <w:r>
              <w:t xml:space="preserve">Predictive maintenance, route optimization ( </w:t>
            </w:r>
            <w:hyperlink r:id="rId14">
              <w:r>
                <w:rPr>
                  <w:color w:val="0000EE"/>
                  <w:u w:val="single"/>
                </w:rPr>
                <w:t>Kimi, 2026</w:t>
              </w:r>
            </w:hyperlink>
            <w:r>
              <w:t xml:space="preserve"> )</w:t>
            </w:r>
          </w:p>
        </w:tc>
      </w:tr>
      <w:tr>
        <w:tc>
          <w:tcPr>
            <w:tcW w:type="dxa" w:w="4320"/>
          </w:tcPr>
          <w:p>
            <w:r>
              <w:t>Manufacturing</w:t>
            </w:r>
          </w:p>
        </w:tc>
        <w:tc>
          <w:tcPr>
            <w:tcW w:type="dxa" w:w="4320"/>
          </w:tcPr>
          <w:p>
            <w:r>
              <w:t xml:space="preserve">Troubleshooting agents, visual quality inspection ( </w:t>
            </w:r>
            <w:hyperlink r:id="rId14">
              <w:r>
                <w:rPr>
                  <w:color w:val="0000EE"/>
                  <w:u w:val="single"/>
                </w:rPr>
                <w:t>Kimi, 2026</w:t>
              </w:r>
            </w:hyperlink>
            <w:r>
              <w:t xml:space="preserve"> )</w:t>
            </w:r>
          </w:p>
        </w:tc>
      </w:tr>
      <w:tr>
        <w:tc>
          <w:tcPr>
            <w:tcW w:type="dxa" w:w="4320"/>
          </w:tcPr>
          <w:p>
            <w:r>
              <w:t>Education</w:t>
            </w:r>
          </w:p>
        </w:tc>
        <w:tc>
          <w:tcPr>
            <w:tcW w:type="dxa" w:w="4320"/>
          </w:tcPr>
          <w:p>
            <w:r>
              <w:t xml:space="preserve">Personalized tutors, grading assistants, student progress tracking ( </w:t>
            </w:r>
            <w:hyperlink r:id="rId15">
              <w:r>
                <w:rPr>
                  <w:color w:val="0000EE"/>
                  <w:u w:val="single"/>
                </w:rPr>
                <w:t>thepaper, 2024</w:t>
              </w:r>
            </w:hyperlink>
            <w:r>
              <w:t xml:space="preserve"> )</w:t>
            </w:r>
          </w:p>
        </w:tc>
      </w:tr>
      <w:tr>
        <w:tc>
          <w:tcPr>
            <w:tcW w:type="dxa" w:w="4320"/>
          </w:tcPr>
          <w:p>
            <w:r>
              <w:t>Customer service</w:t>
            </w:r>
          </w:p>
        </w:tc>
        <w:tc>
          <w:tcPr>
            <w:tcW w:type="dxa" w:w="4320"/>
          </w:tcPr>
          <w:p>
            <w:r>
              <w:t xml:space="preserve">All-day service bots, ticket routing, quality inspection ( </w:t>
            </w:r>
            <w:hyperlink r:id="rId16">
              <w:r>
                <w:rPr>
                  <w:color w:val="0000EE"/>
                  <w:u w:val="single"/>
                </w:rPr>
                <w:t>shaqiu, 2024</w:t>
              </w:r>
            </w:hyperlink>
            <w:r>
              <w:t xml:space="preserve"> )</w:t>
            </w:r>
          </w:p>
        </w:tc>
      </w:tr>
      <w:tr>
        <w:tc>
          <w:tcPr>
            <w:tcW w:type="dxa" w:w="4320"/>
          </w:tcPr>
          <w:p>
            <w:r>
              <w:t>Software development</w:t>
            </w:r>
          </w:p>
        </w:tc>
        <w:tc>
          <w:tcPr>
            <w:tcW w:type="dxa" w:w="4320"/>
          </w:tcPr>
          <w:p>
            <w:r>
              <w:t xml:space="preserve">Code generation, debugging, DevOps automation ( </w:t>
            </w:r>
            <w:hyperlink r:id="rId14">
              <w:r>
                <w:rPr>
                  <w:color w:val="0000EE"/>
                  <w:u w:val="single"/>
                </w:rPr>
                <w:t>Kimi, 2026</w:t>
              </w:r>
            </w:hyperlink>
            <w:r>
              <w:t xml:space="preserve"> )</w:t>
            </w:r>
          </w:p>
        </w:tc>
      </w:tr>
    </w:tbl>
    <w:p>
      <w:r/>
    </w:p>
    <w:p>
      <w:r/>
      <w:r>
        <w:t>In education, Khanmigo uses GPT-4 and agent patterns to support students and teachers, while the 以正教育大模型 Agent uses three interacting agents—lesson-plan Agent, assistant Agent, and companion Agent—to generate teaching plans, track student weakness, and provide personalized practice (</w:t>
      </w:r>
      <w:hyperlink r:id="rId15">
        <w:r>
          <w:rPr>
            <w:color w:val="0000EE"/>
            <w:u w:val="single"/>
          </w:rPr>
          <w:t>thepaper, 2024</w:t>
        </w:r>
      </w:hyperlink>
      <w:r>
        <w:t>). In customer service, a manufacturer deployed an AI agent that supports instant product comparison, automatic ticket creation, and quality inspection, allowing novice customer-service staff to respond at expert level (</w:t>
      </w:r>
      <w:hyperlink r:id="rId16">
        <w:r>
          <w:rPr>
            <w:color w:val="0000EE"/>
            <w:u w:val="single"/>
          </w:rPr>
          <w:t>shaqiu, 2024</w:t>
        </w:r>
      </w:hyperlink>
      <w:r>
        <w:t>).</w:t>
      </w:r>
      <w:r/>
    </w:p>
    <w:p>
      <w:r/>
      <w:r>
        <w:t>The global AI agent market is estimated at USD 28.6 billion in 2026 and projected to reach USD 159 billion by 2030, a compound annual growth rate of 53.6%. The open-source local deployment segment is expected to grow from USD 5.1 billion to USD 28.6 billion over the same period. However, industrial agent maturity remains low: 75% are still in laboratory validation and only 9.1% are deployed (</w:t>
      </w:r>
      <w:hyperlink r:id="rId10">
        <w:r>
          <w:rPr>
            <w:color w:val="0000EE"/>
            <w:u w:val="single"/>
          </w:rPr>
          <w:t>eastmoney, 2026</w:t>
        </w:r>
      </w:hyperlink>
      <w:r>
        <w:t>).</w:t>
      </w:r>
      <w:r/>
    </w:p>
    <w:p>
      <w:pPr>
        <w:pStyle w:val="Heading2"/>
      </w:pPr>
      <w:r>
        <w:t>Representative Frameworks and Implementations</w:t>
      </w:r>
      <w:r/>
    </w:p>
    <w:p>
      <w:r/>
      <w:r>
        <w:t>Several frameworks operationalize learning-agent design. LangGraph supports graph-based orchestration and is used in enterprise report generation, including a generate-evaluate loop for ESG reports (</w:t>
      </w:r>
      <w:hyperlink r:id="rId17">
        <w:r>
          <w:rPr>
            <w:color w:val="0000EE"/>
            <w:u w:val="single"/>
          </w:rPr>
          <w:t>AWS, n.d.</w:t>
        </w:r>
      </w:hyperlink>
      <w:r>
        <w:t>). AutoGen, LangGraph, and CrewAI are commonly cited for planning, tool execution, or multi-agent coordination (</w:t>
      </w:r>
      <w:hyperlink r:id="rId11">
        <w:r>
          <w:rPr>
            <w:color w:val="0000EE"/>
            <w:u w:val="single"/>
          </w:rPr>
          <w:t>J. Song, n.d.</w:t>
        </w:r>
      </w:hyperlink>
      <w:r>
        <w:t>). OpenHands and OSWorld appear in perception and agent-computer interaction contexts (</w:t>
      </w:r>
      <w:hyperlink r:id="rId11">
        <w:r>
          <w:rPr>
            <w:color w:val="0000EE"/>
            <w:u w:val="single"/>
          </w:rPr>
          <w:t>J. Song, n.d.</w:t>
        </w:r>
      </w:hyperlink>
      <w:r>
        <w:t>).</w:t>
      </w:r>
      <w:r/>
    </w:p>
    <w:p>
      <w:r/>
      <w:r>
        <w:t>The Model Context Protocol, released by Anthropic in November 2024, became a de facto tool-interoperability standard after being adopted by OpenAI and Google DeepMind within half a year (</w:t>
      </w:r>
      <w:hyperlink r:id="rId13">
        <w:r>
          <w:rPr>
            <w:color w:val="0000EE"/>
            <w:u w:val="single"/>
          </w:rPr>
          <w:t>stardsd, 2026</w:t>
        </w:r>
      </w:hyperlink>
      <w:r>
        <w:t>). For memory, Letta, derived from MemGPT, and Mem0 represent production-oriented memory systems (</w:t>
      </w:r>
      <w:hyperlink r:id="rId13">
        <w:r>
          <w:rPr>
            <w:color w:val="0000EE"/>
            <w:u w:val="single"/>
          </w:rPr>
          <w:t>stardsd, 2026</w:t>
        </w:r>
      </w:hyperlink>
      <w:r>
        <w:t>). On the product side, Manus provides a parallel multi-agent report generator that performs end-to-end research, analysis, and document creation (</w:t>
      </w:r>
      <w:hyperlink r:id="rId18">
        <w:r>
          <w:rPr>
            <w:color w:val="0000EE"/>
            <w:u w:val="single"/>
          </w:rPr>
          <w:t>Manus, n.d.</w:t>
        </w:r>
      </w:hyperlink>
      <w:r>
        <w:t>). A representative enterprise implementation uses AWS Bedrock, LangGraph Map-Reduce, and OpenSearch to generate ESG reports with iterative quality evaluation (</w:t>
      </w:r>
      <w:hyperlink r:id="rId17">
        <w:r>
          <w:rPr>
            <w:color w:val="0000EE"/>
            <w:u w:val="single"/>
          </w:rPr>
          <w:t>AWS, n.d.</w:t>
        </w:r>
      </w:hyperlink>
      <w:r>
        <w:t>).</w:t>
      </w:r>
      <w:r/>
    </w:p>
    <w:p>
      <w:pPr>
        <w:pStyle w:val="Heading2"/>
      </w:pPr>
      <w:r>
        <w:t>Evaluation Methods</w:t>
      </w:r>
      <w:r/>
    </w:p>
    <w:p>
      <w:r/>
      <w:r>
        <w:t>Evaluation for learning agents has moved from static language-model benchmarks to interactive, verifiable task environments. SWE-bench Verified became a standard coding-agent benchmark. Human expert baseline performance is approximately 42%, while the best systems reached over 75% by 2025, causing the benchmark to saturate and prompting a shift to harder variants such as SWE-bench Pro (</w:t>
      </w:r>
      <w:hyperlink r:id="rId13">
        <w:r>
          <w:rPr>
            <w:color w:val="0000EE"/>
            <w:u w:val="single"/>
          </w:rPr>
          <w:t>stardsd, 2026</w:t>
        </w:r>
      </w:hyperlink>
      <w:r>
        <w:t>). GAIA emphasizes multi-step tool use, τ-bench uses a simulated dynamic user, and OSWorld, AndroidWorld, WebArena, and VisualWebArena test GUI agents in realistic environments (</w:t>
      </w:r>
      <w:hyperlink r:id="rId13">
        <w:r>
          <w:rPr>
            <w:color w:val="0000EE"/>
            <w:u w:val="single"/>
          </w:rPr>
          <w:t>stardsd, 2026</w:t>
        </w:r>
      </w:hyperlink>
      <w:r>
        <w:t>).</w:t>
      </w:r>
      <w:r/>
    </w:p>
    <w:p>
      <w:r/>
      <w:r>
        <w:t>For knowledge-intensive agent products, OpenAI Deep Research improved performance on Humanity’s Last Exam from 26.6% to 67.3% (</w:t>
      </w:r>
      <w:hyperlink r:id="rId13">
        <w:r>
          <w:rPr>
            <w:color w:val="0000EE"/>
            <w:u w:val="single"/>
          </w:rPr>
          <w:t>stardsd, 2026</w:t>
        </w:r>
      </w:hyperlink>
      <w:r>
        <w:t>). METR’s task-horizon metric measures how long a model can autonomously complete tasks, providing a longitudinal capability measure (</w:t>
      </w:r>
      <w:hyperlink r:id="rId13">
        <w:r>
          <w:rPr>
            <w:color w:val="0000EE"/>
            <w:u w:val="single"/>
          </w:rPr>
          <w:t>stardsd, 2026</w:t>
        </w:r>
      </w:hyperlink>
      <w:r>
        <w:t>). Static benchmarks such as MMLU have been criticized for saturation and training-data contamination, so newer evaluations emphasize expert difficulty, dynamic interaction, and anti-gaming design (</w:t>
      </w:r>
      <w:hyperlink r:id="rId13">
        <w:r>
          <w:rPr>
            <w:color w:val="0000EE"/>
            <w:u w:val="single"/>
          </w:rPr>
          <w:t>stardsd, 2026</w:t>
        </w:r>
      </w:hyperlink>
      <w:r>
        <w:t>).</w:t>
      </w:r>
      <w:r/>
    </w:p>
    <w:p>
      <w:r/>
      <w:r>
        <w:t>Evaluation is also built into the learning loop itself. In the AWS report-generation case, each report section passes through a generate-evaluate-revise cycle. The system uses a quality threshold of 3.5; a sample topic report reached 3.95 and was accepted (</w:t>
      </w:r>
      <w:hyperlink r:id="rId17">
        <w:r>
          <w:rPr>
            <w:color w:val="0000EE"/>
            <w:u w:val="single"/>
          </w:rPr>
          <w:t>AWS, n.d.</w:t>
        </w:r>
      </w:hyperlink>
      <w:r>
        <w:t>). In China’s 2024 AI Agent best-practice selection, cases were assessed on value, practicality, innovation, and demonstration effect (</w:t>
      </w:r>
      <w:hyperlink r:id="rId16">
        <w:r>
          <w:rPr>
            <w:color w:val="0000EE"/>
            <w:u w:val="single"/>
          </w:rPr>
          <w:t>shaqiu, 2024</w:t>
        </w:r>
      </w:hyperlink>
      <w:r>
        <w:t>). This mix of automated benchmarks, simulated users, production quality gates, and case reviews reflects the current evaluation landscape.</w:t>
      </w:r>
      <w:r/>
    </w:p>
    <w:p>
      <w:pPr>
        <w:pStyle w:val="Heading2"/>
      </w:pPr>
      <w:r>
        <w:t>Challenges and Limitations</w:t>
      </w:r>
      <w:r/>
    </w:p>
    <w:p>
      <w:r/>
      <w:r>
        <w:t>Learning agents face several structural challenges. First, error compounding: each additional tool call creates a new failure point, and long chains can cause success rates to drop sharply (</w:t>
      </w:r>
      <w:hyperlink r:id="rId9">
        <w:r>
          <w:rPr>
            <w:color w:val="0000EE"/>
            <w:u w:val="single"/>
          </w:rPr>
          <w:t>CSDN, 2026</w:t>
        </w:r>
      </w:hyperlink>
      <w:r>
        <w:t>). Second, token cost grows with long multi-turn interactions and context accumulation, requiring stateless design or aggressive context pruning (</w:t>
      </w:r>
      <w:hyperlink r:id="rId9">
        <w:r>
          <w:rPr>
            <w:color w:val="0000EE"/>
            <w:u w:val="single"/>
          </w:rPr>
          <w:t>CSDN, 2026</w:t>
        </w:r>
      </w:hyperlink>
      <w:r>
        <w:t>). Third, tool ecosystem constraints: about 70% of work depends on external tool integration, and missing or unstable tools undermine agent capability (</w:t>
      </w:r>
      <w:hyperlink r:id="rId9">
        <w:r>
          <w:rPr>
            <w:color w:val="0000EE"/>
            <w:u w:val="single"/>
          </w:rPr>
          <w:t>CSDN, 2026</w:t>
        </w:r>
      </w:hyperlink>
      <w:r>
        <w:t>).</w:t>
      </w:r>
      <w:r/>
    </w:p>
    <w:p>
      <w:r/>
      <w:r>
        <w:t>Multi-agent systems have their own failure patterns. A systematic study across 11 frameworks and 7 task types identified 14 failure modes in three categories: specification defects, coordination failures, and verification gaps. The same study found that many reported multi-agent gains came from weak single-agent baselines, and that multi-agent systems can consume roughly 15 times more tokens than single-agent alternatives (</w:t>
      </w:r>
      <w:hyperlink r:id="rId13">
        <w:r>
          <w:rPr>
            <w:color w:val="0000EE"/>
            <w:u w:val="single"/>
          </w:rPr>
          <w:t>stardsd, 2026</w:t>
        </w:r>
      </w:hyperlink>
      <w:r>
        <w:t>). Therefore, multi-agent use should be justified by parallel, low-coupling tasks rather than assumed superiority (</w:t>
      </w:r>
      <w:hyperlink r:id="rId13">
        <w:r>
          <w:rPr>
            <w:color w:val="0000EE"/>
            <w:u w:val="single"/>
          </w:rPr>
          <w:t>stardsd, 2026</w:t>
        </w:r>
      </w:hyperlink>
      <w:r>
        <w:t>).</w:t>
      </w:r>
      <w:r/>
    </w:p>
    <w:p>
      <w:r/>
      <w:r>
        <w:t>Safety is another major limitation. Prompt injection is a first-order threat because malicious instructions can enter through web pages, documents, or emails. Research includes attack benchmarks such as AgentDojo, input-output filtering, and least-privilege tool permissions, but the overall situation remains that capability grows faster than defense (</w:t>
      </w:r>
      <w:hyperlink r:id="rId13">
        <w:r>
          <w:rPr>
            <w:color w:val="0000EE"/>
            <w:u w:val="single"/>
          </w:rPr>
          <w:t>stardsd, 2026</w:t>
        </w:r>
      </w:hyperlink>
      <w:r>
        <w:t>). Memory governance raises further problems: context length limits, memory duplication, privacy, outdated information, and catastrophic forgetting from weight updates (</w:t>
      </w:r>
      <w:hyperlink r:id="rId11">
        <w:r>
          <w:rPr>
            <w:color w:val="0000EE"/>
            <w:u w:val="single"/>
          </w:rPr>
          <w:t>J. Song, n.d.</w:t>
        </w:r>
      </w:hyperlink>
      <w:r>
        <w:t xml:space="preserve">; </w:t>
      </w:r>
      <w:hyperlink r:id="rId13">
        <w:r>
          <w:rPr>
            <w:color w:val="0000EE"/>
            <w:u w:val="single"/>
          </w:rPr>
          <w:t>stardsd, 2026</w:t>
        </w:r>
      </w:hyperlink>
      <w:r>
        <w:t>). Agentic reinforcement learning also suffers from sparse-reward credit assignment, policy collapse in multi-turn settings, non-resettable environments, and train-test distribution shift (</w:t>
      </w:r>
      <w:hyperlink r:id="rId13">
        <w:r>
          <w:rPr>
            <w:color w:val="0000EE"/>
            <w:u w:val="single"/>
          </w:rPr>
          <w:t>stardsd, 2026</w:t>
        </w:r>
      </w:hyperlink>
      <w:r>
        <w:t>). Finally, agent guardrails such as maximum steps, budget limits, dangerous-action confirmation, and sandbox execution are essential to prevent loops and catastrophic actions (</w:t>
      </w:r>
      <w:hyperlink r:id="rId12">
        <w:r>
          <w:rPr>
            <w:color w:val="0000EE"/>
            <w:u w:val="single"/>
          </w:rPr>
          <w:t>Datawhale, n.d.</w:t>
        </w:r>
      </w:hyperlink>
      <w:r>
        <w:t>).</w:t>
      </w:r>
      <w:r/>
    </w:p>
    <w:p>
      <w:pPr>
        <w:pStyle w:val="Heading2"/>
      </w:pPr>
      <w:r>
        <w:t>Future Trends</w:t>
      </w:r>
      <w:r/>
    </w:p>
    <w:p>
      <w:r/>
      <w:r>
        <w:t>The technical trajectory points toward stronger planning, better memory, multi-agent collaboration, and more robust safety guardrails (</w:t>
      </w:r>
      <w:hyperlink r:id="rId12">
        <w:r>
          <w:rPr>
            <w:color w:val="0000EE"/>
            <w:u w:val="single"/>
          </w:rPr>
          <w:t>Datawhale, n.d.</w:t>
        </w:r>
      </w:hyperlink>
      <w:r>
        <w:t>). Research surveys identify six priority areas: controllable self-improvement, multi-agent economics, safety engineering, evaluation science, memory consolidation, and tool-protocol standardization. The expected long-term picture is that the model becomes an inference engine, the system becomes an agent society, and evaluation becomes infrastructure (</w:t>
      </w:r>
      <w:hyperlink r:id="rId13">
        <w:r>
          <w:rPr>
            <w:color w:val="0000EE"/>
            <w:u w:val="single"/>
          </w:rPr>
          <w:t>stardsd, 2026</w:t>
        </w:r>
      </w:hyperlink>
      <w:r>
        <w:t>). Standard tool protocols such as MCP and A2A will likely serve as interoperability foundations (</w:t>
      </w:r>
      <w:hyperlink r:id="rId13">
        <w:r>
          <w:rPr>
            <w:color w:val="0000EE"/>
            <w:u w:val="single"/>
          </w:rPr>
          <w:t>stardsd, 2026</w:t>
        </w:r>
      </w:hyperlink>
      <w:r>
        <w:t>). On the business side, sustained market growth toward USD 159 billion by 2030 and the open-source deployment segment’s expansion suggest that learning agents will move from experimental pilots into selected production systems, though the current 9.1% deployment rate indicates that maturity will be gradual rather than sudden (</w:t>
      </w:r>
      <w:hyperlink r:id="rId10">
        <w:r>
          <w:rPr>
            <w:color w:val="0000EE"/>
            <w:u w:val="single"/>
          </w:rPr>
          <w:t>eastmoney, 2026</w:t>
        </w:r>
      </w:hyperlink>
      <w:r>
        <w:t>).</w:t>
      </w:r>
      <w:r/>
    </w:p>
    <w:p>
      <w:pPr>
        <w:pStyle w:val="Heading2"/>
      </w:pPr>
      <w:r>
        <w:t>Conclusion</w:t>
      </w:r>
      <w:r/>
    </w:p>
    <w:p>
      <w:r/>
      <w:r>
        <w:t>The available evidence supports a clear interpretation: a learning agent is not a general autonomous learner, but an LLM-centered system whose learning is deliberately engineered through perception, memory, feedback loops, reflection, and environment-driven training. Current systems demonstrate useful learning within bounded task distributions—code repair, GUI operation, web retrieval, report generation, and customer-service workflows—but they do not yet generalize autonomously across unrelated domains. The gap between 75% laboratory validation and 9.1% industrial deployment confirms that learning agents are entering production selectively, mostly where human-in-the-loop controls, modular guardrails, and closed-loop evaluation are present (</w:t>
      </w:r>
      <w:hyperlink r:id="rId10">
        <w:r>
          <w:rPr>
            <w:color w:val="0000EE"/>
            <w:u w:val="single"/>
          </w:rPr>
          <w:t>eastmoney, 2026</w:t>
        </w:r>
      </w:hyperlink>
      <w:r>
        <w:t xml:space="preserve">; </w:t>
      </w:r>
      <w:hyperlink r:id="rId16">
        <w:r>
          <w:rPr>
            <w:color w:val="0000EE"/>
            <w:u w:val="single"/>
          </w:rPr>
          <w:t>shaqiu, 2024</w:t>
        </w:r>
      </w:hyperlink>
      <w:r>
        <w:t xml:space="preserve">; </w:t>
      </w:r>
      <w:hyperlink r:id="rId17">
        <w:r>
          <w:rPr>
            <w:color w:val="0000EE"/>
            <w:u w:val="single"/>
          </w:rPr>
          <w:t>AWS, n.d.</w:t>
        </w:r>
      </w:hyperlink>
      <w:r>
        <w:t>). The most consequential near-term advances are likely to come from agentic reinforcement learning at scale, standardized tool protocols, and better memory governance (</w:t>
      </w:r>
      <w:hyperlink r:id="rId13">
        <w:r>
          <w:rPr>
            <w:color w:val="0000EE"/>
            <w:u w:val="single"/>
          </w:rPr>
          <w:t>stardsd, 2026</w:t>
        </w:r>
      </w:hyperlink>
      <w:r>
        <w:t>).</w:t>
      </w:r>
      <w:r/>
    </w:p>
    <w:p>
      <w:pPr>
        <w:pStyle w:val="Heading2"/>
      </w:pPr>
      <w:r>
        <w:t>References</w:t>
      </w:r>
      <w:r/>
    </w:p>
    <w:p>
      <w:r/>
      <w:r>
        <w:t xml:space="preserve">AWS. (n.d.). </w:t>
      </w:r>
      <w:r>
        <w:rPr>
          <w:i/>
        </w:rPr>
        <w:t>利用AWS Bedrock构建智能报告生成Agent</w:t>
      </w:r>
      <w:r>
        <w:t xml:space="preserve">. 亚马逊AWS官方博客. </w:t>
      </w:r>
      <w:hyperlink r:id="rId17">
        <w:r>
          <w:rPr>
            <w:color w:val="0000EE"/>
            <w:u w:val="single"/>
          </w:rPr>
          <w:t>https://aws.amazon.com/cn/blogs/china/building-intelligent-report-generation-agent-with-aws-bedrock</w:t>
        </w:r>
      </w:hyperlink>
      <w:r/>
    </w:p>
    <w:p>
      <w:r/>
      <w:r>
        <w:t xml:space="preserve">CSDN. (2026, June 23). </w:t>
      </w:r>
      <w:r>
        <w:rPr>
          <w:i/>
        </w:rPr>
        <w:t>AI智能体5级进化+核心架构详解，大模型开发者必看</w:t>
      </w:r>
      <w:r>
        <w:t xml:space="preserve">. CSDN博客. </w:t>
      </w:r>
      <w:hyperlink r:id="rId9">
        <w:r>
          <w:rPr>
            <w:color w:val="0000EE"/>
            <w:u w:val="single"/>
          </w:rPr>
          <w:t>https://blog.csdn.net/m0_59235945/article/details/154738611</w:t>
        </w:r>
      </w:hyperlink>
      <w:r/>
    </w:p>
    <w:p>
      <w:r/>
      <w:r>
        <w:t xml:space="preserve">Datawhale. (n.d.). </w:t>
      </w:r>
      <w:r>
        <w:rPr>
          <w:i/>
        </w:rPr>
        <w:t>AI Agent 原理与工具调用</w:t>
      </w:r>
      <w:r>
        <w:t xml:space="preserve">. Easy-Vibe 教程. </w:t>
      </w:r>
      <w:hyperlink r:id="rId12">
        <w:r>
          <w:rPr>
            <w:color w:val="0000EE"/>
            <w:u w:val="single"/>
          </w:rPr>
          <w:t>https://datawhalechina.github.io/easy-vibe/zh-cn/appendix/8-artificial-intelligence/ai-agents.html</w:t>
        </w:r>
      </w:hyperlink>
      <w:r/>
    </w:p>
    <w:p>
      <w:r/>
      <w:r>
        <w:t xml:space="preserve">J. Song. (n.d.). </w:t>
      </w:r>
      <w:r>
        <w:rPr>
          <w:i/>
        </w:rPr>
        <w:t>智能体基础原理、组成与执行流程：简易指南</w:t>
      </w:r>
      <w:r>
        <w:t xml:space="preserve">. Jimmy Song. </w:t>
      </w:r>
      <w:hyperlink r:id="rId11">
        <w:r>
          <w:rPr>
            <w:color w:val="0000EE"/>
            <w:u w:val="single"/>
          </w:rPr>
          <w:t>https://jimmysong.io/zh/book/ai-handbook/agent/agent-basics</w:t>
        </w:r>
      </w:hyperlink>
      <w:r/>
    </w:p>
    <w:p>
      <w:r/>
      <w:r>
        <w:t xml:space="preserve">Kimi AI. (2026, August 11). </w:t>
      </w:r>
      <w:r>
        <w:rPr>
          <w:i/>
        </w:rPr>
        <w:t>20 个跨行业的真实 AI Agent 应用案例</w:t>
      </w:r>
      <w:r>
        <w:t xml:space="preserve">. </w:t>
      </w:r>
      <w:hyperlink r:id="rId14">
        <w:r>
          <w:rPr>
            <w:color w:val="0000EE"/>
            <w:u w:val="single"/>
          </w:rPr>
          <w:t>https://www.kimi.ai/zh-hans/resources/ai-agent-use-cases</w:t>
        </w:r>
      </w:hyperlink>
      <w:r/>
    </w:p>
    <w:p>
      <w:r/>
      <w:r>
        <w:t xml:space="preserve">Manus. (n.d.). </w:t>
      </w:r>
      <w:r>
        <w:rPr>
          <w:i/>
        </w:rPr>
        <w:t>AI 报告生成器：节省数小时的报告撰写时间</w:t>
      </w:r>
      <w:r>
        <w:t xml:space="preserve">. </w:t>
      </w:r>
      <w:hyperlink r:id="rId18">
        <w:r>
          <w:rPr>
            <w:color w:val="0000EE"/>
            <w:u w:val="single"/>
          </w:rPr>
          <w:t>https://manus.im/zh-cn/playbook/report-generator</w:t>
        </w:r>
      </w:hyperlink>
      <w:r/>
    </w:p>
    <w:p>
      <w:r/>
      <w:r>
        <w:t xml:space="preserve">shaqiu. (2024). </w:t>
      </w:r>
      <w:r>
        <w:rPr>
          <w:i/>
        </w:rPr>
        <w:t>2024中国AI Agent最佳实践案例TOP20重磅发布</w:t>
      </w:r>
      <w:r>
        <w:t xml:space="preserve">. 沙丘社区. </w:t>
      </w:r>
      <w:hyperlink r:id="rId16">
        <w:r>
          <w:rPr>
            <w:color w:val="0000EE"/>
            <w:u w:val="single"/>
          </w:rPr>
          <w:t>https://www.shaqiu.cn/article/4NDrLga8Ymx1</w:t>
        </w:r>
      </w:hyperlink>
      <w:r/>
    </w:p>
    <w:p>
      <w:r/>
      <w:r>
        <w:t xml:space="preserve">stardsd. (2026, August 3). </w:t>
      </w:r>
      <w:r>
        <w:rPr>
          <w:i/>
        </w:rPr>
        <w:t>AI Agent 与大语言模型（LLM）最新科研进展技术综述</w:t>
      </w:r>
      <w:r>
        <w:t xml:space="preserve">. 博客园. </w:t>
      </w:r>
      <w:hyperlink r:id="rId13">
        <w:r>
          <w:rPr>
            <w:color w:val="0000EE"/>
            <w:u w:val="single"/>
          </w:rPr>
          <w:t>https://www.cnblogs.com/sddai/p/22181149</w:t>
        </w:r>
      </w:hyperlink>
      <w:r/>
    </w:p>
    <w:p>
      <w:r/>
      <w:r>
        <w:t xml:space="preserve">thepaper. (2024, September 18). </w:t>
      </w:r>
      <w:r>
        <w:rPr>
          <w:i/>
        </w:rPr>
        <w:t>从国内外10个智能体案例，看AI Agent在教育领域的应用</w:t>
      </w:r>
      <w:r>
        <w:t xml:space="preserve">. 澎湃新闻. </w:t>
      </w:r>
      <w:hyperlink r:id="rId15">
        <w:r>
          <w:rPr>
            <w:color w:val="0000EE"/>
            <w:u w:val="single"/>
          </w:rPr>
          <w:t>https://www.thepaper.cn/newsDetail_forward_28772976</w:t>
        </w:r>
      </w:hyperlink>
      <w:r/>
    </w:p>
    <w:p>
      <w:r/>
      <w:r>
        <w:t xml:space="preserve">拓端tecdat. (2026, June 5). </w:t>
      </w:r>
      <w:r>
        <w:rPr>
          <w:i/>
        </w:rPr>
        <w:t>2026年Agent智能体深度研究报告：问答到行动—产业化路径与风险全景</w:t>
      </w:r>
      <w:r>
        <w:t xml:space="preserve">. 东方财富网. </w:t>
      </w:r>
      <w:hyperlink r:id="rId10">
        <w:r>
          <w:rPr>
            <w:color w:val="0000EE"/>
            <w:u w:val="single"/>
          </w:rPr>
          <w:t>https://caifuhao.eastmoney.com/news/20260605170114382678080</w:t>
        </w:r>
      </w:hyperlink>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blog.csdn.net/m0_59235945/article/details/154738611" TargetMode="External"/><Relationship Id="rId10" Type="http://schemas.openxmlformats.org/officeDocument/2006/relationships/hyperlink" Target="https://caifuhao.eastmoney.com/news/20260605170114382678080" TargetMode="External"/><Relationship Id="rId11" Type="http://schemas.openxmlformats.org/officeDocument/2006/relationships/hyperlink" Target="https://jimmysong.io/zh/book/ai-handbook/agent/agent-basics" TargetMode="External"/><Relationship Id="rId12" Type="http://schemas.openxmlformats.org/officeDocument/2006/relationships/hyperlink" Target="https://datawhalechina.github.io/easy-vibe/zh-cn/appendix/8-artificial-intelligence/ai-agents.html" TargetMode="External"/><Relationship Id="rId13" Type="http://schemas.openxmlformats.org/officeDocument/2006/relationships/hyperlink" Target="https://www.cnblogs.com/sddai/p/22181149" TargetMode="External"/><Relationship Id="rId14" Type="http://schemas.openxmlformats.org/officeDocument/2006/relationships/hyperlink" Target="https://www.kimi.ai/zh-hans/resources/ai-agent-use-cases" TargetMode="External"/><Relationship Id="rId15" Type="http://schemas.openxmlformats.org/officeDocument/2006/relationships/hyperlink" Target="https://www.thepaper.cn/newsDetail_forward_28772976" TargetMode="External"/><Relationship Id="rId16" Type="http://schemas.openxmlformats.org/officeDocument/2006/relationships/hyperlink" Target="https://www.shaqiu.cn/article/4NDrLga8Ymx1" TargetMode="External"/><Relationship Id="rId17" Type="http://schemas.openxmlformats.org/officeDocument/2006/relationships/hyperlink" Target="https://aws.amazon.com/cn/blogs/china/building-intelligent-report-generation-agent-with-aws-bedrock" TargetMode="External"/><Relationship Id="rId18" Type="http://schemas.openxmlformats.org/officeDocument/2006/relationships/hyperlink" Target="https://manus.im/zh-cn/playbook/report-genera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