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12DE8">
      <w:pPr>
        <w:pStyle w:val="13"/>
        <w:widowControl/>
        <w:spacing w:before="100" w:beforeAutospacing="1" w:after="200" w:afterAutospacing="1" w:line="276" w:lineRule="auto"/>
        <w:jc w:val="center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hAnsi="宋体" w:eastAsia="宋体"/>
          <w:b/>
          <w:color w:val="000000"/>
          <w:sz w:val="48"/>
        </w:rPr>
        <w:t>ACL 2027 冲刺班课前研究报告</w:t>
      </w:r>
    </w:p>
    <w:p w14:paraId="118C9952">
      <w:pPr>
        <w:spacing w:after="160" w:line="276" w:lineRule="auto"/>
      </w:pPr>
      <w:r>
        <w:rPr>
          <w:rFonts w:ascii="宋体" w:hAnsi="宋体" w:eastAsia="宋体"/>
          <w:b w:val="0"/>
          <w:color w:val="000000"/>
          <w:sz w:val="22"/>
        </w:rPr>
        <w:t>阅读主题聚焦于冲突证据、异构知识融合、文本—时间序列融合与结构化低秩适配。结合两天的供应链实验，当前最可靠的判断是：轻量条件化存在小幅有效信号，但多数复杂结构的收益仍可由额外容量解释；后续研究应把“语义收益是否不可替代”作为可证伪对象。</w:t>
      </w:r>
    </w:p>
    <w:p w14:paraId="6FD468C4">
      <w:pPr>
        <w:widowControl/>
        <w:spacing w:before="100" w:beforeAutospacing="1" w:after="100" w:afterAutospacing="1" w:line="240" w:lineRule="auto"/>
        <w:ind w:firstLine="480" w:firstLineChars="20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本文档作为</w:t>
      </w:r>
      <w:r>
        <w:rPr>
          <w:rFonts w:ascii="宋体" w:hAnsi="宋体" w:eastAsia="宋体" w:cs="宋体"/>
          <w:kern w:val="0"/>
          <w:sz w:val="24"/>
          <w14:ligatures w14:val="none"/>
        </w:rPr>
        <w:t>正式上课前</w:t>
      </w:r>
      <w:r>
        <w:rPr>
          <w:rFonts w:hint="eastAsia" w:ascii="宋体" w:hAnsi="宋体" w:eastAsia="宋体" w:cs="宋体"/>
          <w:kern w:val="0"/>
          <w:sz w:val="24"/>
          <w14:ligatures w14:val="none"/>
        </w:rPr>
        <w:t>大家的学习指导，核心就是要看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 </w:t>
      </w:r>
      <w:r>
        <w:rPr>
          <w:rFonts w:ascii="宋体" w:hAnsi="宋体" w:eastAsia="宋体" w:cs="宋体"/>
          <w:kern w:val="0"/>
          <w:sz w:val="24"/>
          <w:highlight w:val="yellow"/>
          <w14:ligatures w14:val="none"/>
        </w:rPr>
        <w:t>ACL 2026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 已发表论文，</w:t>
      </w:r>
      <w:r>
        <w:rPr>
          <w:rFonts w:hint="eastAsia" w:ascii="宋体" w:hAnsi="宋体" w:eastAsia="宋体" w:cs="宋体"/>
          <w:kern w:val="0"/>
          <w:sz w:val="24"/>
          <w14:ligatures w14:val="none"/>
        </w:rPr>
        <w:t>争取能对</w:t>
      </w:r>
      <w:r>
        <w:rPr>
          <w:rFonts w:ascii="宋体" w:hAnsi="宋体" w:eastAsia="宋体" w:cs="宋体"/>
          <w:kern w:val="0"/>
          <w:sz w:val="24"/>
          <w14:ligatures w14:val="none"/>
        </w:rPr>
        <w:t>今年 ACL 的主要研究方向和论文形式有一个基本认识。</w:t>
      </w:r>
      <w:r>
        <w:rPr>
          <w:rFonts w:hint="eastAsia" w:ascii="宋体" w:hAnsi="宋体" w:eastAsia="宋体" w:cs="宋体"/>
          <w:kern w:val="0"/>
          <w:sz w:val="24"/>
          <w14:ligatures w14:val="none"/>
        </w:rPr>
        <w:t>所以</w:t>
      </w:r>
      <w:r>
        <w:rPr>
          <w:rFonts w:ascii="宋体" w:hAnsi="宋体" w:eastAsia="宋体" w:cs="宋体"/>
          <w:kern w:val="0"/>
          <w:sz w:val="24"/>
          <w14:ligatures w14:val="none"/>
        </w:rPr>
        <w:t>这一阶段不要求精读，也不要求看懂所有公式和实现细节。重点是了解一篇论文主要在做什么，以及它是怎么把一个研究问题讲清楚的。</w:t>
      </w:r>
    </w:p>
    <w:p w14:paraId="6D3FF8C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hint="eastAsia" w:ascii="宋体" w:hAnsi="宋体" w:eastAsia="宋体" w:cs="宋体"/>
          <w:kern w:val="0"/>
          <w:sz w:val="24"/>
          <w14:ligatures w14:val="none"/>
        </w:rPr>
        <w:t>ACL2026中稿论文已经公开在：</w:t>
      </w:r>
    </w:p>
    <w:p w14:paraId="4B64EB94">
      <w:pPr>
        <w:widowControl/>
        <w:spacing w:before="100" w:beforeAutospacing="1" w:after="100" w:afterAutospacing="1" w:line="240" w:lineRule="auto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https://2026.aclweb.org/program/accepted_papers/</w:t>
      </w:r>
    </w:p>
    <w:p w14:paraId="42C41593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一、学习内容</w:t>
      </w:r>
    </w:p>
    <w:p w14:paraId="777C714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建议先浏览 10～20 篇 ACL 2026 论文，再从中选择 3～5 篇自己感兴趣的论文重点阅读。</w:t>
      </w:r>
    </w:p>
    <w:p w14:paraId="7C13B36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阅读时主要关注四个方面：</w:t>
      </w:r>
    </w:p>
    <w:p w14:paraId="1AD71A4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研究主题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这篇论文属于哪个方向，例如 Agent、RAG、Long Context、Code Generation、Model Compression、Evaluation 等。</w:t>
      </w:r>
    </w:p>
    <w:p w14:paraId="4917691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研究问题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作者想解决什么问题？现有方法存在什么不足？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尽量用自己的话概括，而不是直接抄论文标题或摘要。</w:t>
      </w:r>
    </w:p>
    <w:p w14:paraId="222653C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核心方法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作者提出了什么主要思路？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不需要详细复述所有模块，重点理解为什么这个方法能够对应前面提出的问题。</w:t>
      </w:r>
    </w:p>
    <w:p w14:paraId="3369697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实验与 Benchmark</w:t>
      </w:r>
      <w:r>
        <w:rPr>
          <w:rFonts w:ascii="宋体" w:hAnsi="宋体" w:eastAsia="宋体" w:cs="宋体"/>
          <w:kern w:val="0"/>
          <w:sz w:val="24"/>
          <w14:ligatures w14:val="none"/>
        </w:rPr>
        <w:br w:type="textWrapping"/>
      </w:r>
      <w:r>
        <w:rPr>
          <w:rFonts w:ascii="宋体" w:hAnsi="宋体" w:eastAsia="宋体" w:cs="宋体"/>
          <w:kern w:val="0"/>
          <w:sz w:val="24"/>
          <w14:ligatures w14:val="none"/>
        </w:rPr>
        <w:t>论文使用了哪些数据集或 Benchmark？主要和哪些方法比较？用了什么指标？最主要的实验结果是什么？</w:t>
      </w:r>
    </w:p>
    <w:p w14:paraId="5B75D98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其中 Introduction 最值得仔细看，重点观察作者如何说明：</w:t>
      </w:r>
    </w:p>
    <w:p w14:paraId="532713B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:highlight w:val="yellow"/>
          <w14:ligatures w14:val="none"/>
        </w:rPr>
        <w:t>研究背景 → 现有问题 → 解决思路 → 主要贡献</w:t>
      </w:r>
    </w:p>
    <w:p w14:paraId="1D2B4C9D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14:ligatures w14:val="none"/>
        </w:rPr>
        <w:t>二</w:t>
      </w: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、课前记录</w:t>
      </w:r>
    </w:p>
    <w:p w14:paraId="2126D85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对重点阅读的 3～5 篇论文，简单记录以下内容即可：</w:t>
      </w:r>
    </w:p>
    <w:p w14:paraId="57286667">
      <w:pPr>
        <w:keepNext/>
        <w:spacing w:before="160" w:after="80" w:line="276" w:lineRule="auto"/>
      </w:pPr>
      <w:r>
        <w:rPr>
          <w:rFonts w:ascii="宋体" w:hAnsi="宋体" w:eastAsia="宋体"/>
          <w:b/>
          <w:color w:val="000000"/>
          <w:sz w:val="24"/>
        </w:rPr>
        <w:t>论文 1  冲突证据评测</w:t>
      </w:r>
    </w:p>
    <w:tbl>
      <w:tblPr>
        <w:tblStyle w:val="14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3695"/>
      </w:tblGrid>
      <w:tr w14:paraId="14A6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51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452E28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  <w:tc>
          <w:tcPr>
            <w:tcW w:w="655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89E1A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记录</w:t>
            </w:r>
          </w:p>
        </w:tc>
      </w:tr>
      <w:tr w14:paraId="56E96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C5581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Paper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90609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Benchmarking LLM’s Capability in Reasoning over Conflicting Web References（Yuan et al., ACL 2026）</w:t>
            </w:r>
          </w:p>
        </w:tc>
      </w:tr>
      <w:tr w14:paraId="7D356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A6961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Theme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99FD4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冲突感知 RAG 与多来源证据推理评测。</w:t>
            </w:r>
          </w:p>
        </w:tc>
      </w:tr>
      <w:tr w14:paraId="54372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447EC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Problem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7D444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真实网页检索会同时返回来源不同、可信度不一且互相矛盾的材料。传统问答评测只检查最终答案，难以判断模型能否识别不同立场、覆盖主要答案并解释冲突原因。</w:t>
            </w:r>
          </w:p>
        </w:tc>
      </w:tr>
      <w:tr w14:paraId="038F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678DC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Method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78329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提出 ConfRAG，并把冲突推理拆成 answer clustering、answer coverage 和 reason coverage 三个结构化任务。它把“多来源冲突”本身变成可量化对象，而不是只看单一答案是否正确。</w:t>
            </w:r>
          </w:p>
        </w:tc>
      </w:tr>
      <w:tr w14:paraId="345C4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6C6EA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Benchmark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9D926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1,814 个真实问题，每题平均 9.58 个异构网页段落；57.2% 的问题含显式矛盾。评测 GPT-4.1、Claude-3-7-Sonnet 等模型。</w:t>
            </w:r>
          </w:p>
        </w:tc>
      </w:tr>
      <w:tr w14:paraId="36410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8ABD1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Result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440A6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强模型仍存在明显能力缺口，说明冲突证据的组织与解释不能由一般问答能力替代。该论文为我们的 source conflict 和 cross-source inconsistency 场景提供了直接的评测依据。</w:t>
            </w:r>
          </w:p>
        </w:tc>
      </w:tr>
      <w:tr w14:paraId="51E8A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01D86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Question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9860E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冲突识别的收益究竟来自真实来源关系，还是更长上下文和更大推理容量？后续方法需要 matched-capacity null 和语义破坏对照。</w:t>
            </w:r>
          </w:p>
        </w:tc>
      </w:tr>
    </w:tbl>
    <w:p w14:paraId="18F4901E">
      <w:pPr>
        <w:keepNext/>
        <w:spacing w:before="160" w:after="80" w:line="276" w:lineRule="auto"/>
      </w:pPr>
      <w:r>
        <w:rPr>
          <w:rFonts w:ascii="宋体" w:hAnsi="宋体" w:eastAsia="宋体"/>
          <w:b/>
          <w:color w:val="000000"/>
          <w:sz w:val="24"/>
        </w:rPr>
        <w:t>论文 2  冲突下稳健推理</w:t>
      </w:r>
    </w:p>
    <w:tbl>
      <w:tblPr>
        <w:tblStyle w:val="14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3695"/>
      </w:tblGrid>
      <w:tr w14:paraId="6DCC3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51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29FC6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  <w:tc>
          <w:tcPr>
            <w:tcW w:w="655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CE7F4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记录</w:t>
            </w:r>
          </w:p>
        </w:tc>
      </w:tr>
      <w:tr w14:paraId="3A73C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E68A0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Paper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29B59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Efficient Prior-Guided Reasoning for Robust Retrieval-Augmented Generation under Conflicts（Yuan et al., ACL 2026）</w:t>
            </w:r>
          </w:p>
        </w:tc>
      </w:tr>
      <w:tr w14:paraId="01AD8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09CA5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Theme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0604E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噪声、过时与冲突检索条件下的稳健 RAG。</w:t>
            </w:r>
          </w:p>
        </w:tc>
      </w:tr>
      <w:tr w14:paraId="15CA4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1E3C9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Problem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37B8A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外部证据与模型参数知识冲突时，直接拼接检索内容容易使推理被错误材料带偏；显式生成先验又增加推理开销。</w:t>
            </w:r>
          </w:p>
        </w:tc>
      </w:tr>
      <w:tr w14:paraId="189EB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1CE2A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Method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57F36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先用 Prior-Guided Reasoning 显式调用参数知识，再提出 BrPr，通过 Bernoulli-gated reinforcement learning 和训练期 dropout，把先验引导能力蒸馏进参数，实现不显式生成先验的潜在推理。</w:t>
            </w:r>
          </w:p>
        </w:tc>
      </w:tr>
      <w:tr w14:paraId="310B5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D361E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Benchmark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0F62C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在含 Natural Questions 等任务的 RAG-Bench 上构造不同强度的冲突与噪声，比较常规 RAG、显式先验推理和训练后的 BrPr。</w:t>
            </w:r>
          </w:p>
        </w:tc>
      </w:tr>
      <w:tr w14:paraId="13477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7FBFA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Result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C7737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BrPr 在外部冲突和噪声下表现出更稳定的</w:t>
            </w:r>
            <w:r>
              <w:rPr>
                <w:rFonts w:hint="eastAsia" w:ascii="宋体" w:hAnsi="宋体" w:eastAsia="宋体"/>
                <w:b w:val="0"/>
                <w:color w:val="000000"/>
                <w:sz w:val="20"/>
                <w:lang w:val="en-US" w:eastAsia="zh-CN"/>
              </w:rPr>
              <w:t>稳健</w:t>
            </w:r>
            <w:r>
              <w:rPr>
                <w:rFonts w:ascii="宋体" w:hAnsi="宋体" w:eastAsia="宋体"/>
                <w:b w:val="0"/>
                <w:color w:val="000000"/>
                <w:sz w:val="20"/>
              </w:rPr>
              <w:t>性，同时减少显式先验生成成本。它说明冲突处理可以作为训练目标，但其 gated 机制也提示必须单独控制额外动态容量。</w:t>
            </w:r>
          </w:p>
        </w:tc>
      </w:tr>
      <w:tr w14:paraId="2038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28DC7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Question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3FD7E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当模型内部先验本身陈旧或错误时，方法如何避免把错误先验强化为裁决标准？供应链任务还需要把来源可靠度和时间有效性纳入验证。</w:t>
            </w:r>
          </w:p>
        </w:tc>
      </w:tr>
    </w:tbl>
    <w:p w14:paraId="02B92784">
      <w:pPr>
        <w:keepNext/>
        <w:spacing w:before="160" w:after="80" w:line="276" w:lineRule="auto"/>
      </w:pPr>
      <w:r>
        <w:rPr>
          <w:rFonts w:ascii="宋体" w:hAnsi="宋体" w:eastAsia="宋体"/>
          <w:b/>
          <w:color w:val="000000"/>
          <w:sz w:val="24"/>
        </w:rPr>
        <w:t>论文 3  知识融合中的负迁移</w:t>
      </w:r>
    </w:p>
    <w:tbl>
      <w:tblPr>
        <w:tblStyle w:val="14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3695"/>
      </w:tblGrid>
      <w:tr w14:paraId="28030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51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3F60E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  <w:tc>
          <w:tcPr>
            <w:tcW w:w="655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C4B4A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记录</w:t>
            </w:r>
          </w:p>
        </w:tc>
      </w:tr>
      <w:tr w14:paraId="35DC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B5D96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Paper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91390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Learning What to Ignore: Mitigating Negative Transfer in Medical Knowledge Fusion via Clinical Task-Adaptive Selection（Deng et al., ACL 2026）</w:t>
            </w:r>
          </w:p>
        </w:tc>
      </w:tr>
      <w:tr w14:paraId="573B4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38993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Theme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8DD51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异构知识融合、任务自适应选择与负迁移。</w:t>
            </w:r>
          </w:p>
        </w:tc>
      </w:tr>
      <w:tr w14:paraId="6BB8E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ECECC0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Problem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B552F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静态医学本体可靠但更新慢，LLM 检索灵活却可能引入任务无关或冲突知识。无差别融合会削弱患者特异信号，形成 relative negative transfer。</w:t>
            </w:r>
          </w:p>
        </w:tc>
      </w:tr>
      <w:tr w14:paraId="6C6A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26B52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Method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7B7CD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TrustKE 构建稳定本体与动态文献推理组成的双层知识图，并用 task-adaptive knowledge selection 保留与当前临床任务相关的信号。</w:t>
            </w:r>
          </w:p>
        </w:tc>
      </w:tr>
      <w:tr w14:paraId="56F51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CD32C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Benchmark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2A842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MIMIC-III 与 MIMIC-IV；覆盖死亡率、再入院、药物推荐和疾病预测，使用 AUPRC、AUROC、F1、Jaccard 等指标。</w:t>
            </w:r>
          </w:p>
        </w:tc>
      </w:tr>
      <w:tr w14:paraId="54CEC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31242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Result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CB2E4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在四类任务上优于强基线；文中消融显示去掉任务自适应选择会下降。MIMIC-III 死亡率任务相对 ColaCare 的 AUPRC 报告约 19% 提升。</w:t>
            </w:r>
          </w:p>
        </w:tc>
      </w:tr>
      <w:tr w14:paraId="220A0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22B17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Question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21B46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选择机制是否真的依赖医学语义，还是额外选择网络带来的容量？这正对应我们提出的 capacity gate 与 semantic-destruction gate。</w:t>
            </w:r>
          </w:p>
        </w:tc>
      </w:tr>
    </w:tbl>
    <w:p w14:paraId="18F5BA0E">
      <w:pPr>
        <w:keepNext/>
        <w:spacing w:before="160" w:after="80" w:line="276" w:lineRule="auto"/>
      </w:pPr>
      <w:r>
        <w:rPr>
          <w:rFonts w:ascii="宋体" w:hAnsi="宋体" w:eastAsia="宋体"/>
          <w:b/>
          <w:color w:val="000000"/>
          <w:sz w:val="24"/>
        </w:rPr>
        <w:t>论文 4  文本与时间序列异步融合</w:t>
      </w:r>
    </w:p>
    <w:tbl>
      <w:tblPr>
        <w:tblStyle w:val="14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3695"/>
      </w:tblGrid>
      <w:tr w14:paraId="706DC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51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D4EB2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  <w:tc>
          <w:tcPr>
            <w:tcW w:w="655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69140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记录</w:t>
            </w:r>
          </w:p>
        </w:tc>
      </w:tr>
      <w:tr w14:paraId="0970F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B7E7D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Paper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B0D3A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TimeSAF: Towards LLM-Guided Semantic Asynchronous Fusion for Time Series Forecasting（Zhang et al., ACL 2026）</w:t>
            </w:r>
          </w:p>
        </w:tc>
      </w:tr>
      <w:tr w14:paraId="745AB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1A52A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Theme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277CF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文本语义与数值时间序列的跨模态融合。</w:t>
            </w:r>
          </w:p>
        </w:tc>
      </w:tr>
      <w:tr w14:paraId="537EE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48BAE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Problem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AFAAF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把高层文本语义在每一层与细粒度数值动态同步交互，会造成粒度不匹配和 semantic perceptual dissonance，干扰时间模式学习。</w:t>
            </w:r>
          </w:p>
        </w:tc>
      </w:tr>
      <w:tr w14:paraId="1B071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EF88A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Method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25EA0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采用 hierarchical asynchronous fusion：独立的语义融合主干通过 learnable queries 汇总文本与时间表示，再由分阶段 decoder 异步注入高层语义。</w:t>
            </w:r>
          </w:p>
        </w:tc>
      </w:tr>
      <w:tr w14:paraId="2AC33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C1E33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Benchmark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DD9C1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七个长期预测基准：ETTh1、ETTh2、ETTm1、ETTm2、Electricity、Weather、Exchange；同时测试常规、few-shot 与 zero-shot transfer。</w:t>
            </w:r>
          </w:p>
        </w:tc>
      </w:tr>
      <w:tr w14:paraId="21A46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65056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Result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18ACD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在标准长期预测基准上总体优于比较方法，并展示少样本和零样本迁移能力。该设计支持“融合时机和粒度需要受控”，但不能直接证明语义分支不可替代。</w:t>
            </w:r>
          </w:p>
        </w:tc>
      </w:tr>
      <w:tr w14:paraId="4E060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94CA0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Question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B07BE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异步语义注入是否优于参数量和计算量匹配的 generic branch？若打乱文本—时间对应关系后性能不降，就不能把增益归因于真实跨模态语义。</w:t>
            </w:r>
          </w:p>
        </w:tc>
      </w:tr>
    </w:tbl>
    <w:p w14:paraId="56D8B69D">
      <w:pPr>
        <w:keepNext/>
        <w:spacing w:before="160" w:after="80" w:line="276" w:lineRule="auto"/>
      </w:pPr>
      <w:r>
        <w:rPr>
          <w:rFonts w:ascii="宋体" w:hAnsi="宋体" w:eastAsia="宋体"/>
          <w:b/>
          <w:color w:val="000000"/>
          <w:sz w:val="24"/>
        </w:rPr>
        <w:t>论文 5  结构化低秩适配</w:t>
      </w:r>
    </w:p>
    <w:tbl>
      <w:tblPr>
        <w:tblStyle w:val="14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3695"/>
      </w:tblGrid>
      <w:tr w14:paraId="53892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151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FC6BC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  <w:tc>
          <w:tcPr>
            <w:tcW w:w="655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88529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记录</w:t>
            </w:r>
          </w:p>
        </w:tc>
      </w:tr>
      <w:tr w14:paraId="32C00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4172B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Paper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DED98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Not All Directions Matter: Towards Structured and Task-Aware Low-Rank Model Adaptation（Xiao et al., ACL 2026）</w:t>
            </w:r>
          </w:p>
        </w:tc>
      </w:tr>
      <w:tr w14:paraId="4C71D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B7FE7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Theme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8EE32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低秩适配中的任务相关方向选择与跨层协调。</w:t>
            </w:r>
          </w:p>
        </w:tc>
      </w:tr>
      <w:tr w14:paraId="524D0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FA3DE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Problem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FFE89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普通 LoRA 平等对待更新方向，可能产生 semantic drift；各层独立适配又会造成 structural incoherence。</w:t>
            </w:r>
          </w:p>
        </w:tc>
      </w:tr>
      <w:tr w14:paraId="315B8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549E6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Method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F6130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StructLoRA 用 information-bottleneck-guided filter 去除任务无关方向，并用只在训练期存在的图协调器约束跨层更新一致性，因此不增加推理成本。</w:t>
            </w:r>
          </w:p>
        </w:tc>
      </w:tr>
      <w:tr w14:paraId="60263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7E55F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Benchmark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50872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覆盖 LLaMA、LLaVA、ViT 等语言、视觉语言和视觉模型；在相同 RoBERTa-base 设置下也报告 GLUE 对照。</w:t>
            </w:r>
          </w:p>
        </w:tc>
      </w:tr>
      <w:tr w14:paraId="6F471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192F0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Result</w:t>
            </w:r>
          </w:p>
        </w:tc>
        <w:tc>
          <w:tcPr>
            <w:tcW w:w="6552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3E1D4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总体优于 vanilla LoRA、动态 rank allocation 和稀疏方法；低秩、低数据场景增益更明显，GLUE 平均分报告为 86.5。</w:t>
            </w:r>
          </w:p>
        </w:tc>
      </w:tr>
      <w:tr w14:paraId="1E2C2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FFF59">
            <w:pPr>
              <w:widowControl/>
              <w:spacing w:before="0" w:after="40" w:line="269" w:lineRule="auto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Question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EFCCD">
            <w:pPr>
              <w:widowControl/>
              <w:spacing w:before="0" w:after="40" w:line="269" w:lineRule="auto"/>
              <w:jc w:val="left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这说明低秩方向可以被结构化学习，但不能推出低秩本身就是我们的核心机制。迁移到供应链异构证据时仍需 matched-capacity 和语义必要性检验。</w:t>
            </w:r>
          </w:p>
        </w:tc>
      </w:tr>
    </w:tbl>
    <w:p w14:paraId="649AB3F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每篇论文控制在几句话即可，不需要写成完整的论文总结。</w:t>
      </w:r>
    </w:p>
    <w:p w14:paraId="1DF6AA6D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14:ligatures w14:val="none"/>
        </w:rPr>
        <w:t>三</w:t>
      </w: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、课前学习目标</w:t>
      </w:r>
    </w:p>
    <w:p w14:paraId="1AF4EB1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课前阶段最重要的不是看懂多少技术细节，而是逐渐能够判断：</w:t>
      </w:r>
    </w:p>
    <w:p w14:paraId="0B94A51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它具体解决了什么问题？</w:t>
      </w:r>
    </w:p>
    <w:p w14:paraId="608ED18D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方法和问题之间是什么关系？</w:t>
      </w:r>
    </w:p>
    <w:p w14:paraId="6209F8C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实验是否真正说明了作者的结论？</w:t>
      </w:r>
    </w:p>
    <w:p w14:paraId="339982A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上课时会在这些基础上进一步讨论，一篇 ACL 论文通常是如何从一个研究现象逐步形成研究问题、方法和实验设计的。</w:t>
      </w:r>
    </w:p>
    <w:p w14:paraId="3F4E4A8C">
      <w:pPr>
        <w:spacing w:before="60" w:after="100" w:line="300" w:lineRule="auto"/>
        <w:rPr>
          <w:rFonts w:ascii="宋体" w:hAnsi="宋体" w:eastAsia="宋体"/>
          <w:b w:val="0"/>
          <w:color w:val="000000"/>
          <w:sz w:val="22"/>
        </w:rPr>
      </w:pPr>
      <w:r>
        <w:rPr>
          <w:rFonts w:hint="eastAsia" w:ascii="宋体" w:hAnsi="宋体" w:eastAsia="宋体"/>
          <w:b/>
          <w:color w:val="000000"/>
          <w:sz w:val="22"/>
          <w:lang w:val="en-US" w:eastAsia="zh-CN"/>
        </w:rPr>
        <w:t>1.</w:t>
      </w:r>
      <w:r>
        <w:rPr>
          <w:rFonts w:ascii="宋体" w:hAnsi="宋体" w:eastAsia="宋体"/>
          <w:b/>
          <w:color w:val="000000"/>
          <w:sz w:val="22"/>
        </w:rPr>
        <w:t>这些论文具体解决了什么问题？</w:t>
      </w:r>
      <w:r>
        <w:rPr>
          <w:rFonts w:ascii="宋体" w:hAnsi="宋体" w:eastAsia="宋体"/>
          <w:b w:val="0"/>
          <w:color w:val="000000"/>
          <w:sz w:val="22"/>
        </w:rPr>
        <w:t xml:space="preserve"> </w:t>
      </w:r>
    </w:p>
    <w:p w14:paraId="69445A6A">
      <w:pPr>
        <w:spacing w:before="60" w:after="100" w:line="300" w:lineRule="auto"/>
      </w:pPr>
      <w:r>
        <w:rPr>
          <w:rFonts w:ascii="宋体" w:hAnsi="宋体" w:eastAsia="宋体"/>
          <w:b w:val="0"/>
          <w:color w:val="000000"/>
          <w:sz w:val="22"/>
        </w:rPr>
        <w:t>五篇论文分别处理多来源冲突、错误检索干扰、异构知识负迁移、文本与数值信息粒度错配，以及低秩更新中的无关方向。共同问题是：不同来源的信息不能直接无差别融合。</w:t>
      </w:r>
    </w:p>
    <w:p w14:paraId="50C268A2">
      <w:pPr>
        <w:spacing w:before="60" w:after="100" w:line="300" w:lineRule="auto"/>
        <w:rPr>
          <w:rFonts w:ascii="宋体" w:hAnsi="宋体" w:eastAsia="宋体"/>
          <w:b w:val="0"/>
          <w:color w:val="000000"/>
          <w:sz w:val="22"/>
        </w:rPr>
      </w:pPr>
      <w:r>
        <w:rPr>
          <w:rFonts w:hint="eastAsia" w:ascii="宋体" w:hAnsi="宋体" w:eastAsia="宋体"/>
          <w:b/>
          <w:color w:val="000000"/>
          <w:sz w:val="22"/>
          <w:lang w:val="en-US" w:eastAsia="zh-CN"/>
        </w:rPr>
        <w:t>2.</w:t>
      </w:r>
      <w:r>
        <w:rPr>
          <w:rFonts w:ascii="宋体" w:hAnsi="宋体" w:eastAsia="宋体"/>
          <w:b/>
          <w:color w:val="000000"/>
          <w:sz w:val="22"/>
        </w:rPr>
        <w:t>方法和问题之间是什么关系？</w:t>
      </w:r>
      <w:r>
        <w:rPr>
          <w:rFonts w:ascii="宋体" w:hAnsi="宋体" w:eastAsia="宋体"/>
          <w:b w:val="0"/>
          <w:color w:val="000000"/>
          <w:sz w:val="22"/>
        </w:rPr>
        <w:t xml:space="preserve"> </w:t>
      </w:r>
    </w:p>
    <w:p w14:paraId="47B3A139">
      <w:pPr>
        <w:spacing w:before="60" w:after="100" w:line="300" w:lineRule="auto"/>
      </w:pPr>
      <w:r>
        <w:rPr>
          <w:rFonts w:ascii="宋体" w:hAnsi="宋体" w:eastAsia="宋体"/>
          <w:b w:val="0"/>
          <w:color w:val="000000"/>
          <w:sz w:val="22"/>
        </w:rPr>
        <w:t>ConfRAG 把冲突拆成可评测任务；BrPr 降低错误外部证据的干扰；TrustKE 选择与当前任务有关的知识；TimeSAF 控制文本语义注入的时间和粒度；StructLoRA 只保留任务相关的低秩方向。每种方法都直接针对一个明确的融合失效点。</w:t>
      </w:r>
    </w:p>
    <w:p w14:paraId="06BDE812">
      <w:pPr>
        <w:spacing w:before="60" w:after="100" w:line="300" w:lineRule="auto"/>
        <w:rPr>
          <w:rFonts w:ascii="宋体" w:hAnsi="宋体" w:eastAsia="宋体"/>
          <w:b w:val="0"/>
          <w:color w:val="000000"/>
          <w:sz w:val="22"/>
        </w:rPr>
      </w:pPr>
      <w:r>
        <w:rPr>
          <w:rFonts w:hint="eastAsia" w:ascii="宋体" w:hAnsi="宋体" w:eastAsia="宋体"/>
          <w:b/>
          <w:color w:val="000000"/>
          <w:sz w:val="22"/>
          <w:lang w:val="en-US" w:eastAsia="zh-CN"/>
        </w:rPr>
        <w:t>3.</w:t>
      </w:r>
      <w:r>
        <w:rPr>
          <w:rFonts w:ascii="宋体" w:hAnsi="宋体" w:eastAsia="宋体"/>
          <w:b/>
          <w:color w:val="000000"/>
          <w:sz w:val="22"/>
        </w:rPr>
        <w:t>实验是否真正说明了作者的结论？</w:t>
      </w:r>
      <w:r>
        <w:rPr>
          <w:rFonts w:ascii="宋体" w:hAnsi="宋体" w:eastAsia="宋体"/>
          <w:b w:val="0"/>
          <w:color w:val="000000"/>
          <w:sz w:val="22"/>
        </w:rPr>
        <w:t xml:space="preserve"> </w:t>
      </w:r>
    </w:p>
    <w:p w14:paraId="15001931">
      <w:pPr>
        <w:spacing w:before="60" w:after="100" w:line="300" w:lineRule="auto"/>
      </w:pPr>
      <w:r>
        <w:rPr>
          <w:rFonts w:ascii="宋体" w:hAnsi="宋体" w:eastAsia="宋体"/>
          <w:b w:val="0"/>
          <w:color w:val="000000"/>
          <w:sz w:val="22"/>
        </w:rPr>
        <w:t>实验支持这些方法在各自 benchmark 上有效，也说明冲突、负迁移和粒度错配确实值得研究。但多数实验没有同时使用同等容量对照和语义破坏检验，因此能够证明性能提高，不能充分证明提升一定来自真实语义关系，也不能直接推出其在供应链数据上同样有效。</w:t>
      </w:r>
    </w:p>
    <w:p w14:paraId="11EF5218">
      <w:bookmarkStart w:id="0" w:name="_GoBack"/>
      <w:bookmarkEnd w:id="0"/>
      <w:r>
        <w:rPr>
          <w:rFonts w:hint="eastAsia" w:ascii="宋体" w:hAnsi="宋体" w:eastAsia="宋体"/>
          <w:b/>
          <w:color w:val="000000"/>
          <w:sz w:val="32"/>
          <w:lang w:val="en-US" w:eastAsia="zh-CN"/>
        </w:rPr>
        <w:t>Reference</w:t>
      </w:r>
    </w:p>
    <w:p w14:paraId="3D155E28">
      <w:pPr>
        <w:spacing w:after="60"/>
      </w:pPr>
      <w:r>
        <w:rPr>
          <w:rFonts w:ascii="宋体" w:hAnsi="宋体" w:eastAsia="宋体"/>
          <w:b w:val="0"/>
          <w:color w:val="000000"/>
          <w:sz w:val="20"/>
        </w:rPr>
        <w:t xml:space="preserve">1. Benchmarking LLM’s Capability in Reasoning over Conflicting Web References（Yuan et al., ACL 2026）  </w:t>
      </w:r>
      <w:r>
        <w:fldChar w:fldCharType="begin"/>
      </w:r>
      <w:r>
        <w:instrText xml:space="preserve"> HYPERLINK "https://aclanthology.org/2026.acl-long.11/" \h </w:instrText>
      </w:r>
      <w:r>
        <w:fldChar w:fldCharType="separate"/>
      </w:r>
      <w:r>
        <w:rPr>
          <w:rFonts w:eastAsia="宋体"/>
          <w:color w:val="0563C1"/>
          <w:sz w:val="20"/>
          <w:u w:val="single"/>
        </w:rPr>
        <w:t>https://aclanthology.org/2026.acl-long.11/</w:t>
      </w:r>
      <w:r>
        <w:rPr>
          <w:rFonts w:eastAsia="宋体"/>
          <w:color w:val="0563C1"/>
          <w:sz w:val="20"/>
          <w:u w:val="single"/>
        </w:rPr>
        <w:fldChar w:fldCharType="end"/>
      </w:r>
    </w:p>
    <w:p w14:paraId="1D8D6F3A">
      <w:pPr>
        <w:spacing w:after="60"/>
      </w:pPr>
      <w:r>
        <w:rPr>
          <w:rFonts w:ascii="宋体" w:hAnsi="宋体" w:eastAsia="宋体"/>
          <w:b w:val="0"/>
          <w:color w:val="000000"/>
          <w:sz w:val="20"/>
        </w:rPr>
        <w:t xml:space="preserve">2. Efficient Prior-Guided Reasoning for Robust Retrieval-Augmented Generation under Conflicts（Yuan et al., ACL 2026）  </w:t>
      </w:r>
      <w:r>
        <w:fldChar w:fldCharType="begin"/>
      </w:r>
      <w:r>
        <w:instrText xml:space="preserve"> HYPERLINK "https://aclanthology.org/2026.acl-long.1013/" \h </w:instrText>
      </w:r>
      <w:r>
        <w:fldChar w:fldCharType="separate"/>
      </w:r>
      <w:r>
        <w:rPr>
          <w:rFonts w:eastAsia="宋体"/>
          <w:color w:val="0563C1"/>
          <w:sz w:val="20"/>
          <w:u w:val="single"/>
        </w:rPr>
        <w:t>https://aclanthology.org/2026.acl-long.1013/</w:t>
      </w:r>
      <w:r>
        <w:rPr>
          <w:rFonts w:eastAsia="宋体"/>
          <w:color w:val="0563C1"/>
          <w:sz w:val="20"/>
          <w:u w:val="single"/>
        </w:rPr>
        <w:fldChar w:fldCharType="end"/>
      </w:r>
    </w:p>
    <w:p w14:paraId="50CC5969">
      <w:pPr>
        <w:spacing w:after="60"/>
      </w:pPr>
      <w:r>
        <w:rPr>
          <w:rFonts w:ascii="宋体" w:hAnsi="宋体" w:eastAsia="宋体"/>
          <w:b w:val="0"/>
          <w:color w:val="000000"/>
          <w:sz w:val="20"/>
        </w:rPr>
        <w:t xml:space="preserve">3. Learning What to Ignore: Mitigating Negative Transfer in Medical Knowledge Fusion via Clinical Task-Adaptive Selection（Deng et al., ACL 2026）  </w:t>
      </w:r>
      <w:r>
        <w:fldChar w:fldCharType="begin"/>
      </w:r>
      <w:r>
        <w:instrText xml:space="preserve"> HYPERLINK "https://aclanthology.org/2026.acl-long.1067/" \h </w:instrText>
      </w:r>
      <w:r>
        <w:fldChar w:fldCharType="separate"/>
      </w:r>
      <w:r>
        <w:rPr>
          <w:rFonts w:eastAsia="宋体"/>
          <w:color w:val="0563C1"/>
          <w:sz w:val="20"/>
          <w:u w:val="single"/>
        </w:rPr>
        <w:t>https://aclanthology.org/2026.acl-long.1067/</w:t>
      </w:r>
      <w:r>
        <w:rPr>
          <w:rFonts w:eastAsia="宋体"/>
          <w:color w:val="0563C1"/>
          <w:sz w:val="20"/>
          <w:u w:val="single"/>
        </w:rPr>
        <w:fldChar w:fldCharType="end"/>
      </w:r>
    </w:p>
    <w:p w14:paraId="1F6618BA">
      <w:pPr>
        <w:spacing w:after="60"/>
      </w:pPr>
      <w:r>
        <w:rPr>
          <w:rFonts w:ascii="宋体" w:hAnsi="宋体" w:eastAsia="宋体"/>
          <w:b w:val="0"/>
          <w:color w:val="000000"/>
          <w:sz w:val="20"/>
        </w:rPr>
        <w:t xml:space="preserve">4. TimeSAF: Towards LLM-Guided Semantic Asynchronous Fusion for Time Series Forecasting（Zhang et al., ACL 2026）  </w:t>
      </w:r>
      <w:r>
        <w:fldChar w:fldCharType="begin"/>
      </w:r>
      <w:r>
        <w:instrText xml:space="preserve"> HYPERLINK "https://aclanthology.org/2026.acl-long.1208/" \h </w:instrText>
      </w:r>
      <w:r>
        <w:fldChar w:fldCharType="separate"/>
      </w:r>
      <w:r>
        <w:rPr>
          <w:rFonts w:eastAsia="宋体"/>
          <w:color w:val="0563C1"/>
          <w:sz w:val="20"/>
          <w:u w:val="single"/>
        </w:rPr>
        <w:t>https://aclanthology.org/2026.acl-long.1208/</w:t>
      </w:r>
      <w:r>
        <w:rPr>
          <w:rFonts w:eastAsia="宋体"/>
          <w:color w:val="0563C1"/>
          <w:sz w:val="20"/>
          <w:u w:val="single"/>
        </w:rPr>
        <w:fldChar w:fldCharType="end"/>
      </w:r>
    </w:p>
    <w:p w14:paraId="7F89A971">
      <w:pPr>
        <w:spacing w:after="60"/>
      </w:pPr>
      <w:r>
        <w:rPr>
          <w:rFonts w:ascii="宋体" w:hAnsi="宋体" w:eastAsia="宋体"/>
          <w:b w:val="0"/>
          <w:color w:val="000000"/>
          <w:sz w:val="20"/>
        </w:rPr>
        <w:t xml:space="preserve">5. Not All Directions Matter: Towards Structured and Task-Aware Low-Rank Model Adaptation（Xiao et al., ACL 2026）  </w:t>
      </w:r>
      <w:r>
        <w:fldChar w:fldCharType="begin"/>
      </w:r>
      <w:r>
        <w:instrText xml:space="preserve"> HYPERLINK "https://aclanthology.org/2026.acl-long.97/" \h </w:instrText>
      </w:r>
      <w:r>
        <w:fldChar w:fldCharType="separate"/>
      </w:r>
      <w:r>
        <w:rPr>
          <w:rFonts w:eastAsia="宋体"/>
          <w:color w:val="0563C1"/>
          <w:sz w:val="20"/>
          <w:u w:val="single"/>
        </w:rPr>
        <w:t>https://aclanthology.org/2026.acl-long.97/</w:t>
      </w:r>
      <w:r>
        <w:rPr>
          <w:rFonts w:eastAsia="宋体"/>
          <w:color w:val="0563C1"/>
          <w:sz w:val="20"/>
          <w:u w:val="single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BA3AF9"/>
    <w:multiLevelType w:val="multilevel"/>
    <w:tmpl w:val="0DBA3A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83056D9"/>
    <w:multiLevelType w:val="multilevel"/>
    <w:tmpl w:val="683056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5C7"/>
    <w:rsid w:val="003A6F95"/>
    <w:rsid w:val="00444A3E"/>
    <w:rsid w:val="00447CFC"/>
    <w:rsid w:val="00520A09"/>
    <w:rsid w:val="006F26E0"/>
    <w:rsid w:val="007E4222"/>
    <w:rsid w:val="009128DB"/>
    <w:rsid w:val="00A00A4B"/>
    <w:rsid w:val="00A529D0"/>
    <w:rsid w:val="00C875C7"/>
    <w:rsid w:val="27EC6991"/>
    <w:rsid w:val="7AA3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  <w:bCs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isselectedend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3907</Words>
  <Characters>6089</Characters>
  <Lines>6</Lines>
  <Paragraphs>1</Paragraphs>
  <TotalTime>22</TotalTime>
  <ScaleCrop>false</ScaleCrop>
  <LinksUpToDate>false</LinksUpToDate>
  <CharactersWithSpaces>6460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2026-09-06T16:16:00Z</dcterms:created>
  <dc:creator>peiyu liu</dc:creator>
  <cp:keywords>ACL 2026, heterogeneous fusion, semantic evidence, supply chain</cp:keywords>
  <cp:lastModifiedBy>Dongquan Zheng</cp:lastModifiedBy>
  <dcterms:modified xsi:type="dcterms:W3CDTF">2026-09-25T22:18:40Z</dcterms:modified>
  <dc:subject>ACL 2026 论文阅读与供应链异构证据融合研究总结</dc:subject>
  <dc:title>ACL 2027 冲刺班课前研究报告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eyJoZGlkIjoiOWIzZDNjNmJmZTRiNDMxM2ZjNzMxODkxMTlmNmQ2ZjIiLCJ1c2VySWQiOiI0MDA5MzI4OTUifQ==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A673E9ACC89C4BE0A513AE27A705AFD6_12</vt:lpwstr>
  </property>
</Properties>
</file>