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rFonts w:ascii="맑은 고딕" w:eastAsia="맑은 고딕" w:hAnsi="맑은 고딕" w:cs="맑은 고딕"/>
          <w:b/>
          <w:bCs/>
          <w:color w:val="FFFFFF"/>
          <w:sz w:val="72"/>
          <w:szCs w:val="72"/>
          <w:rtl w:val="off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600" w:type="dxa"/>
              <w:left w:w="400" w:type="dxa"/>
              <w:bottom w:w="600" w:type="dxa"/>
              <w:right w:w="40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72"/>
                <w:szCs w:val="72"/>
              </w:rPr>
              <w:t>서울시 트렌드 상권 분석 리포트</w:t>
            </w:r>
          </w:p>
          <w:p>
            <w:pPr>
              <w:jc w:val="center"/>
              <w:spacing w:before="120"/>
            </w:pPr>
            <w:r>
              <w:rPr>
                <w:rFonts w:ascii="맑은 고딕" w:eastAsia="맑은 고딕" w:hAnsi="맑은 고딕" w:cs="맑은 고딕"/>
                <w:color w:val="AACCEE"/>
                <w:sz w:val="30"/>
                <w:szCs w:val="30"/>
              </w:rPr>
              <w:t>2030세대 소비 패턴으로 본 행정동별 상권 진단 (2020~2024)</w:t>
            </w:r>
          </w:p>
        </w:tc>
      </w:tr>
    </w:tbl>
    <w:p>
      <w:pPr>
        <w:spacing w:after="120"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EBF3FB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52"/>
                <w:szCs w:val="52"/>
              </w:rPr>
              <w:t>423개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분석 대상 행정동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서울시 전체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EBF3FB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52"/>
                <w:szCs w:val="52"/>
              </w:rPr>
              <w:t>5년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분석 기간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2020~2024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EBF3FB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52"/>
                <w:szCs w:val="52"/>
              </w:rPr>
              <w:t>59개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트렌드 상권 선정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복합점수 상위30%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EBF3FB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52"/>
                <w:szCs w:val="52"/>
              </w:rPr>
              <w:t>423동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6단계 티어 분류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레전드~쇠퇴</w:t>
            </w:r>
          </w:p>
        </w:tc>
      </w:tr>
    </w:tbl>
    <w:p>
      <w:pPr>
        <w:spacing w:after="200" w:before="200"/>
      </w:pPr>
    </w:p>
    <w:p>
      <w:pPr>
        <w:jc w:val="right"/>
      </w:pPr>
      <w:r>
        <w:rPr>
          <w:rFonts w:ascii="맑은 고딕" w:eastAsia="맑은 고딕" w:hAnsi="맑은 고딕" w:cs="맑은 고딕"/>
          <w:color w:val="888888"/>
          <w:sz w:val="20"/>
          <w:szCs w:val="20"/>
        </w:rPr>
        <w:t>2026년 5월 17일  |  서울시 상권 분석팀</w:t>
      </w: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Executive Summary</w:t>
            </w:r>
          </w:p>
        </w:tc>
      </w:tr>
    </w:tbl>
    <w:p>
      <w:pPr>
        <w:spacing w:after="80"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2166AC"/>
              <w:bottom w:val="none"/>
              <w:right w:val="none"/>
            </w:tcBorders>
            <w:shd w:val="clear" w:color="auto" w:fill="EBF3FB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E3A5F"/>
                <w:sz w:val="20"/>
                <w:szCs w:val="20"/>
              </w:rPr>
              <w:t>💡  이 분석은 423개 행정동 5년치 매출 데이터를 바탕으로, 2030세대 데이터를 정의 기준에서 완전히 제외한 뒤 ' 업종 구성 + 시간 패턴'만으로 트렌드 상권을 객관적으로 분류했습니다.</w:t>
            </w:r>
          </w:p>
        </w:tc>
      </w:tr>
    </w:tbl>
    <w:p>
      <w:pPr>
        <w:spacing w:after="80"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1A7A4A"/>
              <w:bottom w:val="none"/>
              <w:right w:val="none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A7A4A"/>
                <w:sz w:val="20"/>
                <w:szCs w:val="20"/>
              </w:rPr>
              <w:t>✅  트렌드 상권의 핵심은 '맛집'이 아닌 라이프스타일 소비 (의류·인테리어·편의점 +17.8pp)</w:t>
            </w:r>
          </w:p>
        </w:tc>
      </w:tr>
    </w:tbl>
    <w:p>
      <w:pPr>
        <w:spacing w:after="30" w:before="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2166AC"/>
              <w:bottom w:val="none"/>
              <w:right w:val="none"/>
            </w:tcBorders>
            <w:shd w:val="clear" w:color="auto" w:fill="EBF3FB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E3A5F"/>
                <w:sz w:val="20"/>
                <w:szCs w:val="20"/>
              </w:rPr>
              <w:t>💡  금요일 매출 &gt; 목요일 매출(금요효과)이 외부 유입형 상권을 가르는 가장 예민한 신호</w:t>
            </w:r>
          </w:p>
        </w:tc>
      </w:tr>
    </w:tbl>
    <w:p>
      <w:pPr>
        <w:spacing w:after="30" w:before="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2166AC"/>
              <w:bottom w:val="none"/>
              <w:right w:val="none"/>
            </w:tcBorders>
            <w:shd w:val="clear" w:color="auto" w:fill="EBF3FB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E3A5F"/>
                <w:sz w:val="20"/>
                <w:szCs w:val="20"/>
              </w:rPr>
              <w:t>💡  성수동은 현재 진행형 성장 — 행정동마다 단계가 다름 (라이징스타 vs 급성장 신흥)</w:t>
            </w:r>
          </w:p>
        </w:tc>
      </w:tr>
    </w:tbl>
    <w:p>
      <w:pPr>
        <w:spacing w:after="30" w:before="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E07800"/>
              <w:bottom w:val="none"/>
              <w:right w:val="none"/>
            </w:tcBorders>
            <w:shd w:val="clear" w:color="auto" w:fill="FFF4E0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7D4A00"/>
                <w:sz w:val="20"/>
                <w:szCs w:val="20"/>
              </w:rPr>
              <w:t>⚠  네이버 검색량과 실제 매출 변화는 거의 무상관 (ρ = 0.011) — 두 지표 반드시 병행 필요</w:t>
            </w:r>
          </w:p>
        </w:tc>
      </w:tr>
    </w:tbl>
    <w:p>
      <w:pPr>
        <w:spacing w:after="30" w:before="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1A7A4A"/>
              <w:bottom w:val="none"/>
              <w:right w:val="none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A7A4A"/>
                <w:sz w:val="20"/>
                <w:szCs w:val="20"/>
              </w:rPr>
              <w:t>✅  라이징스타 그룹(성수 등)은 2026년 레전드 진입선(분위 0.90) 돌파 예상</w:t>
            </w:r>
          </w:p>
        </w:tc>
      </w:tr>
    </w:tbl>
    <w:p>
      <w:pPr>
        <w:spacing w:after="30" w:before="30"/>
      </w:pP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01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분석 개요</w:t>
            </w:r>
          </w:p>
        </w:tc>
      </w:tr>
    </w:tbl>
    <w:p>
      <w:pPr>
        <w:spacing w:after="80" w:before="80"/>
      </w:pPr>
    </w:p>
    <w:p>
      <w:pPr>
        <w:pBdr>
          <w:bottom w:val="single" w:sz="6" w:space="4" w:color="2166AC"/>
        </w:pBdr>
        <w:spacing w:after="80" w:before="240"/>
      </w:pPr>
      <w:r>
        <w:rPr>
          <w:rFonts w:ascii="맑은 고딕" w:eastAsia="맑은 고딕" w:hAnsi="맑은 고딕" w:cs="맑은 고딕"/>
          <w:b/>
          <w:bCs/>
          <w:color w:val="2166AC"/>
          <w:sz w:val="26"/>
          <w:szCs w:val="26"/>
        </w:rPr>
        <w:t>분석 목적</w:t>
      </w:r>
    </w:p>
    <w:p>
      <w:pPr>
        <w:spacing w:after="60" w:before="60"/>
      </w:pPr>
      <w:r>
        <w:t>서울시 423개 행정동의 추정매출 데이터(2020~2024)를 기반으로 세 가지를 규명합니다.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222222"/>
          <w:sz w:val="20"/>
          <w:szCs w:val="20"/>
        </w:rPr>
        <w:t>2030세대 소비가 집중되는 트렌드 상권을 순환논리 없이 객관적으로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222222"/>
          <w:sz w:val="20"/>
          <w:szCs w:val="20"/>
        </w:rPr>
        <w:t>네이버 트렌드·블로그 언급량과 실제 매출 변화 간의 상관관계 검증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222222"/>
          <w:sz w:val="20"/>
          <w:szCs w:val="20"/>
        </w:rPr>
        <w:t>요일·시간대 패턴으로 외부 유입형 상권을 세분화하여 진단</w:t>
      </w:r>
    </w:p>
    <w:p>
      <w:pPr>
        <w:spacing w:after="100" w:before="100"/>
      </w:pPr>
    </w:p>
    <w:p>
      <w:pPr>
        <w:pBdr>
          <w:bottom w:val="single" w:sz="6" w:space="4" w:color="2166AC"/>
        </w:pBdr>
        <w:spacing w:after="80" w:before="240"/>
      </w:pPr>
      <w:r>
        <w:rPr>
          <w:rFonts w:ascii="맑은 고딕" w:eastAsia="맑은 고딕" w:hAnsi="맑은 고딕" w:cs="맑은 고딕"/>
          <w:b/>
          <w:bCs/>
          <w:color w:val="2166AC"/>
          <w:sz w:val="26"/>
          <w:szCs w:val="26"/>
        </w:rPr>
        <w:t>핵심 데이터 현황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데이터 소스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규모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행정동별 추정매출 원본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342,555행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행정동 × 분기 × 업종 단위 원시 데이터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트렌드 대표 매출 마스터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2,114행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423개 동 × 5년 (연간 집계, 핵심 분석셋)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분기별 마스터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8,456행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423개 동 × 20분기 (계절성 분석용)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네이버 DataLab 트렌드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1,500행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25개 동, 소비 의도 키워드, 2020~2024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국토부 임대료·공실률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365행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서울 68개 상권, 2020~2025</w:t>
            </w:r>
          </w:p>
        </w:tc>
      </w:tr>
    </w:tbl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02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트렌드 상권 정의 방법론</w:t>
            </w:r>
          </w:p>
        </w:tc>
      </w:tr>
    </w:tbl>
    <w:p>
      <w:pPr>
        <w:spacing w:after="80" w:before="80"/>
      </w:pPr>
    </w:p>
    <w:p>
      <w:pPr>
        <w:pBdr>
          <w:bottom w:val="single" w:sz="6" w:space="4" w:color="2166AC"/>
        </w:pBdr>
        <w:spacing w:after="80" w:before="240"/>
      </w:pPr>
      <w:r>
        <w:rPr>
          <w:rFonts w:ascii="맑은 고딕" w:eastAsia="맑은 고딕" w:hAnsi="맑은 고딕" w:cs="맑은 고딕"/>
          <w:b/>
          <w:bCs/>
          <w:color w:val="2166AC"/>
          <w:sz w:val="26"/>
          <w:szCs w:val="26"/>
        </w:rPr>
        <w:t>기존 방식의 문제 — 순환논리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E07800"/>
              <w:bottom w:val="none"/>
              <w:right w:val="none"/>
            </w:tcBorders>
            <w:shd w:val="clear" w:color="auto" w:fill="FFF4E0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7D4A00"/>
                <w:sz w:val="20"/>
                <w:szCs w:val="20"/>
              </w:rPr>
              <w:t>⚠  ⚠  초기 정의: "주말비중 상위 30% AND 2030비중 상위 30%" 교집합 → "2030이 많은 곳을 트렌드 상권으로 정의했더니 2030이 많더라" — 사후 검증 의미 없음</w:t>
            </w:r>
          </w:p>
        </w:tc>
      </w:tr>
    </w:tbl>
    <w:p>
      <w:pPr>
        <w:spacing w:after="100" w:before="100"/>
      </w:pPr>
    </w:p>
    <w:p>
      <w:pPr>
        <w:pBdr>
          <w:bottom w:val="single" w:sz="6" w:space="4" w:color="2166AC"/>
        </w:pBdr>
        <w:spacing w:after="80" w:before="240"/>
      </w:pPr>
      <w:r>
        <w:rPr>
          <w:rFonts w:ascii="맑은 고딕" w:eastAsia="맑은 고딕" w:hAnsi="맑은 고딕" w:cs="맑은 고딕"/>
          <w:b/>
          <w:bCs/>
          <w:color w:val="2166AC"/>
          <w:sz w:val="26"/>
          <w:szCs w:val="26"/>
        </w:rPr>
        <w:t>개선된 정의 v3 — 2030 데이터 완전 배제</w:t>
      </w:r>
    </w:p>
    <w:p>
      <w:pPr>
        <w:spacing w:after="60" w:before="60"/>
      </w:pPr>
      <w:r>
        <w:t>트렌드 상권 정의에서 2030 데이터를 완전히 제거하고, 업종 구성과 시간 패턴만으로 산출합니다.</w:t>
      </w:r>
    </w:p>
    <w:p>
      <w:pPr>
        <w:spacing w:after="60"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구성 지표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업종 점수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F&amp;B(카페+식사) + 주류/유흥 + 라이프스타일 매출 비중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외부 방문 소비 업종 집중도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시간 점수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금요효과(금/목) + 주말비중(토+일/7일) + 야간비중(17~24시) — 표준화 합산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금요 저녁부터 주말 유동 특성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선정 조건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두 기준 모두 상위 30% 교집합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→ 59개 트렌드 상권 선정</w:t>
            </w:r>
          </w:p>
        </w:tc>
      </w:tr>
    </w:tbl>
    <w:p>
      <w:pPr>
        <w:spacing w:after="100" w:before="100"/>
      </w:pPr>
    </w:p>
    <w:p>
      <w:pPr>
        <w:pBdr>
          <w:bottom w:val="single" w:sz="6" w:space="4" w:color="2166AC"/>
        </w:pBdr>
        <w:spacing w:after="80" w:before="240"/>
      </w:pPr>
      <w:r>
        <w:rPr>
          <w:rFonts w:ascii="맑은 고딕" w:eastAsia="맑은 고딕" w:hAnsi="맑은 고딕" w:cs="맑은 고딕"/>
          <w:b/>
          <w:bCs/>
          <w:color w:val="2166AC"/>
          <w:sz w:val="26"/>
          <w:szCs w:val="26"/>
        </w:rPr>
        <w:t>사후 검증 결과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D4EDD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A7A4A"/>
                <w:sz w:val="52"/>
                <w:szCs w:val="52"/>
              </w:rPr>
              <w:t>38.2%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트렌드 상권 2030비중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중앙값 38.1%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F7F7F7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555555"/>
                <w:sz w:val="52"/>
                <w:szCs w:val="52"/>
              </w:rPr>
              <w:t>24.5%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일반 상권 2030비중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중앙값 23.6%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D4EDD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A7A4A"/>
                <w:sz w:val="52"/>
                <w:szCs w:val="52"/>
              </w:rPr>
              <w:t>+13.7pp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두 그룹 차이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D4EDD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A7A4A"/>
                <w:sz w:val="52"/>
                <w:szCs w:val="52"/>
              </w:rPr>
              <w:t>r = 0.663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복합점수 vs 2030비중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강한 양의 상관</w:t>
            </w:r>
          </w:p>
        </w:tc>
      </w:tr>
    </w:tbl>
    <w:p>
      <w:pPr>
        <w:spacing w:after="60"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1A7A4A"/>
              <w:bottom w:val="none"/>
              <w:right w:val="none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A7A4A"/>
                <w:sz w:val="20"/>
                <w:szCs w:val="20"/>
              </w:rPr>
              <w:t>✅  2030 데이터를 전혀 쓰지 않고 정의했음에도 트렌드 상권의 2030비중이 +13.7pp 높음 → 정의가 실제 소비 행동을 정확히 반영함을 검증</w:t>
            </w:r>
          </w:p>
        </w:tc>
      </w:tr>
    </w:tbl>
    <w:p>
      <w:pPr>
        <w:spacing w:after="100" w:before="100"/>
      </w:pPr>
    </w:p>
    <w:p>
      <w:pPr>
        <w:jc w:val="center"/>
        <w:spacing w:after="40" w:before="80"/>
      </w:pPr>
      <w:r>
        <w:drawing>
          <wp:inline distT="0" distB="0" distL="0" distR="0">
            <wp:extent cx="5810250" cy="4476750"/>
            <wp:effectExtent l="0" t="0" r="0" b="0"/>
            <wp:docPr id="1025" name="trend_v3_selection.png" descr="trend_v3_selection.png" title="trend_v3_se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trend_v3_selection.png" descr="trend_v3_selection.png" title="trend_v3_selection.png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1] 트렌드 상권 v3 선정 결과 — 업종점수 vs 시간점수 분포 (59개 선정)</w:t>
      </w:r>
    </w:p>
    <w:p>
      <w:pPr>
        <w:jc w:val="center"/>
        <w:spacing w:after="40" w:before="80"/>
      </w:pPr>
      <w:r>
        <w:drawing>
          <wp:inline distT="0" distB="0" distL="0" distR="0">
            <wp:extent cx="5810250" cy="2028825"/>
            <wp:effectExtent l="0" t="0" r="0" b="0"/>
            <wp:docPr id="1026" name="trend_v3_2030_comparison.png" descr="trend_v3_2030_comparison.png" title="trend_v3_2030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trend_v3_2030_comparison.png" descr="trend_v3_2030_comparison.png" title="trend_v3_2030_comparison.png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2] 사후 검증: 트렌드 상권 vs 일반 상권 2030 소비 비중 비교</w:t>
      </w: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03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트렌드 상권 Top 10 (2024 기준)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t>복합점수(업종점수 + 시간점수 표준화 합산) 기준 상위 10개 행정동입니다.</w:t>
      </w:r>
    </w:p>
    <w:p>
      <w:pPr>
        <w:spacing w:after="60" w:before="60"/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5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행정동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금요효과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주말비중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야간비중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업종점수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연남동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1.303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36.9%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54.8%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0.837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이태원1동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1.342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42.4%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45.9%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0.746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이태원2동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1.203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32.1%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51.0%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0.786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삼청동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1.159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39.9%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32.1%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0.899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화양동(건대)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1.172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28.8%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54.8%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0.738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6위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서원동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1.189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33.1%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51.1%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0.661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7위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상봉1동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1.170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34.1%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45.6%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0.706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8위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용산2가동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1.187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35.2%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53.3%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0.586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9위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가회동(북촌)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1.084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29.7%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38.2%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0.885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10위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가산동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1.096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37.5%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32.2%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0.813</w:t>
            </w:r>
          </w:p>
        </w:tc>
      </w:tr>
    </w:tbl>
    <w:p>
      <w:pPr>
        <w:spacing w:after="80"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2166AC"/>
              <w:bottom w:val="none"/>
              <w:right w:val="none"/>
            </w:tcBorders>
            <w:shd w:val="clear" w:color="auto" w:fill="EBF3FB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E3A5F"/>
                <w:sz w:val="20"/>
                <w:szCs w:val="20"/>
              </w:rPr>
              <w:t>💡  금요효과 ≥ 1.0 + 주말비중 ≥ 28% + 야간비중 ≥ 40% + 업종점수 ≥ 0.60 수준이면 트렌드 상권 진입 가능성을 의심해볼 수 있습니다.</w:t>
            </w:r>
          </w:p>
        </w:tc>
      </w:tr>
    </w:tbl>
    <w:p>
      <w:pPr>
        <w:spacing w:after="80" w:before="80"/>
      </w:pPr>
    </w:p>
    <w:p>
      <w:pPr>
        <w:jc w:val="center"/>
        <w:spacing w:after="40" w:before="80"/>
      </w:pPr>
      <w:r>
        <w:drawing>
          <wp:inline distT="0" distB="0" distL="0" distR="0">
            <wp:extent cx="5810250" cy="3200400"/>
            <wp:effectExtent l="0" t="0" r="0" b="0"/>
            <wp:docPr id="1027" name="tier_profile_2024.png" descr="tier_profile_2024.png" title="tier_profile_2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tier_profile_2024.png" descr="tier_profile_2024.png" title="tier_profile_2024.png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3] 2024년 행정동별 트렌드 복합점수 분포 — 티어별 색상 구분</w:t>
      </w: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04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업종 구성 분석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t>트렌드 상권과 일반 상권의 업종 비중 차이를 정량화했습니다. 결과는 예상과 다릅니다.</w:t>
      </w:r>
    </w:p>
    <w:p>
      <w:pPr>
        <w:spacing w:after="40" w:before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3066"/>
        <w:gridCol w:w="306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D4EDD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A7A4A"/>
                <w:sz w:val="52"/>
                <w:szCs w:val="52"/>
              </w:rPr>
              <w:t>+17.8pp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라이프스타일 차이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가장 큰 차이 항목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EBF3FB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52"/>
                <w:szCs w:val="52"/>
              </w:rPr>
              <w:t>+3.9pp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F&amp;B(식사) 차이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예상보다 적음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FDECE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992222"/>
                <w:sz w:val="52"/>
                <w:szCs w:val="52"/>
              </w:rPr>
              <w:t>-4.9pp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의료 차이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생활형 상권 특성</w:t>
            </w:r>
          </w:p>
        </w:tc>
      </w:tr>
    </w:tbl>
    <w:p>
      <w:pPr>
        <w:spacing w:after="80" w:before="8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1600"/>
        <w:gridCol w:w="1600"/>
        <w:gridCol w:w="1800"/>
      </w:tblGrid>
      <w:tr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카테고리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트렌드 상권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일반 상권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차이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라이프스타일 (의류·편의점·인테리어)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26.6%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8.8%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+17.8pp ★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F&amp;B — 식사 (한식/일식/분식 등)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22.9%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19.0%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+3.9pp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주류/유흥 (호프·노래방)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5.4%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2.6%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+2.9pp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F&amp;B — 카페/디저트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4.8%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3.5%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+1.2pp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의료 (의원·치과·한의원)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12.6%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17.5%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−4.9pp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교육 (학원 등)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2.0%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4.4%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−2.3pp</w:t>
            </w:r>
          </w:p>
        </w:tc>
      </w:tr>
    </w:tbl>
    <w:p>
      <w:pPr>
        <w:spacing w:after="80"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1A7A4A"/>
              <w:bottom w:val="none"/>
              <w:right w:val="none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A7A4A"/>
                <w:sz w:val="20"/>
                <w:szCs w:val="20"/>
              </w:rPr>
              <w:t>✅  핵심 인사이트: 트렌드 상권의 정체성은 F&amp;B(맛집)가 아닌 라이프스타일 소비에 있습니다. 의류·인테리어·반려동물 등 여가·쇼핑 목적의 방문이 집중되는 공간입니다.</w:t>
            </w:r>
          </w:p>
        </w:tc>
      </w:tr>
    </w:tbl>
    <w:p>
      <w:pPr>
        <w:spacing w:after="80" w:before="80"/>
      </w:pPr>
    </w:p>
    <w:p>
      <w:pPr>
        <w:jc w:val="center"/>
        <w:spacing w:after="40" w:before="80"/>
      </w:pPr>
      <w:r>
        <w:drawing>
          <wp:inline distT="0" distB="0" distL="0" distR="0">
            <wp:extent cx="5810250" cy="2238375"/>
            <wp:effectExtent l="0" t="0" r="0" b="0"/>
            <wp:docPr id="1028" name="industry_trend_vs_stable.png" descr="industry_trend_vs_stable.png" title="industry_trend_vs_s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ndustry_trend_vs_stable.png" descr="industry_trend_vs_stable.png" title="industry_trend_vs_stable.png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4] 트렌드 상권 vs 일반 상권 업종 비중 비교 (8개 카테고리)</w:t>
      </w: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05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요일·시간대 패턴 분석</w:t>
            </w:r>
          </w:p>
        </w:tc>
      </w:tr>
    </w:tbl>
    <w:p>
      <w:pPr>
        <w:spacing w:after="80" w:before="80"/>
      </w:pPr>
    </w:p>
    <w:p>
      <w:pPr>
        <w:pBdr>
          <w:bottom w:val="single" w:sz="6" w:space="4" w:color="2166AC"/>
        </w:pBdr>
        <w:spacing w:after="80" w:before="240"/>
      </w:pPr>
      <w:r>
        <w:rPr>
          <w:rFonts w:ascii="맑은 고딕" w:eastAsia="맑은 고딕" w:hAnsi="맑은 고딕" w:cs="맑은 고딕"/>
          <w:b/>
          <w:bCs/>
          <w:color w:val="2166AC"/>
          <w:sz w:val="26"/>
          <w:szCs w:val="26"/>
        </w:rPr>
        <w:t>금요효과: 주말 시작의 신호</w:t>
      </w:r>
    </w:p>
    <w:p>
      <w:pPr>
        <w:spacing w:after="60" w:before="60"/>
      </w:pPr>
      <w:r>
        <w:t>'금요일 매출 ÷ 목요일 매출'이 1.0을 넘으면 주말 유동이 금요일부터 선행하는 외부 유입형 상권입니다. 오피스 상권은 반대 패턴을 보입니다.</w:t>
      </w:r>
    </w:p>
    <w:p>
      <w:pPr>
        <w:spacing w:after="60"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0"/>
        <w:gridCol w:w="4200"/>
      </w:tblGrid>
      <w:tr>
        <w:tc>
          <w:tcPr>
            <w:tcW w:w="5000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>
            <w:pPr>
              <w:pBdr>
                <w:bottom w:val="single" w:sz="6" w:space="4" w:color="2166AC"/>
              </w:pBdr>
              <w:spacing w:after="80" w:before="240"/>
            </w:pPr>
            <w:r>
              <w:rPr>
                <w:rFonts w:ascii="맑은 고딕" w:eastAsia="맑은 고딕" w:hAnsi="맑은 고딕" w:cs="맑은 고딕"/>
                <w:b/>
                <w:bCs/>
                <w:color w:val="2166AC"/>
                <w:sz w:val="26"/>
                <w:szCs w:val="26"/>
              </w:rPr>
              <w:t>트렌드 상권 (금요효과 &gt; 1.0)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00"/>
              <w:gridCol w:w="1600"/>
            </w:tblGrid>
            <w:tr>
              <w:trPr>
                <w:tblHeader/>
              </w:trPr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A7A4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8"/>
                      <w:szCs w:val="18"/>
                    </w:rPr>
                    <w:t>행정동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A7A4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8"/>
                      <w:szCs w:val="18"/>
                    </w:rPr>
                    <w:t>금요효과</w:t>
                  </w:r>
                </w:p>
              </w:tc>
            </w:tr>
            <w:tr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color w:val="222222"/>
                      <w:sz w:val="18"/>
                      <w:szCs w:val="18"/>
                    </w:rPr>
                    <w:t>노량진2동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color w:val="222222"/>
                      <w:sz w:val="18"/>
                      <w:szCs w:val="18"/>
                    </w:rPr>
                    <w:t>1.430</w:t>
                  </w:r>
                </w:p>
              </w:tc>
            </w:tr>
            <w:tr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7F7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color w:val="222222"/>
                      <w:sz w:val="18"/>
                      <w:szCs w:val="18"/>
                    </w:rPr>
                    <w:t>이태원1동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7F7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color w:val="222222"/>
                      <w:sz w:val="18"/>
                      <w:szCs w:val="18"/>
                    </w:rPr>
                    <w:t>1.342</w:t>
                  </w:r>
                </w:p>
              </w:tc>
            </w:tr>
            <w:tr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color w:val="222222"/>
                      <w:sz w:val="18"/>
                      <w:szCs w:val="18"/>
                    </w:rPr>
                    <w:t>연남동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color w:val="222222"/>
                      <w:sz w:val="18"/>
                      <w:szCs w:val="18"/>
                    </w:rPr>
                    <w:t>1.303</w:t>
                  </w:r>
                </w:p>
              </w:tc>
            </w:tr>
          </w:tbl>
          <w:p>
            <w:pPr>
              <w:spacing w:after="60" w:before="60"/>
            </w:pPr>
          </w:p>
          <w:p>
            <w:pPr>
              <w:pBdr>
                <w:bottom w:val="single" w:sz="6" w:space="4" w:color="2166AC"/>
              </w:pBdr>
              <w:spacing w:after="80" w:before="240"/>
            </w:pPr>
            <w:r>
              <w:rPr>
                <w:rFonts w:ascii="맑은 고딕" w:eastAsia="맑은 고딕" w:hAnsi="맑은 고딕" w:cs="맑은 고딕"/>
                <w:b/>
                <w:bCs/>
                <w:color w:val="2166AC"/>
                <w:sz w:val="26"/>
                <w:szCs w:val="26"/>
              </w:rPr>
              <w:t>오피스 상권 (금요효과 &lt; 1.0)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00"/>
              <w:gridCol w:w="1600"/>
            </w:tblGrid>
            <w:tr>
              <w:trPr>
                <w:tblHeader/>
              </w:trPr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555555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8"/>
                      <w:szCs w:val="18"/>
                    </w:rPr>
                    <w:t>행정동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555555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FFFF"/>
                      <w:sz w:val="18"/>
                      <w:szCs w:val="18"/>
                    </w:rPr>
                    <w:t>금요효과</w:t>
                  </w:r>
                </w:p>
              </w:tc>
            </w:tr>
            <w:tr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color w:val="222222"/>
                      <w:sz w:val="18"/>
                      <w:szCs w:val="18"/>
                    </w:rPr>
                    <w:t>여의동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color w:val="222222"/>
                      <w:sz w:val="18"/>
                      <w:szCs w:val="18"/>
                    </w:rPr>
                    <w:t>0.998</w:t>
                  </w:r>
                </w:p>
              </w:tc>
            </w:tr>
            <w:tr>
              <w:tc>
                <w:tcPr>
                  <w:tcW w:w="2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7F7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color w:val="222222"/>
                      <w:sz w:val="18"/>
                      <w:szCs w:val="18"/>
                    </w:rPr>
                    <w:t>원효로1동</w:t>
                  </w:r>
                </w:p>
              </w:tc>
              <w:tc>
                <w:tcPr>
                  <w:tcW w:w="16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7F7F7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color w:val="222222"/>
                      <w:sz w:val="18"/>
                      <w:szCs w:val="18"/>
                    </w:rPr>
                    <w:t>0.885</w:t>
                  </w:r>
                </w:p>
              </w:tc>
            </w:tr>
          </w:tbl>
          <w:p/>
        </w:tc>
        <w:tc>
          <w:tcPr>
            <w:tcW w:w="4200" w:type="dxa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762250" cy="1371600"/>
                  <wp:effectExtent l="0" t="0" r="0" b="0"/>
                  <wp:docPr id="1029" name="dayofweek_trend_change.png" descr="dayofweek_trend_change.png" title="dayofweek_trend_chan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dayofweek_trend_change.png" descr="dayofweek_trend_change.png" title="dayofweek_trend_change.png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100"/>
      </w:pPr>
    </w:p>
    <w:p>
      <w:pPr>
        <w:pBdr>
          <w:bottom w:val="single" w:sz="6" w:space="4" w:color="2166AC"/>
        </w:pBdr>
        <w:spacing w:after="80" w:before="240"/>
      </w:pPr>
      <w:r>
        <w:rPr>
          <w:rFonts w:ascii="맑은 고딕" w:eastAsia="맑은 고딕" w:hAnsi="맑은 고딕" w:cs="맑은 고딕"/>
          <w:b/>
          <w:bCs/>
          <w:color w:val="2166AC"/>
          <w:sz w:val="26"/>
          <w:szCs w:val="26"/>
        </w:rPr>
        <w:t>423개 행정동 요일 패턴 4분류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900"/>
        <w:gridCol w:w="5500"/>
      </w:tblGrid>
      <w:tr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수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대표 특성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주말집중 + 금요선행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129개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외부 유입형 트렌드 상권 — 가장 강한 트렌드 지표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평일집중 + 주중평탄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128개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전통 오피스·거주 상권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평일집중 + 금요약상승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83개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오피스 기반 + 금요 회식 문화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주말집중 + 주중평탄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83개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관광·등산 등 자연 휴일 집중형</w:t>
            </w:r>
          </w:p>
        </w:tc>
      </w:tr>
    </w:tbl>
    <w:p>
      <w:pPr>
        <w:spacing w:after="80" w:before="80"/>
      </w:pPr>
    </w:p>
    <w:p>
      <w:pPr>
        <w:jc w:val="center"/>
        <w:spacing w:after="40" w:before="80"/>
      </w:pPr>
      <w:r>
        <w:drawing>
          <wp:inline distT="0" distB="0" distL="0" distR="0">
            <wp:extent cx="5810250" cy="2562225"/>
            <wp:effectExtent l="0" t="0" r="0" b="0"/>
            <wp:docPr id="1030" name="dayofweek_heatmap.png" descr="dayofweek_heatmap.png" title="dayofweek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dayofweek_heatmap.png" descr="dayofweek_heatmap.png" title="dayofweek_heatmap.png"/>
                    <pic:cNvPicPr>
                      <a:picLocks noChangeAspect="1"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5] 행정동별 요일 매출 패턴 히트맵 (강도: 매출 비중)</w:t>
      </w:r>
    </w:p>
    <w:p>
      <w:pPr>
        <w:jc w:val="center"/>
        <w:spacing w:after="40" w:before="80"/>
      </w:pPr>
      <w:r>
        <w:drawing>
          <wp:inline distT="0" distB="0" distL="0" distR="0">
            <wp:extent cx="5810250" cy="2562225"/>
            <wp:effectExtent l="0" t="0" r="0" b="0"/>
            <wp:docPr id="1031" name="dayofweek_cluster.png" descr="dayofweek_cluster.png" title="dayofweek_clu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dayofweek_cluster.png" descr="dayofweek_cluster.png" title="dayofweek_cluster.png"/>
                    <pic:cNvPicPr>
                      <a:picLocks noChangeAspect="1"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6] 요일 패턴 4분류 클러스터링 결과</w:t>
      </w: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06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상권 6티어 분류</w:t>
            </w:r>
          </w:p>
        </w:tc>
      </w:tr>
    </w:tbl>
    <w:p>
      <w:pPr>
        <w:spacing w:after="80" w:before="80"/>
      </w:pPr>
    </w:p>
    <w:p>
      <w:pPr>
        <w:tabs>
          <w:tab w:val="left" w:pos="1959"/>
        </w:tabs>
        <w:spacing w:after="60" w:before="60"/>
      </w:pPr>
      <w:r>
        <w:t>분류 3축 — Level(2024 분위) × Momentum(2020→2024 변화량) × Consistency(R²)</w:t>
      </w:r>
    </w:p>
    <w:p>
      <w:pPr>
        <w:spacing w:after="60" w:before="60"/>
        <w:rPr>
          <w:lang/>
          <w:rFonts w:ascii="맑은 고딕" w:eastAsia="맑은 고딕" w:hAnsi="맑은 고딕" w:cs="맑은 고딕"/>
          <w:color w:val="222222"/>
          <w:sz w:val="36"/>
          <w:szCs w:val="36"/>
          <w:rtl w:val="off"/>
        </w:rPr>
      </w:pPr>
    </w:p>
    <w:p>
      <w:pPr>
        <w:shd w:val="clear" w:color="auto" w:fill="0A0A0A"/>
        <w:spacing w:line="285" w:lineRule="atLeast"/>
        <w:rPr>
          <w:lang/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  <w:rtl w:val="off"/>
        </w:rPr>
      </w:pPr>
      <w:r>
        <w:rPr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</w:rPr>
        <w:t>트렌드매출_비중</w:t>
      </w:r>
      <w:r>
        <w:rPr>
          <w:lang w:eastAsia="ko-KR"/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  <w:rtl w:val="off"/>
        </w:rPr>
        <w:t>( 라이프 스타일 / 식당,카페 )</w:t>
      </w:r>
      <w:r>
        <w:rPr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</w:rPr>
        <w:t xml:space="preserve"> </w:t>
      </w:r>
    </w:p>
    <w:p>
      <w:pPr>
        <w:shd w:val="clear" w:color="auto" w:fill="0A0A0A"/>
        <w:spacing w:line="285" w:lineRule="atLeast"/>
        <w:rPr>
          <w:lang/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  <w:rtl w:val="off"/>
        </w:rPr>
      </w:pPr>
      <w:r>
        <w:rPr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</w:rPr>
        <w:t xml:space="preserve">복합점수_분위, </w:t>
      </w:r>
    </w:p>
    <w:p>
      <w:pPr>
        <w:shd w:val="clear" w:color="auto" w:fill="0A0A0A"/>
        <w:spacing w:line="285" w:lineRule="atLeast"/>
        <w:rPr>
          <w:lang/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  <w:rtl w:val="off"/>
        </w:rPr>
      </w:pPr>
      <w:r>
        <w:rPr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</w:rPr>
        <w:t xml:space="preserve">업종점수, </w:t>
      </w:r>
    </w:p>
    <w:p>
      <w:pPr>
        <w:shd w:val="clear" w:color="auto" w:fill="0A0A0A"/>
        <w:spacing w:line="285" w:lineRule="atLeast"/>
        <w:rPr>
          <w:lang/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  <w:rtl w:val="off"/>
        </w:rPr>
      </w:pPr>
      <w:r>
        <w:rPr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</w:rPr>
        <w:t xml:space="preserve">금요효과, </w:t>
      </w:r>
    </w:p>
    <w:p>
      <w:pPr>
        <w:shd w:val="clear" w:color="auto" w:fill="0A0A0A"/>
        <w:spacing w:line="285" w:lineRule="atLeast"/>
        <w:rPr>
          <w:lang/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  <w:rtl w:val="off"/>
        </w:rPr>
      </w:pPr>
      <w:r>
        <w:rPr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</w:rPr>
        <w:t xml:space="preserve">주말비중, </w:t>
      </w:r>
    </w:p>
    <w:p>
      <w:pPr>
        <w:shd w:val="clear" w:color="auto" w:fill="0A0A0A"/>
        <w:spacing w:line="285" w:lineRule="atLeast"/>
        <w:rPr>
          <w:sz w:val="36"/>
          <w:szCs w:val="36"/>
        </w:rPr>
      </w:pPr>
      <w:r>
        <w:rPr>
          <w:rFonts w:ascii="Consolas" w:eastAsia="Consolas" w:hAnsi="Consolas" w:cs="Consolas"/>
          <w:b w:val="0"/>
          <w:color w:val="D8DEE9"/>
          <w:sz w:val="38"/>
          <w:szCs w:val="36"/>
          <w:shd w:val="clear" w:color="auto" w:fill="0A0A0A"/>
        </w:rPr>
        <w:t>야간비중</w:t>
      </w:r>
    </w:p>
    <w:p>
      <w:pPr>
        <w:spacing w:after="60"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00"/>
        <w:gridCol w:w="2800"/>
        <w:gridCol w:w="4300"/>
      </w:tblGrid>
      <w:tr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티어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수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대표 상권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① 레전드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21개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분위≥0.90 + R²≥0.50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이태원1동, 용산2가동, 혜화동, 홍대(서교동)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② 라이징스타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25개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분위≥0.70 + 모멘텀 상위 20%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성수1가2동, 청운효자동(서촌), 명동, 금호1가동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③ 급성장 신흥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18개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분위 0.50~0.90 + 모멘텀 상위10%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성수1가1동, 서빙고동, 여의동, 연희동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④ 잠재 후보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41개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분위 0.40~0.70 + 양의 모멘텀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보라매동, 용강동, 삼전동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⑤ 성숙·정체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81개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분위≥0.70 (①②③⑥ 미해당)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연남동, 삼청동, 화양동, 가회동(북촌)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⑥ 쇠퇴 주의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9개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2020 상위30% → 2024 하위50%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묵1동, 청담동, 옥수동, 일원2동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⑦ 일반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228개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나머지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—</w:t>
            </w:r>
          </w:p>
        </w:tc>
      </w:tr>
    </w:tbl>
    <w:p>
      <w:pPr>
        <w:spacing w:after="100" w:before="100"/>
      </w:pPr>
    </w:p>
    <w:p>
      <w:pPr>
        <w:pBdr>
          <w:bottom w:val="single" w:sz="6" w:space="4" w:color="2166AC"/>
        </w:pBdr>
        <w:spacing w:after="80" w:before="240"/>
      </w:pPr>
      <w:r>
        <w:rPr>
          <w:rFonts w:ascii="맑은 고딕" w:eastAsia="맑은 고딕" w:hAnsi="맑은 고딕" w:cs="맑은 고딕"/>
          <w:b/>
          <w:bCs/>
          <w:color w:val="2166AC"/>
          <w:sz w:val="26"/>
          <w:szCs w:val="26"/>
        </w:rPr>
        <w:t>주목할 발견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2166AC"/>
              <w:bottom w:val="none"/>
              <w:right w:val="none"/>
            </w:tcBorders>
            <w:shd w:val="clear" w:color="auto" w:fill="EBF3FB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E3A5F"/>
                <w:sz w:val="20"/>
                <w:szCs w:val="20"/>
              </w:rPr>
              <w:t>💡  성수동: 성수1가2동(② 라이징스타, 분위 0.595)과 성수1가1동(③ 급성장 신흥, 분위 0.109)이 같은 지역 내에서 다른 단계에 있음 — 행정동 단위의 세밀한 구분이 필요</w:t>
            </w:r>
          </w:p>
        </w:tc>
      </w:tr>
    </w:tbl>
    <w:p>
      <w:pPr>
        <w:spacing w:after="30" w:before="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E07800"/>
              <w:bottom w:val="none"/>
              <w:right w:val="none"/>
            </w:tcBorders>
            <w:shd w:val="clear" w:color="auto" w:fill="FFF4E0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7D4A00"/>
                <w:sz w:val="20"/>
                <w:szCs w:val="20"/>
              </w:rPr>
              <w:t>⚠  연남동·삼청동·홍대(서교동) → ⑤ 성숙·정체: 최상위 수준은 유지하나 더 오를 여지가 없는 성숙기 진입. 새로운 성장 동력 필요</w:t>
            </w:r>
          </w:p>
        </w:tc>
      </w:tr>
    </w:tbl>
    <w:p>
      <w:pPr>
        <w:spacing w:after="30" w:before="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1A7A4A"/>
              <w:bottom w:val="none"/>
              <w:right w:val="none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A7A4A"/>
                <w:sz w:val="20"/>
                <w:szCs w:val="20"/>
              </w:rPr>
              <w:t>✅  서빙고동 급성장: 복합점수 분위 0.055 → 0.645 (+0.591). 가장 낮은 곳에서 가장 가파르게 상승한 사례</w:t>
            </w:r>
          </w:p>
        </w:tc>
      </w:tr>
    </w:tbl>
    <w:p>
      <w:pPr>
        <w:spacing w:after="30" w:before="3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CC3333"/>
              <w:bottom w:val="none"/>
              <w:right w:val="none"/>
            </w:tcBorders>
            <w:shd w:val="clear" w:color="auto" w:fill="FDECEA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992222"/>
                <w:sz w:val="20"/>
                <w:szCs w:val="20"/>
              </w:rPr>
              <w:t>🔻  청담동 쇠퇴: 명품 소비 특성으로 인해 F&amp;B·야간·주말 중심의 트렌드 패턴과 방향이 달라짐</w:t>
            </w:r>
          </w:p>
        </w:tc>
      </w:tr>
    </w:tbl>
    <w:p>
      <w:pPr>
        <w:spacing w:after="80" w:before="80"/>
      </w:pPr>
    </w:p>
    <w:p>
      <w:pPr>
        <w:jc w:val="center"/>
        <w:spacing w:after="40" w:before="80"/>
      </w:pPr>
      <w:r>
        <w:drawing>
          <wp:inline distT="0" distB="0" distL="0" distR="0">
            <wp:extent cx="5810250" cy="2590800"/>
            <wp:effectExtent l="0" t="0" r="0" b="0"/>
            <wp:docPr id="1032" name="classify_refined_overview.png" descr="classify_refined_overview.png" title="classify_refined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classify_refined_overview.png" descr="classify_refined_overview.png" title="classify_refined_overview.png"/>
                    <pic:cNvPicPr>
                      <a:picLocks noChangeAspect="1"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7] 6티어 분류 전체 개요 — 423개 행정동 배치</w:t>
      </w:r>
    </w:p>
    <w:p>
      <w:pPr>
        <w:jc w:val="center"/>
        <w:spacing w:after="40" w:before="80"/>
      </w:pPr>
      <w:r>
        <w:drawing>
          <wp:inline distT="0" distB="0" distL="0" distR="0">
            <wp:extent cx="5810250" cy="2028825"/>
            <wp:effectExtent l="0" t="0" r="0" b="0"/>
            <wp:docPr id="1033" name="classify_refined_timeseries.png" descr="classify_refined_timeseries.png" title="classify_refined_timeser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classify_refined_timeseries.png" descr="classify_refined_timeseries.png" title="classify_refined_timeseries.png"/>
                    <pic:cNvPicPr>
                      <a:picLocks noChangeAspect="1"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8] 티어별 복합점수 분위 시계열 추이 (2020~2024)</w:t>
      </w: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07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티어 간 성장 패턴 유사성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t>가설: 레전드·라이징스타·급성장 신흥은 같은 성장 패턴을 서로 다른 시점에 밟고 있는가?</w:t>
      </w:r>
    </w:p>
    <w:p>
      <w:pPr>
        <w:spacing w:after="60"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3066"/>
        <w:gridCol w:w="306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D4EDD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A7A4A"/>
                <w:sz w:val="52"/>
                <w:szCs w:val="52"/>
              </w:rPr>
              <w:t>r = 0.998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Lag 0 상관계수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레전드 vs 급성장 신흥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EBF3FB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52"/>
                <w:szCs w:val="52"/>
              </w:rPr>
              <w:t>동시 성장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해석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시차 성장론 기각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EBF3FB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52"/>
                <w:szCs w:val="52"/>
              </w:rPr>
              <w:t>출발점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차이 원인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절대 수준의 차이</w:t>
            </w:r>
          </w:p>
        </w:tc>
      </w:tr>
    </w:tbl>
    <w:p>
      <w:pPr>
        <w:spacing w:after="80"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2166AC"/>
              <w:bottom w:val="none"/>
              <w:right w:val="none"/>
            </w:tcBorders>
            <w:shd w:val="clear" w:color="auto" w:fill="EBF3FB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1E3A5F"/>
                <w:sz w:val="20"/>
                <w:szCs w:val="20"/>
              </w:rPr>
              <w:t>💡  Lag 0 r = 0.998 — 세 티어가 시차 없이 동시에 같은 우상향 형태를 보입니다. '시차 성장론'보다 '현재 동시 성장'이 더 적절한 해석입니다. 차이는 출발점(절대 수준)에 있습니다.</w:t>
            </w:r>
          </w:p>
        </w:tc>
      </w:tr>
    </w:tbl>
    <w:p>
      <w:pPr>
        <w:spacing w:after="80"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200"/>
        <w:gridCol w:w="1200"/>
        <w:gridCol w:w="1300"/>
        <w:gridCol w:w="800"/>
        <w:gridCol w:w="3000"/>
      </w:tblGrid>
      <w:tr>
        <w:trPr>
          <w:tblHeader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티어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2020 분위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2024 분위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연간 기울기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2026 추정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① 레전드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0.878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0.947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+0.015/년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0.82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0.984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② 라이징스타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0.525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0.801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+0.061/년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0.91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0.923  ← 레전드 진입 예상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③ 급성장 신흥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0.260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0.602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+0.077/년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0.81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0.798</w:t>
            </w:r>
          </w:p>
        </w:tc>
      </w:tr>
    </w:tbl>
    <w:p>
      <w:pPr>
        <w:spacing w:after="80" w:before="80"/>
      </w:pPr>
    </w:p>
    <w:p>
      <w:pPr>
        <w:jc w:val="center"/>
        <w:spacing w:after="40" w:before="80"/>
      </w:pPr>
      <w:r>
        <w:drawing>
          <wp:inline distT="0" distB="0" distL="0" distR="0">
            <wp:extent cx="5810250" cy="4410075"/>
            <wp:effectExtent l="0" t="0" r="0" b="0"/>
            <wp:docPr id="1034" name="pattern_similarity.png" descr="pattern_similarity.png" title="pattern_simila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attern_similarity.png" descr="pattern_similarity.png" title="pattern_similarity.png"/>
                    <pic:cNvPicPr>
                      <a:picLocks noChangeAspect="1" noUngr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9] 티어별 성장 궤적 비교 및 2025~2026 미래 경로 추정 (6패널)</w:t>
      </w: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08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네이버 트렌드 vs 실제 매출</w:t>
            </w:r>
          </w:p>
        </w:tc>
      </w:tr>
    </w:tbl>
    <w:p>
      <w:pPr>
        <w:spacing w:after="80" w:before="80"/>
      </w:pPr>
    </w:p>
    <w:p>
      <w:pPr>
        <w:pBdr>
          <w:bottom w:val="single" w:sz="6" w:space="4" w:color="2166AC"/>
        </w:pBdr>
        <w:spacing w:after="80" w:before="240"/>
      </w:pPr>
      <w:r>
        <w:rPr>
          <w:rFonts w:ascii="맑은 고딕" w:eastAsia="맑은 고딕" w:hAnsi="맑은 고딕" w:cs="맑은 고딕"/>
          <w:b/>
          <w:bCs/>
          <w:color w:val="2166AC"/>
          <w:sz w:val="26"/>
          <w:szCs w:val="26"/>
        </w:rPr>
        <w:t>검색량은 소비를 예측하지 못한다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3066"/>
        <w:gridCol w:w="306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FDECE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992222"/>
                <w:sz w:val="52"/>
                <w:szCs w:val="52"/>
              </w:rPr>
              <w:t>0.011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스피어만 상관계수 ρ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트렌드 15개 상권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FDECE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992222"/>
                <w:sz w:val="52"/>
                <w:szCs w:val="52"/>
              </w:rPr>
              <w:t>0.970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p값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통계적으로 무의미</w:t>
            </w:r>
          </w:p>
        </w:tc>
        <w:tc>
          <w:tcPr>
            <w:tcBorders>
              <w:top w:val="none"/>
              <w:left w:val="single" w:sz="8" w:space="0" w:color="FFFFFF"/>
              <w:bottom w:val="none"/>
              <w:right w:val="none"/>
            </w:tcBorders>
            <w:shd w:val="clear" w:color="auto" w:fill="F7F7F7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52"/>
                <w:szCs w:val="52"/>
              </w:rPr>
              <w:t>무상관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555555"/>
                <w:sz w:val="18"/>
                <w:szCs w:val="18"/>
              </w:rPr>
              <w:t>해석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2020→2024 변화량</w:t>
            </w:r>
          </w:p>
        </w:tc>
      </w:tr>
    </w:tbl>
    <w:p>
      <w:pPr>
        <w:spacing w:after="80"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5600"/>
      </w:tblGrid>
      <w:tr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지역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네이버 변화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매출 변화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해석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용산해방촌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+116pp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+27pp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검색 폭발, 매출은 미미 — 관심 &gt;&gt; 소비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잠실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+71pp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+109pp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둘 다 상승 — 유일한 일치 케이스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이태원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−68pp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+39pp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참사 후 검색 급락, 매출은 회복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북촌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+14pp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+115pp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검색보다 매출이 훨씬 더 성장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삼청동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−14pp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+86pp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조용히 성장, 검색 관심은 오히려 감소</w:t>
            </w:r>
          </w:p>
        </w:tc>
      </w:tr>
      <w:t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연남동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−29pp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+26pp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검색 식었지만 2030비중 유일하게 상승</w:t>
            </w:r>
          </w:p>
        </w:tc>
      </w:tr>
    </w:tbl>
    <w:p>
      <w:pPr>
        <w:spacing w:after="80"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single" w:sz="20" w:space="0" w:color="E07800"/>
              <w:bottom w:val="none"/>
              <w:right w:val="none"/>
            </w:tcBorders>
            <w:shd w:val="clear" w:color="auto" w:fill="FFF4E0"/>
            <w:tcMar>
              <w:top w:w="120" w:type="dxa"/>
              <w:left w:w="220" w:type="dxa"/>
              <w:bottom w:w="120" w:type="dxa"/>
              <w:right w:w="220" w:type="dxa"/>
            </w:tcMar>
          </w:tcPr>
          <w:p>
            <w:r>
              <w:rPr>
                <w:rFonts w:ascii="맑은 고딕" w:eastAsia="맑은 고딕" w:hAnsi="맑은 고딕" w:cs="맑은 고딕"/>
                <w:color w:val="7D4A00"/>
                <w:sz w:val="20"/>
                <w:szCs w:val="20"/>
              </w:rPr>
              <w:t>⚠  네이버 검색량은 미디어 인지도·관심도를 측정하고, 매출 복합점수는 실제 방문 소비 행동을 측정합니다. 두 지표는 보완적이지만 대체 불가 — 상권 예측에는 반드시 병행 사용이 필요합니다.</w:t>
            </w:r>
          </w:p>
        </w:tc>
      </w:tr>
    </w:tbl>
    <w:p>
      <w:pPr>
        <w:spacing w:after="80" w:before="80"/>
      </w:pPr>
    </w:p>
    <w:p>
      <w:pPr>
        <w:jc w:val="center"/>
        <w:spacing w:after="40" w:before="80"/>
      </w:pPr>
      <w:r>
        <w:drawing>
          <wp:inline distT="0" distB="0" distL="0" distR="0">
            <wp:extent cx="5810250" cy="6305550"/>
            <wp:effectExtent l="0" t="0" r="0" b="0"/>
            <wp:docPr id="1035" name="trend_naver_timeseries.png" descr="trend_naver_timeseries.png" title="trend_naver_timeser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trend_naver_timeseries.png" descr="trend_naver_timeseries.png" title="trend_naver_timeseries.png"/>
                    <pic:cNvPicPr>
                      <a:picLocks noChangeAspect="1" noUngr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10] 트렌드 상권 15개 네이버 검색 트렌드 vs 매출 시계열 비교</w:t>
      </w:r>
    </w:p>
    <w:p>
      <w:pPr>
        <w:jc w:val="center"/>
        <w:spacing w:after="40" w:before="80"/>
      </w:pPr>
      <w:r>
        <w:drawing>
          <wp:inline distT="0" distB="0" distL="0" distR="0">
            <wp:extent cx="5810250" cy="2543175"/>
            <wp:effectExtent l="0" t="0" r="0" b="0"/>
            <wp:docPr id="1036" name="trend_naver_scatter.png" descr="trend_naver_scatter.png" title="trend_naver_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trend_naver_scatter.png" descr="trend_naver_scatter.png" title="trend_naver_scatter.png"/>
                    <pic:cNvPicPr>
                      <a:picLocks noChangeAspect="1" noUngr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11] 네이버 변화량 vs 매출 변화량 산점도 (ρ = 0.011, 사실상 무상관)</w:t>
      </w: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09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임대료·공실률 분석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t>국토부 매장용 빌딩 통계(2020~2025)를 정리해 티어 분류와 연결했습니다. 상권 성장·쇠퇴의 실물 지표를 확인합니다.</w:t>
      </w:r>
    </w:p>
    <w:p>
      <w:pPr>
        <w:spacing w:after="60"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600"/>
        <w:gridCol w:w="2200"/>
        <w:gridCol w:w="2400"/>
      </w:tblGrid>
      <w:tr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지역(티어)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임대료 변화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공실률 변화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해석</w:t>
            </w:r>
          </w:p>
        </w:tc>
      </w:tr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성수(뚝섬) — ② 라이징스타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36.2 → 54.7천원/㎡  (+51%)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1.7% → 3.0%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급성장에 임대료 상승 동반</w:t>
            </w:r>
          </w:p>
        </w:tc>
      </w:tr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명동 — ② 라이징스타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271.7 → 190.8천원/㎡ 급락 후 회복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2021년 최고 50.1%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코로나 최대 충격 → 회복 중</w:t>
            </w:r>
          </w:p>
        </w:tc>
      </w:tr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이태원 — ① 레전드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보합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0.0% → 19.9% (2024)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참사 이후 지연 반응, 공실 급등</w:t>
            </w:r>
          </w:p>
        </w:tc>
      </w:tr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청담동 — ⑥ 쇠퇴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59 → 62천원/㎡ 유지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분위 하락에도 경직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명품 특수성으로 가격 하방경직</w:t>
            </w:r>
          </w:p>
        </w:tc>
      </w:tr>
    </w:tbl>
    <w:p>
      <w:pPr>
        <w:spacing w:after="80" w:before="80"/>
      </w:pPr>
    </w:p>
    <w:p>
      <w:pPr>
        <w:jc w:val="center"/>
        <w:spacing w:after="40" w:before="80"/>
      </w:pPr>
      <w:r>
        <w:drawing>
          <wp:inline distT="0" distB="0" distL="0" distR="0">
            <wp:extent cx="5810250" cy="4705350"/>
            <wp:effectExtent l="0" t="0" r="0" b="0"/>
            <wp:docPr id="1037" name="rental_vacancy_tier.png" descr="rental_vacancy_tier.png" title="rental_vacancy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rental_vacancy_tier.png" descr="rental_vacancy_tier.png" title="rental_vacancy_tier.png"/>
                    <pic:cNvPicPr>
                      <a:picLocks noChangeAspect="1" noUngrp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i/>
          <w:iCs/>
          <w:color w:val="777777"/>
          <w:sz w:val="17"/>
          <w:szCs w:val="17"/>
        </w:rPr>
        <w:t>[그림 12] 티어별 임대료·공실률 패턴 비교 (2020~2024)</w:t>
      </w: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10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핵심 인사이트 요약</w:t>
            </w:r>
          </w:p>
        </w:tc>
      </w:tr>
    </w:tbl>
    <w:p>
      <w:pPr>
        <w:spacing w:after="80"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8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22"/>
                <w:szCs w:val="22"/>
              </w:rPr>
              <w:t>라이프스타일이 트렌드 상권의 핵심</w:t>
            </w:r>
          </w:p>
          <w:p>
            <w:r>
              <w:rPr>
                <w:rFonts w:ascii="맑은 고딕" w:eastAsia="맑은 고딕" w:hAnsi="맑은 고딕" w:cs="맑은 고딕"/>
                <w:color w:val="555555"/>
                <w:sz w:val="20"/>
                <w:szCs w:val="20"/>
              </w:rPr>
              <w:t>F&amp;B보다 의류·인테리어·편의점 비중이 +17.8pp 높습니다. '맛집이 많은 곳'이 아닌 '쇼핑·여가 목적으로 방문하는 곳'이 트렌드 상권입니다.</w:t>
            </w:r>
          </w:p>
        </w:tc>
      </w:tr>
    </w:tbl>
    <w:p>
      <w:pPr>
        <w:spacing w:after="40" w:before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8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22"/>
                <w:szCs w:val="22"/>
              </w:rPr>
              <w:t>금요효과가 가장 예민한 신호</w:t>
            </w:r>
          </w:p>
          <w:p>
            <w:r>
              <w:rPr>
                <w:rFonts w:ascii="맑은 고딕" w:eastAsia="맑은 고딕" w:hAnsi="맑은 고딕" w:cs="맑은 고딕"/>
                <w:color w:val="555555"/>
                <w:sz w:val="20"/>
                <w:szCs w:val="20"/>
              </w:rPr>
              <w:t>금요일 매출이 목요일을 넘으면 외부 유입 시작. 오피스 상권은 반대 패턴. 신규 트렌드 상권 스크리닝에 1차 필터로 사용 가능합니다.</w:t>
            </w:r>
          </w:p>
        </w:tc>
      </w:tr>
    </w:tbl>
    <w:p>
      <w:pPr>
        <w:spacing w:after="40" w:before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8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22"/>
                <w:szCs w:val="22"/>
              </w:rPr>
              <w:t>성수동은 현재 진행형</w:t>
            </w:r>
          </w:p>
          <w:p>
            <w:r>
              <w:rPr>
                <w:rFonts w:ascii="맑은 고딕" w:eastAsia="맑은 고딕" w:hAnsi="맑은 고딕" w:cs="맑은 고딕"/>
                <w:color w:val="555555"/>
                <w:sz w:val="20"/>
                <w:szCs w:val="20"/>
              </w:rPr>
              <w:t>성수1가2동(라이징스타)과 성수1가1동(급성장 신흥)이 같은 지역에서 다른 단계에 있습니다. 지역명이 아닌 행정동 단위로 접근해야 합니다.</w:t>
            </w:r>
          </w:p>
        </w:tc>
      </w:tr>
    </w:tbl>
    <w:p>
      <w:pPr>
        <w:spacing w:after="40" w:before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8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22"/>
                <w:szCs w:val="22"/>
              </w:rPr>
              <w:t>연남동·삼청동·홍대는 성숙기</w:t>
            </w:r>
          </w:p>
          <w:p>
            <w:r>
              <w:rPr>
                <w:rFonts w:ascii="맑은 고딕" w:eastAsia="맑은 고딕" w:hAnsi="맑은 고딕" w:cs="맑은 고딕"/>
                <w:color w:val="555555"/>
                <w:sz w:val="20"/>
                <w:szCs w:val="20"/>
              </w:rPr>
              <w:t>최상위 수준을 유지하지만 모멘텀이 낮습니다. 더 오를 곳이 없는 성숙기에 진입했으며 새 성장 동력 발굴이 필요합니다.</w:t>
            </w:r>
          </w:p>
        </w:tc>
      </w:tr>
    </w:tbl>
    <w:p>
      <w:pPr>
        <w:spacing w:after="40" w:before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8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FFF4E0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22"/>
                <w:szCs w:val="22"/>
              </w:rPr>
              <w:t>검색량 ≠ 소비 행동</w:t>
            </w:r>
          </w:p>
          <w:p>
            <w:r>
              <w:rPr>
                <w:rFonts w:ascii="맑은 고딕" w:eastAsia="맑은 고딕" w:hAnsi="맑은 고딕" w:cs="맑은 고딕"/>
                <w:color w:val="555555"/>
                <w:sz w:val="20"/>
                <w:szCs w:val="20"/>
              </w:rPr>
              <w:t>검색이 많아도 매출이 안 오를 수 있고(용산해방촌), 검색 없이 매출만 성장할 수도 있습니다(삼청동). 두 지표는 반드시 병행 분석해야 합니다.</w:t>
            </w:r>
          </w:p>
        </w:tc>
      </w:tr>
    </w:tbl>
    <w:p>
      <w:pPr>
        <w:spacing w:after="40" w:before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8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E3A5F"/>
                <w:sz w:val="22"/>
                <w:szCs w:val="22"/>
              </w:rPr>
              <w:t>라이징스타 → 2026년 레전드 진입 예상</w:t>
            </w:r>
          </w:p>
          <w:p>
            <w:r>
              <w:rPr>
                <w:rFonts w:ascii="맑은 고딕" w:eastAsia="맑은 고딕" w:hAnsi="맑은 고딕" w:cs="맑은 고딕"/>
                <w:color w:val="555555"/>
                <w:sz w:val="20"/>
                <w:szCs w:val="20"/>
              </w:rPr>
              <w:t>현재 기울기(+0.061/년)로 외삽 시 성수1가2동 등 라이징스타 그룹이 2026년 분위 0.923으로 레전드 진입선(0.90) 돌파가 예상됩니다.</w:t>
            </w:r>
          </w:p>
        </w:tc>
      </w:tr>
    </w:tbl>
    <w:p>
      <w:pPr>
        <w:spacing w:after="40" w:before="40"/>
      </w:pPr>
    </w:p>
    <w:p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88BBDD"/>
                <w:sz w:val="36"/>
                <w:szCs w:val="36"/>
              </w:rPr>
              <w:t xml:space="preserve">11 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36"/>
                <w:szCs w:val="36"/>
              </w:rPr>
              <w:t>향후 과제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222222"/>
          <w:sz w:val="20"/>
          <w:szCs w:val="20"/>
        </w:rPr>
        <w:t>분기별 데이터를 활용한 계절성 분석 — 코로나 분기별 충격 및 계절성 패턴 규명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222222"/>
          <w:sz w:val="20"/>
          <w:szCs w:val="20"/>
        </w:rPr>
        <w:t>임대료 상승과 상권 변화의 선행-지연 관계 정량화 (Granger 인과성 검정)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222222"/>
          <w:sz w:val="20"/>
          <w:szCs w:val="20"/>
        </w:rPr>
        <w:t>업종 신규 진입률·점포 다양성 지수 등 추가 피처 계산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222222"/>
          <w:sz w:val="20"/>
          <w:szCs w:val="20"/>
        </w:rPr>
        <w:t>SNS 언급량·지하철 승하차 인원 등 외부 데이터 결합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222222"/>
          <w:sz w:val="20"/>
          <w:szCs w:val="20"/>
        </w:rPr>
        <w:t>2년 후 상권 티어 변화 예측 모델 개발 (분류 또는 회귀 모델)</w:t>
      </w:r>
    </w:p>
    <w:p>
      <w:pPr>
        <w:spacing w:after="200" w:before="200"/>
      </w:pPr>
    </w:p>
    <w:p>
      <w:pPr>
        <w:jc w:val="center"/>
      </w:pPr>
      <w:r>
        <w:rPr>
          <w:rFonts w:ascii="맑은 고딕" w:eastAsia="맑은 고딕" w:hAnsi="맑은 고딕" w:cs="맑은 고딕"/>
          <w:color w:val="999999"/>
          <w:sz w:val="22"/>
          <w:szCs w:val="22"/>
        </w:rPr>
        <w:t>— 끝 —</w:t>
      </w:r>
    </w:p>
    <w:sectPr>
      <w:pgSz w:w="11906" w:h="16838"/>
      <w:pgMar w:top="1000" w:right="900" w:bottom="1000" w:left="900" w:header="708" w:footer="708" w:gutter="0"/>
      <w:cols/>
      <w:docGrid w:linePitch="360"/>
      <w:headerReference w:type="default" r:id="rId14"/>
      <w:footerReference w:type="default" r:id="rId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nsolas">
    <w:panose1 w:val="020B0609020204030204"/>
    <w:notTrueType w:val="false"/>
    <w:sig w:usb0="7FFFFFFF" w:usb1="0000FCFF" w:usb2="00000001" w:usb3="00000001" w:csb0="6000019F" w:csb1="7FFFFFFF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eastAsia="맑은 고딕" w:hAnsi="맑은 고딕" w:cs="맑은 고딕"/>
        <w:color w:val="CCCCCC"/>
        <w:sz w:val="16"/>
        <w:szCs w:val="16"/>
      </w:rPr>
      <w:t xml:space="preserve">─  </w:t>
    </w:r>
    <w:r>
      <w:rPr>
        <w:rFonts w:ascii="맑은 고딕" w:eastAsia="맑은 고딕" w:hAnsi="맑은 고딕" w:cs="맑은 고딕"/>
        <w:color w:val="999999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999999"/>
        <w:sz w:val="16"/>
        <w:szCs w:val="16"/>
      </w:rPr>
      <w:instrText>PAGE</w:instrText>
    </w:r>
    <w:r>
      <w:rPr>
        <w:rFonts w:ascii="맑은 고딕" w:eastAsia="맑은 고딕" w:hAnsi="맑은 고딕" w:cs="맑은 고딕"/>
        <w:color w:val="999999"/>
        <w:sz w:val="16"/>
        <w:szCs w:val="16"/>
      </w:rPr>
      <w:fldChar w:fldCharType="separate"/>
    </w:r>
    <w:r>
      <w:rPr>
        <w:rFonts w:ascii="맑은 고딕" w:eastAsia="맑은 고딕" w:hAnsi="맑은 고딕" w:cs="맑은 고딕"/>
        <w:color w:val="999999"/>
        <w:sz w:val="16"/>
        <w:szCs w:val="16"/>
      </w:rPr>
      <w:fldChar w:fldCharType="end"/>
    </w:r>
    <w:r>
      <w:rPr>
        <w:rFonts w:ascii="맑은 고딕" w:eastAsia="맑은 고딕" w:hAnsi="맑은 고딕" w:cs="맑은 고딕"/>
        <w:color w:val="CCCCCC"/>
        <w:sz w:val="16"/>
        <w:szCs w:val="16"/>
      </w:rPr>
      <w:t xml:space="preserve">  ─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pBdr>
        <w:bottom w:val="single" w:sz="4" w:space="4" w:color="2166AC"/>
      </w:pBdr>
    </w:pPr>
    <w:r>
      <w:rPr>
        <w:rFonts w:ascii="맑은 고딕" w:eastAsia="맑은 고딕" w:hAnsi="맑은 고딕" w:cs="맑은 고딕"/>
        <w:color w:val="999999"/>
        <w:sz w:val="16"/>
        <w:szCs w:val="16"/>
      </w:rPr>
      <w:t>서울시 트렌드 상권 분석 리포트  |  2026.05.17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bfbf20"/>
    <w:multiLevelType w:val="hybridMultilevel"/>
    <w:lvl w:ilvl="0" w:tentative="on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color w:val="222222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4" Type="http://schemas.openxmlformats.org/officeDocument/2006/relationships/header" Target="header1.xml" /><Relationship Id="rId15" Type="http://schemas.openxmlformats.org/officeDocument/2006/relationships/footer" Target="footer1.xml" /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9" Type="http://schemas.openxmlformats.org/officeDocument/2006/relationships/image" Target="media/image8.png" /><Relationship Id="rId8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fontTable" Target="fontTable.xml" /><Relationship Id="rId19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30032</cp:lastModifiedBy>
  <cp:revision>1</cp:revision>
  <dcterms:created xsi:type="dcterms:W3CDTF">2026-05-17T14:40:29Z</dcterms:created>
  <dcterms:modified xsi:type="dcterms:W3CDTF">2026-05-19T14:29:59Z</dcterms:modified>
  <cp:version>1300.0100.01</cp:version>
</cp:coreProperties>
</file>