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center"/>
        <w:tabs>
          <w:tab w:val="left" w:pos="1011"/>
        </w:tabs>
        <w:spacing w:after="160" w:before="0" w:line="240" w:lineRule="auto"/>
        <w:textAlignment w:val="auto"/>
        <w:rPr>
          <w:lang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eastAsia="ko-KR"/>
          <w:rFonts w:ascii="맑은 고딕" w:hAnsi="맑은 고딕"/>
          <w:b/>
          <w:color w:val="1F497D"/>
          <w:sz w:val="34"/>
          <w:szCs w:val="34"/>
          <w:rtl w:val="off"/>
        </w:rPr>
        <w:t>20대의 매출 활성도가 상권의 활성도를 대표할 수 있을까?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eastAsia="ko-KR" w:bidi="ar-SA"/>
          <w:sz w:val="22"/>
          <w:szCs w:val="24"/>
          <w:kern w:val="1"/>
          <w:snapToGrid/>
          <w:spacing w:val="0"/>
          <w:rtl w:val="off"/>
        </w:rPr>
      </w:pP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noProof/>
          <w:sz w:val="22"/>
          <w:szCs w:val="24"/>
          <w:kern w:val="1"/>
          <w:snapToGrid/>
          <w:spacing w:val="0"/>
          <w:rtl w:val="off"/>
        </w:rPr>
        <w:drawing>
          <wp:inline distT="0" distB="0" distL="180" distR="180">
            <wp:extent cx="5669063" cy="4268317"/>
            <wp:effectExtent l="0" t="0" r="0" b="0"/>
            <wp:docPr id="10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063" cy="4268317"/>
                    </a:xfrm>
                    <a:prstGeom prst="rect">
                      <a:avLst/>
                    </a:prstGeom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연도별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절대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규모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지표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요약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비중이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높은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25%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행정동은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서울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전체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중앙값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(1,395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억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)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1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.5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배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수준인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2,023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억의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규모를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보이고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.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반면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하위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25%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행정동은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중앙값의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.6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배에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그친다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유입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·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비중이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높은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동네일수록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규모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자체가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크다는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걸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뚜렷하게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확인할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게다가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25%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그룹은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년부터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2024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년까지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꾸준히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우상향하고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반면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,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나머지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그룹은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상대적으로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정체되거나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완만한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성장에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머물고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.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즉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비중이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단순히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규모와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비례하는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것에서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그치는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아니라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,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성장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속도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자체에도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차이를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만들어내고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점에서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비중은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확장의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유의미한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신호로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noProof/>
          <w:sz w:val="22"/>
          <w:szCs w:val="24"/>
          <w:kern w:val="1"/>
          <w:snapToGrid/>
          <w:spacing w:val="0"/>
          <w:rtl w:val="off"/>
        </w:rPr>
        <w:drawing>
          <wp:inline distT="0" distB="0" distL="180" distR="180">
            <wp:extent cx="5659628" cy="4235227"/>
            <wp:effectExtent l="0" t="0" r="0" b="0"/>
            <wp:docPr id="10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9628" cy="4235227"/>
                    </a:xfrm>
                    <a:prstGeom prst="rect">
                      <a:avLst/>
                    </a:prstGeom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noProof/>
          <w:sz w:val="22"/>
          <w:szCs w:val="24"/>
          <w:kern w:val="1"/>
          <w:snapToGrid/>
          <w:spacing w:val="0"/>
          <w:rtl w:val="off"/>
        </w:rPr>
        <w:drawing>
          <wp:inline distT="0" distB="0" distL="180" distR="180">
            <wp:extent cx="5671077" cy="399002"/>
            <wp:effectExtent l="0" t="0" r="0" b="0"/>
            <wp:docPr id="10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077" cy="399002"/>
                    </a:xfrm>
                    <a:prstGeom prst="rect">
                      <a:avLst/>
                    </a:prstGeom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성수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2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가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1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동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상권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지표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b/>
          <w:bCs/>
          <w:sz w:val="22"/>
          <w:szCs w:val="24"/>
          <w:kern w:val="1"/>
          <w:snapToGrid/>
          <w:spacing w:val="0"/>
          <w:rtl w:val="off"/>
        </w:rPr>
        <w:t>요약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2021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→2022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,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유입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비율이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14%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→22%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뛰어오른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시점과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총매출이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2,212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억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→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3,300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억으로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올라간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시점이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딱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맞아떨어진다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.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단순히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사람만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몰린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아니라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매출까지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같이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커졌다는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점에서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유입이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상권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활성화에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실질적인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영향을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줬다고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다만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2023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이후엔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매출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비중이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줄어드는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모습을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보인다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.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그런데도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총매출은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3,000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억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이상을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유지하고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있는데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,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이건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20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만들어놓은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트렌디한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이미지가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30~40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소비층까지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자연스럽게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흘러들어오는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구조로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바뀐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거라고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볼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수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있다</w:t>
      </w:r>
      <w:r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  <w:t>.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sz w:val="22"/>
          <w:szCs w:val="24"/>
          <w:kern w:val="1"/>
          <w:snapToGrid/>
          <w:spacing w:val="0"/>
          <w:rtl w:val="off"/>
        </w:rPr>
      </w:pPr>
    </w:p>
    <w:p>
      <w:pPr>
        <w:jc w:val="center"/>
        <w:rPr>
          <w:lang/>
          <w:rFonts w:ascii="맑은 고딕" w:hAnsi="맑은 고딕"/>
          <w:b/>
          <w:color w:val="1F497D"/>
          <w:sz w:val="40"/>
          <w:rtl w:val="off"/>
        </w:rPr>
      </w:pPr>
    </w:p>
    <w:p>
      <w:pPr>
        <w:jc w:val="center"/>
        <w:rPr>
          <w:lang/>
          <w:rFonts w:ascii="맑은 고딕" w:hAnsi="맑은 고딕"/>
          <w:b/>
          <w:color w:val="1F497D"/>
          <w:sz w:val="40"/>
          <w:rtl w:val="off"/>
        </w:rPr>
      </w:pPr>
    </w:p>
    <w:p>
      <w:pPr>
        <w:jc w:val="center"/>
      </w:pPr>
      <w:r>
        <w:rPr>
          <w:rFonts w:ascii="맑은 고딕" w:hAnsi="맑은 고딕"/>
          <w:b/>
          <w:color w:val="1F497D"/>
          <w:sz w:val="40"/>
        </w:rPr>
        <w:t>서울 트렌드 상권 분석 — 데이터 명세서</w:t>
      </w:r>
    </w:p>
    <w:p>
      <w:pPr>
        <w:jc w:val="center"/>
      </w:pPr>
      <w:r>
        <w:rPr>
          <w:rFonts w:ascii="맑은 고딕" w:hAnsi="맑은 고딕"/>
          <w:b w:val="0"/>
          <w:color w:val="595959"/>
          <w:sz w:val="24"/>
        </w:rPr>
        <w:t>분석 사용 데이터 출처 · 수집범위 · 컬럼 명세</w:t>
      </w:r>
    </w:p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데이터 구성 개요</w:t>
      </w:r>
    </w:p>
    <w:p>
      <w:r>
        <w:rPr>
          <w:rFonts w:ascii="맑은 고딕" w:hAnsi="맑은 고딕"/>
          <w:b w:val="0"/>
          <w:sz w:val="20"/>
        </w:rPr>
        <w:t>서울 423개 행정동 × 2020~2024년 (5개년) 데이터를 기반으로 트렌드 상권 분석을 수행.</w:t>
      </w:r>
    </w:p>
    <w:p/>
    <w:p>
      <w:r>
        <w:rPr>
          <w:rFonts w:ascii="맑은 고딕" w:hAnsi="맑은 고딕"/>
          <w:b w:val="0"/>
          <w:sz w:val="20"/>
        </w:rPr>
        <w:t>서울시 상권분석서비스 원본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├─ 행정동_업종별_매출정리.csv   ← 업종 × 연령대 교차 분석용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├─ 분기별_원본피처.csv          ← 요일/시간대/연령대 피처 전체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└─ 트렌드매출_마스터.csv        ← 파생 트렌드 지표 (최종 분석 기준)</w:t>
      </w:r>
    </w:p>
    <w:p>
      <w:r>
        <w:rPr>
          <w:rFonts w:ascii="맑은 고딕" w:hAnsi="맑은 고딕"/>
          <w:b w:val="0"/>
          <w:sz w:val="20"/>
        </w:rPr>
        <w:t>KT 생활이동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├─ 분기별_주말유입인구.csv      ← 주말 유입 연령대별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└─ 코드매핑_유입인구_매출.csv   ← 조인 키</w:t>
      </w:r>
    </w:p>
    <w:p>
      <w:r>
        <w:rPr>
          <w:rFonts w:ascii="맑은 고딕" w:hAnsi="맑은 고딕"/>
          <w:b w:val="0"/>
          <w:sz w:val="20"/>
        </w:rPr>
        <w:t>외부 검증 데이터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├─ 임대료_공실률.csv           ← 한국부동산원 임대료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├─ 네이버트렌드_트렌드상권_20260517.csv   ← 네이버 DataLab 검색량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├─ 네이버트렌드_소비키워드_20260517.csv   ← 네이버 DataLab 키워드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└─ 블로그트렌드_상권.csv        ← 블로그 언급량</w:t>
      </w:r>
    </w:p>
    <w:p>
      <w:r>
        <w:br w:type="page"/>
      </w:r>
    </w:p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① 행정동_업종별_매출정리.csv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data/행정동_업종별_매출정리.csv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서울시 상권분석서비스 (서울 열린데이터광장) — 추정매출 원본을 행정동×업종×연도 단위로 재집계 가공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 ~ 2024년 (연간, 5개년)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서울 423개 행정동 × 63개 업종 = 88,188행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20대 매출 비중 분석, 분위별 YoY 성장률, 20대 활성도 가설 검증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행정동명 (문자)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업종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63개 업종 분류명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연도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2020~2024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당월_매출_금액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해당 연도 업종 총 매출 (원)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당월_매출_건수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결제 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주중_매출_금액 / 주말_매출_금액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주중·주말 매출 분리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주중_매출_건수 / 주말_매출_건수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주중·주말 건수 분리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연령대_20_매출_금액 / 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20대 매출금액·건수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월~일요일_매출_금액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요일별 매출 (7개 컬럼)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② 분기별_원본피처.csv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data/main_data/분기별_원본피처.csv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서울시 상권분석서비스 원본 → 분기(Q1~Q4)별로 집계 가공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2020Q1 ~ 2024Q4 (분기별, 20개 분기)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423개 행정동 × 20분기 = 8,476행 / 66개 컬럼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성수동 상세 분석, 상위 10% 세대별 분석, 트렌드 지표 산출 기반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행정동_코드 / 행정동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 식별자·명칭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기준_년분기_코드 / 연도 / 분기 / 연도분기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시간 식별자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상권티어 / 상권유형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6티어 분류 및 유형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FB카페/FB식사/주류유흥/라이프스타일/기타 _매출금액·건수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5개 업종 그룹별 매출·건수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총_매출금액 / 총_매출건수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합계 매출·건수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월~일요일_매출_금액·건수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요일별 매출·건수 (7개씩)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시간대_00~06 ~ 21~24_매출_금액·건수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6개 시간대별 매출·건수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남성/여성_매출_금액·건수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성별 매출·건수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연령대_10/20/30/40/50/60이상_매출_금액·건수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6개 연령대별 매출·건수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주중/주말_매출_금액·건수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주중·주말 분리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③ 분기별_주말유입인구.csv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data/main_data/분기별_주말유입인구.csv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KT 생활이동 데이터 (통계청 제공) — 금요일 야간(17~24시) + 토요일 전체 + 일요일 전체 이동인구만 필터 후 분기 집계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2020Q1 ~ 2024Q4 (분기별)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424개 행정동 × 연령대 × 20분기 = 76,320행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세대별 주말 유입 비중 stacked area, 성수동·상위 10% 유입 분석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주의사항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연령대==0은 전체 집계행(중복) → 분석 시 반드시 제외. 70·80대는 60이상으로 합산 처리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도착_행정동코드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도착지 행정동 코드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연도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2020~2024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분기 / 연도분기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분기 식별자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연령대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0(전체합계·제외), 10, 20, 30, 40, 50, 60, 70, 80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HE_이동인구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주말 저녁·야간 이동인구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WE_이동인구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주말 낮 이동인구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EE_이동인구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주말 아침 이동인구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합계_이동인구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시간대 합산 주말 이동인구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④ 코드매핑_유입인구_매출.csv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data/main_data/코드매핑_유입인구_매출.csv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자체 생성 — migration 행정동 코드 ↔ 상권분석서비스 행정동 코드 매핑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424개 행정동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migration 데이터와 매출 데이터 조인 시 코드 변환 키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migration_코드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KT 생활이동 행정동 코드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raw_코드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상권분석서비스 행정동 코드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구명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자치구명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행정동명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행정동명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⑤ 트렌드매출_마스터.csv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data/main_data/트렌드매출_마스터.csv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분기별_원본피처.csv 기반 자체 파생 지표 계산 (build_trend_master.py)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 ~ 2024년 (연간)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423개 행정동 × 5개년 = 2,114행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트렌드 상권 정의 기준, 복합점수 분위 산출, 6티어 분류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행정동 / 행정동_코드 / 연도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식별자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트렌드_대표_매출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금요 야간 + 토·일 전체 추정 소비액 (원)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총_매출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연간 총 매출 (원)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트렌드매출_비중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트렌드_대표_매출 / 총_매출 (%)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업종점수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F&amp;B + 라이프스타일 매출 비중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2030비중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20·30대 매출 비중 (사후 검증 전용)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금요효과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금요일 / 목요일 매출 비율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주말비중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토+일 / 7일 매출 비율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야간비중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17~24시 매출 비율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복합점수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zscore(업종점수) + zscore(시간점수)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복합점수_분위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연도 내 상대 순위 (0~1)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상권유형 / 상권티어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분류 결과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⑥ 임대료_공실률.csv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data/main_data/임대료_공실률.csv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한국부동산원 — 매장용 빌딩 임대료·공실률·수익률 (상권 단위)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 ~ 2025년 (연간, 6개년)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68개 상권 × 6개년 = 365행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"2030 유입 → 임대료 1년 후 상승" 선행성 검증 (r=0.219**)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지역_대분류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지역 구분 (예: 강남, 홍대 등)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상권명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상권명칭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연도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2020~2025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임대료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만원/㎡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공실률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%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투자수익률 / 소득수익률 / 자본수익률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수익률 3종 (%)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⑦ 네이버트렌드_트렌드상권_20260517.csv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data/main_data/네이버트렌드_트렌드상권_20260517.csv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네이버 DataLab 검색 트렌드 API (수집일: 2026-05-17)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2020-01 ~ 2024-12 (월별, 60개월)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트렌드 상권 15개 지역 × 60개월 = 900행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네이버 검색량 vs 실제 매출 비교 검증 (ρ=0.011, 무상관)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period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YYYY-MM-DD 형식 월 기준일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group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지역명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ratio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검색량 상대지수 (0~100)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⑧ 네이버트렌드_소비키워드_20260517.csv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data/main_data/네이버트렌드_소비키워드_20260517.csv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네이버 DataLab 검색 트렌드 API (수집일: 2026-05-17)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2020-01 ~ 2024-12 (월별, 60개월)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25개 지역 × 소비 키워드 × 60개월 = 1,500행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지역 소비 키워드 검색 트렌드 보조 분석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period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YYYY-MM-DD 형식 월 기준일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group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지역명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ratio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원시 검색 지수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anchor_ratio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기준 검색 지수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adjusted_ratio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보정 검색 지수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4472C4"/>
          <w:sz w:val="26"/>
        </w:rPr>
        <w:t>⑨ 블로그트렌드_상권.csv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1984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저장 경로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data/main_data/블로그트렌드_상권.csv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출처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네이버 블로그 언급량 (네이버 검색 API 크롤링, 상권 단위 집계)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수집 범위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 ~ 2025년 (연간)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커버리지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46개 상권</w:t>
            </w:r>
          </w:p>
        </w:tc>
      </w:tr>
      <w:tr>
        <w:tc>
          <w:tcPr>
            <w:tcW w:w="1984" w:type="dxa"/>
          </w:tcPr>
          <w:p>
            <w:r>
              <w:rPr>
                <w:rFonts w:ascii="맑은 고딕" w:hAnsi="맑은 고딕"/>
                <w:b/>
                <w:sz w:val="18"/>
              </w:rPr>
              <w:t>주요 활용</w:t>
            </w:r>
          </w:p>
        </w:tc>
        <w:tc>
          <w:tcPr>
            <w:tcW w:w="7087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차세대 후보 외부 신호 검증 (블로그 언급 급등 시점 확인)</w:t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color w:val="000000"/>
          <w:sz w:val="22"/>
        </w:rPr>
        <w:t>컬럼 명세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>
        <w:tc>
          <w:tcPr>
            <w:tcW w:w="4419" w:type="dxa"/>
          </w:tcPr>
          <w:p/>
        </w:tc>
        <w:tc>
          <w:tcPr>
            <w:tcW w:w="4419" w:type="dxa"/>
          </w:tcPr>
          <w:p/>
        </w:tc>
      </w:tr>
      <w:tr>
        <w:tc>
          <w:tcPr>
            <w:tcW w:w="3969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컬럼명</w:t>
            </w:r>
          </w:p>
        </w:tc>
        <w:tc>
          <w:tcPr>
            <w:tcW w:w="5102" w:type="dxa"/>
            <w:shd w:val="clear" w:color="auto" w:fill="DCE6F1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area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상권명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 ~ 2025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연간 블로그 언급 건수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growth_20_25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2020→2025 성장률 (%)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growth_22_25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2022→2025 성장률 (%)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growth_23_25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2023→2025 성장률 (%)</w:t>
            </w:r>
          </w:p>
        </w:tc>
      </w:tr>
      <w:tr>
        <w:tc>
          <w:tcPr>
            <w:tcW w:w="3969" w:type="dxa"/>
          </w:tcPr>
          <w:p>
            <w:r>
              <w:rPr>
                <w:rFonts w:ascii="맑은 고딕" w:hAnsi="맑은 고딕"/>
                <w:b w:val="0"/>
                <w:sz w:val="18"/>
              </w:rPr>
              <w:t>total_vol</w:t>
            </w:r>
          </w:p>
        </w:tc>
        <w:tc>
          <w:tcPr>
            <w:tcW w:w="5102" w:type="dxa"/>
          </w:tcPr>
          <w:p>
            <w:r>
              <w:rPr>
                <w:rFonts w:ascii="맑은 고딕" w:hAnsi="맑은 고딕"/>
                <w:b w:val="0"/>
                <w:sz w:val="18"/>
              </w:rPr>
              <w:t>5개년 누적 언급량</w:t>
            </w:r>
          </w:p>
        </w:tc>
      </w:tr>
    </w:tbl>
    <w:p/>
    <w:sectPr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30032</cp:lastModifiedBy>
  <cp:revision>1</cp:revision>
  <dcterms:created xsi:type="dcterms:W3CDTF">2013-12-23T23:15:00Z</dcterms:created>
  <dcterms:modified xsi:type="dcterms:W3CDTF">2026-05-28T14:08:47Z</dcterms:modified>
  <cp:version>1300.0100.01</cp:version>
</cp:coreProperties>
</file>