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서울시 차세대 트렌드 상권 발굴 분석 보고서</w:t>
      </w:r>
    </w:p>
    <w:p>
      <w:pPr>
        <w:ind w:left="567"/>
      </w:pPr>
      <w:r>
        <w:rPr>
          <w:b/>
          <w:i/>
          <w:color w:val="505050"/>
        </w:rPr>
        <w:t>그림이 안 보일 때 (MD 미리보기)</w:t>
      </w:r>
      <w:r>
        <w:rPr>
          <w:i/>
          <w:color w:val="505050"/>
        </w:rPr>
        <w:t xml:space="preserve">  </w:t>
      </w:r>
    </w:p>
    <w:p>
      <w:pPr>
        <w:ind w:left="567"/>
      </w:pPr>
      <w:r>
        <w:rPr>
          <w:i/>
          <w:color w:val="505050"/>
        </w:rPr>
        <w:t xml:space="preserve">Cursor·VS Code는 보안상 </w:t>
      </w:r>
      <w:r>
        <w:rPr>
          <w:b/>
          <w:i/>
          <w:color w:val="505050"/>
        </w:rPr>
        <w:t>로컬 PNG를 미리보기에서 막는 경우</w:t>
      </w:r>
      <w:r>
        <w:rPr>
          <w:i/>
          <w:color w:val="505050"/>
        </w:rPr>
        <w:t xml:space="preserve">가 많습니다.  </w:t>
      </w:r>
    </w:p>
    <w:p>
      <w:pPr>
        <w:ind w:left="567"/>
      </w:pPr>
      <w:r>
        <w:rPr>
          <w:i/>
          <w:color w:val="505050"/>
        </w:rPr>
        <w:t xml:space="preserve">1. </w:t>
      </w:r>
      <w:r>
        <w:rPr>
          <w:b/>
          <w:i/>
          <w:color w:val="505050"/>
        </w:rPr>
        <w:t>`report/최종보고서.html`</w:t>
      </w:r>
      <w:r>
        <w:rPr>
          <w:i/>
          <w:color w:val="505050"/>
        </w:rPr>
        <w:t xml:space="preserve"> 을 탐색기에서 더블클릭 → 브라우저로 열기 (권장)  </w:t>
      </w:r>
    </w:p>
    <w:p>
      <w:pPr>
        <w:ind w:left="567"/>
      </w:pPr>
      <w:r>
        <w:rPr>
          <w:i/>
          <w:color w:val="505050"/>
        </w:rPr>
        <w:t xml:space="preserve">2. 또는 설정 </w:t>
      </w:r>
      <w:r>
        <w:rPr>
          <w:rFonts w:ascii="Courier New" w:hAnsi="Courier New"/>
          <w:i/>
          <w:color w:val="505050"/>
          <w:sz w:val="17"/>
        </w:rPr>
        <w:t>markdown.preview.securityLevel</w:t>
      </w:r>
      <w:r>
        <w:rPr>
          <w:i/>
          <w:color w:val="505050"/>
        </w:rPr>
        <w:t xml:space="preserve"> → </w:t>
      </w:r>
      <w:r>
        <w:rPr>
          <w:b/>
          <w:i/>
          <w:color w:val="505050"/>
        </w:rPr>
        <w:t>`allowLocalFiles`</w:t>
      </w:r>
      <w:r>
        <w:rPr>
          <w:i/>
          <w:color w:val="505050"/>
        </w:rPr>
        <w:t xml:space="preserve">  </w:t>
      </w:r>
    </w:p>
    <w:p>
      <w:pPr>
        <w:ind w:left="567"/>
      </w:pPr>
      <w:r>
        <w:rPr>
          <w:i/>
          <w:color w:val="505050"/>
        </w:rPr>
        <w:t xml:space="preserve">3. 이 MD는 반드시 </w:t>
      </w:r>
      <w:r>
        <w:rPr>
          <w:b/>
          <w:i/>
          <w:color w:val="505050"/>
        </w:rPr>
        <w:t>`report` 폴더 안</w:t>
      </w:r>
      <w:r>
        <w:rPr>
          <w:i/>
          <w:color w:val="505050"/>
        </w:rPr>
        <w:t xml:space="preserve">에서 열기 (그림 경로: </w:t>
      </w:r>
      <w:r>
        <w:rPr>
          <w:rFonts w:ascii="Courier New" w:hAnsi="Courier New"/>
          <w:i/>
          <w:color w:val="505050"/>
          <w:sz w:val="17"/>
        </w:rPr>
        <w:t>./images/...</w:t>
      </w:r>
      <w:r>
        <w:rPr>
          <w:i/>
          <w:color w:val="505050"/>
        </w:rPr>
        <w:t>)</w:t>
      </w:r>
    </w:p>
    <w:p>
      <w:r>
        <w:rPr>
          <w:b/>
        </w:rPr>
        <w:t>분석 기간</w:t>
      </w:r>
      <w:r>
        <w:t xml:space="preserve"> 2020년 ~ 2024년 (분기·연 단위)  </w:t>
      </w:r>
    </w:p>
    <w:p>
      <w:r>
        <w:rPr>
          <w:b/>
        </w:rPr>
        <w:t>분석 대상</w:t>
      </w:r>
      <w:r>
        <w:t xml:space="preserve"> 서울시 423개 행정동  </w:t>
      </w:r>
    </w:p>
    <w:p>
      <w:r>
        <w:rPr>
          <w:b/>
        </w:rPr>
        <w:t>작성 기준</w:t>
      </w:r>
      <w:r>
        <w:t xml:space="preserve"> 2026년 5월 분석 결과 (</w:t>
      </w:r>
      <w:r>
        <w:rPr>
          <w:rFonts w:ascii="Courier New" w:hAnsi="Courier New"/>
          <w:sz w:val="17"/>
        </w:rPr>
        <w:t>report/분석_수치_근거.md</w:t>
      </w:r>
      <w:r>
        <w:t xml:space="preserve"> 종합)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요약 (Executive Summary)</w:t>
      </w:r>
    </w:p>
    <w:p>
      <w:r>
        <w:t xml:space="preserve">본 연구는 서울시 전 행정동을 대상으로 </w:t>
      </w:r>
      <w:r>
        <w:rPr>
          <w:b/>
        </w:rPr>
        <w:t>20대 이동(KT 생활이동)</w:t>
      </w:r>
      <w:r>
        <w:t xml:space="preserve"> 과 </w:t>
      </w:r>
      <w:r>
        <w:rPr>
          <w:b/>
        </w:rPr>
        <w:t>20·30대 소비(추정매출)</w:t>
      </w:r>
      <w:r>
        <w:t xml:space="preserve"> 를 양축에서 추적하여, 이미 성숙한 트렌드 상권의 전환 패턴을 학습하고 이와 유사하거나 선행 신호를 보이는 </w:t>
      </w:r>
      <w:r>
        <w:rPr>
          <w:b/>
        </w:rPr>
        <w:t>차세대 후보 지역</w:t>
      </w:r>
      <w:r>
        <w:t>을 도출하였다.</w:t>
      </w:r>
    </w:p>
    <w:p>
      <w:r>
        <w:rPr>
          <w:b/>
        </w:rPr>
        <w:t>핵심 결론은 다음과 같다.</w:t>
      </w:r>
    </w:p>
    <w:p>
      <w:pPr>
        <w:pStyle w:val="ListNumber"/>
      </w:pPr>
      <w:r>
        <w:rPr>
          <w:b/>
        </w:rPr>
        <w:t>여가형 이동만이 소비 전환과 연결된다.</w:t>
      </w:r>
      <w:r>
        <w:t xml:space="preserve"> 오피스형(주말집중도 &amp;lt; 0.80) 지역에서는 20대 이동비율과 트렌드매출_비중의 상관이 유의하지 않다(r = +0.022). 반면 주거·혼합·상권형에서는 유의한 양의 상관이 확인된다.</w:t>
      </w:r>
    </w:p>
    <w:p>
      <w:pPr>
        <w:pStyle w:val="ListNumber"/>
      </w:pPr>
      <w:r>
        <w:rPr>
          <w:b/>
        </w:rPr>
        <w:t>레퍼런스 상권은 “이동 선행 → 소비 전환” 패턴을 보인다.</w:t>
      </w:r>
      <w:r>
        <w:t xml:space="preserve"> 대표 사례 성수2가1동은 2021년 20대 이동이 먼저 증가한 뒤, 2022년 업종·트렌드 시간대 매출이 급전환되었다. 5년간 20대 매출은 +88.5%로 전체 매출 성장(+49.0%)을 크게 상회한다.</w:t>
      </w:r>
    </w:p>
    <w:p>
      <w:pPr>
        <w:pStyle w:val="ListNumber"/>
      </w:pPr>
      <w:r>
        <w:rPr>
          <w:b/>
        </w:rPr>
        <w:t>단일 방법론으로는 불완전하다.</w:t>
      </w:r>
      <w:r>
        <w:t xml:space="preserve"> 궤적 유사도 분석은 중기·성숙 단계의 “궤적 유사성”을, 이동-소비 사분면 분석은 초기 “이동 모멘텀”을 포착한다. 두 방법의 교집합 </w:t>
      </w:r>
      <w:r>
        <w:rPr>
          <w:b/>
        </w:rPr>
        <w:t>숭인2동·신당5동</w:t>
      </w:r>
      <w:r>
        <w:t>이 가장 신뢰도 높은 1순위 후보이다.</w:t>
      </w:r>
    </w:p>
    <w:p>
      <w:pPr>
        <w:pStyle w:val="ListNumber"/>
      </w:pPr>
      <w:r>
        <w:rPr>
          <w:b/>
        </w:rPr>
        <w:t>임대료는 후행 지표에 가깝다.</w:t>
      </w:r>
      <w:r>
        <w:t xml:space="preserve"> 이동·소비 신호 이후 상권 단위 임대료가 반응하는 사례(뚝섬 +51.1%)가 확인되나, 분기 변화량 기준의 단기 선행(lag 1분기)은 약하다. </w:t>
      </w:r>
      <w:r>
        <w:rPr>
          <w:b/>
        </w:rPr>
        <w:t>선행 포착에는 이동·소비 결합이 우선</w:t>
      </w:r>
      <w:r>
        <w:t>이다.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 연구 배경 및 목적</w:t>
      </w:r>
    </w:p>
    <w:p>
      <w:pPr>
        <w:pStyle w:val="Heading3"/>
      </w:pPr>
      <w:r>
        <w:t>1.1 배경</w:t>
      </w:r>
    </w:p>
    <w:p>
      <w:r>
        <w:t xml:space="preserve">서울 상권은 업종 구성, 요일·시간대 매출, 연령대 소비, 유동인구 패턴이 복합적으로 얽혀 변화한다. 특히 “트렌드 상권”은 금요 저녁~주말 중심의 </w:t>
      </w:r>
      <w:r>
        <w:rPr>
          <w:b/>
        </w:rPr>
        <w:t>외부 방문·여가 소비</w:t>
      </w:r>
      <w:r>
        <w:t>가 두드러지며, 20·30대의 이동과 소비가 동시에 나타나는 경우가 많다.</w:t>
      </w:r>
    </w:p>
    <w:p>
      <w:r>
        <w:t xml:space="preserve">그러나 추정매출만으로 상권을 정의하면 </w:t>
      </w:r>
      <w:r>
        <w:rPr>
          <w:b/>
        </w:rPr>
        <w:t>오피스 점심 소비</w:t>
      </w:r>
      <w:r>
        <w:t xml:space="preserve">가 업종점수를 끌어올려, 여가형 트렌드 상권과 혼동될 수 있다. 본 연구는 이동·소비·주말 이용 패턴을 결합해 이 한계를 보완하고, </w:t>
      </w:r>
      <w:r>
        <w:rPr>
          <w:b/>
        </w:rPr>
        <w:t>아직 대중에게 덜 알려진 초기·중기 후보</w:t>
      </w:r>
      <w:r>
        <w:t>를 식별하는 것을 목적으로 한다.</w:t>
      </w:r>
    </w:p>
    <w:p>
      <w:pPr>
        <w:pStyle w:val="Heading3"/>
      </w:pPr>
      <w:r>
        <w:t>1.2 연구 가설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가설</w:t>
            </w:r>
          </w:p>
        </w:tc>
        <w:tc>
          <w:tcPr>
            <w:tcW w:type="dxa" w:w="453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b/>
              </w:rPr>
              <w:t>H1 (이동)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 xml:space="preserve">차세대 트렌드 상권은 활성화 이전에 </w:t>
            </w:r>
            <w:r>
              <w:rPr>
                <w:b/>
              </w:rPr>
              <w:t>20대 유입</w:t>
            </w:r>
            <w:r>
              <w:t>(특히 금요 야간·주말)이 선행 증가한다.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b/>
              </w:rPr>
              <w:t>H2 (소비)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 xml:space="preserve">유입 이후 또는 동시에 </w:t>
            </w:r>
            <w:r>
              <w:rPr>
                <w:b/>
              </w:rPr>
              <w:t>20·30대 매출 비중</w:t>
            </w:r>
            <w:r>
              <w:t xml:space="preserve">과 </w:t>
            </w:r>
            <w:r>
              <w:rPr>
                <w:b/>
              </w:rPr>
              <w:t>트렌드 업종 매출</w:t>
            </w:r>
            <w:r>
              <w:t>이 증가한다.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b/>
              </w:rPr>
              <w:t>H3 (결합)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 xml:space="preserve">이동과 소비는 </w:t>
            </w:r>
            <w:r>
              <w:rPr>
                <w:b/>
              </w:rPr>
              <w:t>동시(lag0)</w:t>
            </w:r>
            <w:r>
              <w:t xml:space="preserve"> 또는 </w:t>
            </w:r>
            <w:r>
              <w:rPr>
                <w:b/>
              </w:rPr>
              <w:t>1분기 시차(lag1)</w:t>
            </w:r>
            <w:r>
              <w:t xml:space="preserve"> 로 함께 움직이며, 임대료 상승은 </w:t>
            </w:r>
            <w:r>
              <w:rPr>
                <w:b/>
              </w:rPr>
              <w:t>이후</w:t>
            </w:r>
            <w:r>
              <w:t>에 나타난다.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b/>
              </w:rPr>
              <w:t>H4 (변화율)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 xml:space="preserve">KT 데이터의 20대 편향을 고려할 때, </w:t>
            </w:r>
            <w:r>
              <w:rPr>
                <w:b/>
              </w:rPr>
              <w:t>QoQ·YoY·순위 변화</w:t>
            </w:r>
            <w:r>
              <w:t>가 절대량보다 식별에 유효하다.</w:t>
            </w:r>
          </w:p>
        </w:tc>
      </w:tr>
    </w:tbl>
    <w:p/>
    <w:p>
      <w:pPr>
        <w:pStyle w:val="Heading3"/>
      </w:pPr>
      <w:r>
        <w:t>1.3 분석 질문</w:t>
      </w:r>
    </w:p>
    <w:p>
      <w:pPr>
        <w:pStyle w:val="ListBullet"/>
      </w:pPr>
      <w:r>
        <w:t xml:space="preserve">어떤 행정동이 </w:t>
      </w:r>
      <w:r>
        <w:rPr>
          <w:b/>
        </w:rPr>
        <w:t>이미 전환을 마친 레퍼런스 상권</w:t>
      </w:r>
      <w:r>
        <w:t>과 구조적으로 유사한가? (궤적 유사도 분석)</w:t>
      </w:r>
    </w:p>
    <w:p>
      <w:pPr>
        <w:pStyle w:val="ListBullet"/>
      </w:pPr>
      <w:r>
        <w:t xml:space="preserve">어떤 행정동이 </w:t>
      </w:r>
      <w:r>
        <w:rPr>
          <w:b/>
        </w:rPr>
        <w:t>이동은 빠르게 늘지만 소비 전환은 아직</w:t>
      </w:r>
      <w:r>
        <w:t>인가? (이동-소비 사분면 분석)</w:t>
      </w:r>
    </w:p>
    <w:p>
      <w:pPr>
        <w:pStyle w:val="ListBullet"/>
      </w:pPr>
      <w:r>
        <w:t xml:space="preserve">두 관점을 어떻게 </w:t>
      </w:r>
      <w:r>
        <w:rPr>
          <w:b/>
        </w:rPr>
        <w:t>통합(Tier)</w:t>
      </w:r>
      <w:r>
        <w:t xml:space="preserve"> 하여 의사결정에 쓸 수 있는가?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2. 분석 범위 및 방법</w:t>
      </w:r>
    </w:p>
    <w:p>
      <w:pPr>
        <w:pStyle w:val="Heading3"/>
      </w:pPr>
      <w:r>
        <w:t>2.1 데이터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구분</w:t>
            </w:r>
          </w:p>
        </w:tc>
        <w:tc>
          <w:tcPr>
            <w:tcW w:type="dxa" w:w="302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  <w:tc>
          <w:tcPr>
            <w:tcW w:type="dxa" w:w="302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활용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매출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서울시 상권분석서비스 추정매출 (행정동·연도)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업종점수, 2030비중, 트렌드매출_비중, 금요효과 등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이동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KT 생활이동 (행정동·분기)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20대 유입·이동비율, QoQ·YoY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생활인구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서울시 (시간대)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주말집중도, 구역 유형 분류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임대료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한국부동산원 (상권 64곳)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전환 이후 부동산 반응 검증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블로그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네이버 검색 API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외부 인지도 보조</w:t>
            </w:r>
          </w:p>
        </w:tc>
      </w:tr>
    </w:tbl>
    <w:p/>
    <w:p>
      <w:r>
        <w:rPr>
          <w:b/>
        </w:rPr>
        <w:t>분석 단위</w:t>
      </w:r>
      <w:r>
        <w:t>: 423개 행정동 × 2020~2024년. 분기 해상도가 필요한 이동·선행 분석은 분기 시계열을 사용하였다.</w:t>
      </w:r>
    </w:p>
    <w:p>
      <w:pPr>
        <w:pStyle w:val="Heading3"/>
      </w:pPr>
      <w:r>
        <w:t>2.2 핵심 지표 (요약)</w:t>
      </w:r>
    </w:p>
    <w:p>
      <w:r>
        <w:rPr>
          <w:b/>
        </w:rPr>
        <w:t>소비 축</w:t>
      </w:r>
    </w:p>
    <w:p>
      <w:pPr>
        <w:pStyle w:val="ListBullet"/>
      </w:pPr>
      <w:r>
        <w:rPr>
          <w:b/>
        </w:rPr>
        <w:t>업종점수</w:t>
      </w:r>
      <w:r>
        <w:t xml:space="preserve">: (F&amp;B카페 + F&amp;B식사 + 주류·유흥 + 라이프스타일) / 총 매출  </w:t>
      </w:r>
    </w:p>
    <w:p>
      <w:pPr>
        <w:pStyle w:val="ListBullet"/>
      </w:pPr>
      <w:r>
        <w:rPr>
          <w:b/>
        </w:rPr>
        <w:t>트렌드매출_비중</w:t>
      </w:r>
      <w:r>
        <w:t xml:space="preserve">: (금요일×야간비중 + 토·일 매출) / 총 매출 — “금요 저녁~주말” 소비 비중  </w:t>
      </w:r>
    </w:p>
    <w:p>
      <w:pPr>
        <w:pStyle w:val="ListBullet"/>
      </w:pPr>
      <w:r>
        <w:rPr>
          <w:b/>
        </w:rPr>
        <w:t>2030비중</w:t>
      </w:r>
      <w:r>
        <w:t xml:space="preserve">: 20·30대 매출 / 총 매출 (트렌드 상권 </w:t>
      </w:r>
      <w:r>
        <w:rPr>
          <w:b/>
        </w:rPr>
        <w:t>정의</w:t>
      </w:r>
      <w:r>
        <w:t xml:space="preserve">에는 넣지 않고 </w:t>
      </w:r>
      <w:r>
        <w:rPr>
          <w:b/>
        </w:rPr>
        <w:t>사후 검증</w:t>
      </w:r>
      <w:r>
        <w:t>에만 사용)</w:t>
      </w:r>
    </w:p>
    <w:p>
      <w:r>
        <w:rPr>
          <w:b/>
        </w:rPr>
        <w:t>이동 축</w:t>
      </w:r>
    </w:p>
    <w:p>
      <w:pPr>
        <w:pStyle w:val="ListBullet"/>
      </w:pPr>
      <w:r>
        <w:rPr>
          <w:b/>
        </w:rPr>
        <w:t>20대 이동비율</w:t>
      </w:r>
      <w:r>
        <w:t xml:space="preserve">: 20대 유입 / 전체 연령 유입  </w:t>
      </w:r>
    </w:p>
    <w:p>
      <w:pPr>
        <w:pStyle w:val="ListBullet"/>
      </w:pPr>
      <w:r>
        <w:rPr>
          <w:b/>
        </w:rPr>
        <w:t>이동성장세점수</w:t>
      </w:r>
      <w:r>
        <w:t>(이동-소비 사분면 분석): 장기 증가율·선형 기울기·최근 급등을 z-score 합산</w:t>
      </w:r>
    </w:p>
    <w:p>
      <w:r>
        <w:rPr>
          <w:b/>
        </w:rPr>
        <w:t>필터·게이트</w:t>
      </w:r>
    </w:p>
    <w:p>
      <w:pPr>
        <w:pStyle w:val="ListBullet"/>
      </w:pPr>
      <w:r>
        <w:rPr>
          <w:b/>
        </w:rPr>
        <w:t>주말집중도</w:t>
      </w:r>
      <w:r>
        <w:t xml:space="preserve"> = 주말 평균 생활인구 / 평일 평균 생활인구  </w:t>
      </w:r>
    </w:p>
    <w:p>
      <w:pPr>
        <w:pStyle w:val="ListBullet"/>
      </w:pPr>
      <w:r>
        <w:rPr>
          <w:b/>
        </w:rPr>
        <w:t>구역 유형</w:t>
      </w:r>
      <w:r>
        <w:t xml:space="preserve">: 오피스형(&amp;lt;0.80) · 혼합형(0.80~0.95) · 주거형(0.95~1.10) · 상권형(&amp;gt;1.10)  </w:t>
      </w:r>
    </w:p>
    <w:p>
      <w:pPr>
        <w:pStyle w:val="ListBullet"/>
      </w:pPr>
      <w:r>
        <w:rPr>
          <w:b/>
        </w:rPr>
        <w:t>avg22 ≥ 3%</w:t>
      </w:r>
      <w:r>
        <w:t>: 2022년 20대 매출 비중이 너무 낮은 동 제외(기저효과 완화)</w:t>
      </w:r>
    </w:p>
    <w:p>
      <w:pPr>
        <w:pStyle w:val="Heading3"/>
      </w:pPr>
      <w:r>
        <w:t>2.3 분석 절차</w:t>
      </w:r>
    </w:p>
    <w:p>
      <w:pPr>
        <w:ind w:left="567"/>
      </w:pPr>
      <w:r>
        <w:rPr>
          <w:rFonts w:ascii="Courier New" w:hAnsi="Courier New"/>
          <w:color w:val="202080"/>
          <w:sz w:val="17"/>
        </w:rPr>
        <w:t>flowchart LR</w:t>
        <w:br/>
        <w:t xml:space="preserve">  A[423개 행정동] --&gt; B[구역유형·주말집중도]</w:t>
        <w:br/>
        <w:t xml:space="preserve">  B --&gt; C[레퍼런스 4개 선정]</w:t>
        <w:br/>
        <w:t xml:space="preserve">  C --&gt; D[궤적 유사도 분석]</w:t>
        <w:br/>
        <w:t xml:space="preserve">  C --&gt; E[이동-소비 사분면 분석]</w:t>
        <w:br/>
        <w:t xml:space="preserve">  D --&gt; F[Tier 통합]</w:t>
        <w:br/>
        <w:t xml:space="preserve">  E --&gt; F</w:t>
        <w:br/>
        <w:t xml:space="preserve">  F --&gt; G[후보 심층·검증]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3. 구역 유형과 레퍼런스 재정의</w:t>
      </w:r>
    </w:p>
    <w:p>
      <w:pPr>
        <w:pStyle w:val="Heading3"/>
      </w:pPr>
      <w:r>
        <w:t>3.1 주말집중도 기반 구역 분류</w:t>
      </w:r>
    </w:p>
    <w:p>
      <w:r>
        <w:t xml:space="preserve">주말집중도로 423개 동을 네 유형으로 나누면, </w:t>
      </w:r>
      <w:r>
        <w:rPr>
          <w:b/>
        </w:rPr>
        <w:t>오피스형 30개·혼합형 66개·주거형 309개·상권형 11개</w:t>
      </w:r>
      <w:r>
        <w:t>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구역 유형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동 수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주말집중도(평균)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업종점수(2024)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트렌드매출_비중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2030비중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t>오피스형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30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0.691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rPr>
                <w:b/>
              </w:rPr>
              <w:t>0.580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0.256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0.302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t>혼합형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66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0.898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0.458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0.264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0.278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t>주거형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309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1.033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0.377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0.299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0.226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t>상권형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11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1.126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0.480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0.344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0.289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rPr>
                <w:b/>
              </w:rPr>
              <w:t>레퍼런스(4)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4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0.957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rPr>
                <w:b/>
              </w:rPr>
              <w:t>0.600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rPr>
                <w:b/>
              </w:rPr>
              <w:t>0.333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rPr>
                <w:b/>
              </w:rPr>
              <w:t>0.380</w:t>
            </w:r>
          </w:p>
        </w:tc>
      </w:tr>
    </w:tbl>
    <w:p/>
    <w:p>
      <w:r>
        <w:rPr>
          <w:b/>
        </w:rPr>
        <w:t>해석</w:t>
      </w:r>
      <w:r>
        <w:t xml:space="preserve">: 오피스형은 업종점수가 가장 높지만 트렌드매출_비중은 가장 낮다. 업종점수만으로 “트렌드 상권”을 정의하면 </w:t>
      </w:r>
      <w:r>
        <w:rPr>
          <w:b/>
        </w:rPr>
        <w:t>직장인 점심(FB식사 32.3%)</w:t>
      </w:r>
      <w:r>
        <w:t xml:space="preserve"> 이 왜곡을 만든다. 따라서 레퍼런스 선정 시 </w:t>
      </w:r>
      <w:r>
        <w:rPr>
          <w:b/>
        </w:rPr>
        <w:t>주말집중도 ≥ 0.80</w:t>
      </w:r>
      <w:r>
        <w:t xml:space="preserve"> 과 </w:t>
      </w:r>
      <w:r>
        <w:rPr>
          <w:b/>
        </w:rPr>
        <w:t>트렌드매출_비중 ≥ 0.30</w:t>
      </w:r>
      <w:r>
        <w:t xml:space="preserve"> 을 함께 적용하였다.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7607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05_area_type_indust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60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구역유형별 트렌드 업종 구성</w:t>
      </w:r>
    </w:p>
    <w:p/>
    <w:p>
      <w:r>
        <w:rPr>
          <w:i/>
        </w:rPr>
        <w:t>그림 1. 구역유형별 트렌드 업종·소비 지표 비교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453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04_weekend_pro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45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주말집중도 분포 및 구역 유형</w:t>
      </w:r>
    </w:p>
    <w:p/>
    <w:p>
      <w:r>
        <w:rPr>
          <w:i/>
        </w:rPr>
        <w:t>그림 2. 주말집중도 분포와 구역 유형 프로파일</w:t>
      </w:r>
    </w:p>
    <w:p>
      <w:pPr>
        <w:pStyle w:val="Heading3"/>
      </w:pPr>
      <w:r>
        <w:t>3.2 레퍼런스 상권 (확정 4개)</w:t>
      </w:r>
    </w:p>
    <w:p>
      <w:r>
        <w:t xml:space="preserve">기존 “S1·S2 동시 충족 16개” 목록에서는 </w:t>
      </w:r>
      <w:r>
        <w:rPr>
          <w:b/>
        </w:rPr>
        <w:t>7개가 오피스형</w:t>
      </w:r>
      <w:r>
        <w:t xml:space="preserve">으로 여가형 트렌드와 맞지 않았다. 아래 </w:t>
      </w:r>
      <w:r>
        <w:rPr>
          <w:b/>
        </w:rPr>
        <w:t>4개 동</w:t>
      </w:r>
      <w:r>
        <w:t>을 이후 모든 유사도·후보 분석의 기준으로 삼았다.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행정동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구역 유형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주말집중도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전환 연도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트렌드매출_비중(2024)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업종점수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2030비중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방배2동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혼합형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0.937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2021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0.355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0.679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0.329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청운효자동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주거형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0.975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2021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0.312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0.593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0.367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합정동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주거형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0.993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2021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0.327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0.524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0.414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성수2가1동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혼합형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0.921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2022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0.337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0.603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0.411</w:t>
            </w:r>
          </w:p>
        </w:tc>
      </w:tr>
    </w:tbl>
    <w:p/>
    <w:p>
      <w:pPr>
        <w:pStyle w:val="ListBullet"/>
      </w:pPr>
      <w:r>
        <w:rPr>
          <w:b/>
        </w:rPr>
        <w:t>방배·청운효자·합정</w:t>
      </w:r>
      <w:r>
        <w:t xml:space="preserve">: 2021년 전후 업종·2030 지표 충족, 상대적으로 완만한 성장  </w:t>
      </w:r>
    </w:p>
    <w:p>
      <w:pPr>
        <w:pStyle w:val="ListBullet"/>
      </w:pPr>
      <w:r>
        <w:rPr>
          <w:b/>
        </w:rPr>
        <w:t>성수2가1동</w:t>
      </w:r>
      <w:r>
        <w:t xml:space="preserve">: 이동 선행 후 2022년 소비 급전환 — 가설 검증의 </w:t>
      </w:r>
      <w:r>
        <w:rPr>
          <w:b/>
        </w:rPr>
        <w:t>대표 사례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705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01_reference_trajec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70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레퍼런스 4개 동 궤적</w:t>
      </w:r>
    </w:p>
    <w:p/>
    <w:p>
      <w:r>
        <w:rPr>
          <w:i/>
        </w:rPr>
        <w:t>그림 3. 레퍼런스·비교군 20대 소비·이동 궤적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4. 가설 검증: 이동·소비·임대료</w:t>
      </w:r>
    </w:p>
    <w:p>
      <w:pPr>
        <w:pStyle w:val="Heading3"/>
      </w:pPr>
      <w:r>
        <w:t>4.1 전체 패널: 이동비율과 소비비중</w:t>
      </w:r>
    </w:p>
    <w:p>
      <w:r>
        <w:t xml:space="preserve">423개 동 × 분기 패널에서 </w:t>
      </w:r>
      <w:r>
        <w:rPr>
          <w:b/>
        </w:rPr>
        <w:t>이동비율 → 20대 매출 비중</w:t>
      </w:r>
      <w:r>
        <w:t xml:space="preserve"> 상관은 lag0에서 r = </w:t>
      </w:r>
      <w:r>
        <w:rPr>
          <w:b/>
        </w:rPr>
        <w:t>0.81</w:t>
      </w:r>
      <w:r>
        <w:t xml:space="preserve"> (p &amp;lt; 0.001)로 강하다. 다만 </w:t>
      </w:r>
      <w:r>
        <w:rPr>
          <w:b/>
        </w:rPr>
        <w:t>분기 변화량(Δ)</w:t>
      </w:r>
      <w:r>
        <w:t xml:space="preserve"> 기준 lag0은 r = </w:t>
      </w:r>
      <w:r>
        <w:rPr>
          <w:b/>
        </w:rPr>
        <w:t>0.18</w:t>
      </w:r>
      <w:r>
        <w:t>로, “분기 급등은 동시에 움직이고, 장기적 동행은 수준(level)에서 나타난다”고 해석한다.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관계</w:t>
            </w:r>
          </w:p>
        </w:tc>
        <w:tc>
          <w:tcPr>
            <w:tcW w:type="dxa" w:w="181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단위</w:t>
            </w:r>
          </w:p>
        </w:tc>
        <w:tc>
          <w:tcPr>
            <w:tcW w:type="dxa" w:w="181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lag</w:t>
            </w:r>
          </w:p>
        </w:tc>
        <w:tc>
          <w:tcPr>
            <w:tcW w:type="dxa" w:w="181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r (수준)</w:t>
            </w:r>
          </w:p>
        </w:tc>
        <w:tc>
          <w:tcPr>
            <w:tcW w:type="dxa" w:w="181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r (변화량)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이동비율 → 소비비중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분기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0.810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0.184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이동비율 → 소비비중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분기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1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0.810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−0.041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이동비율 → 임대료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연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0~2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0.28~0.32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n.s.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7694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04_causal_la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69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이동·소비·임대료 lag 상관</w:t>
      </w:r>
    </w:p>
    <w:p/>
    <w:p>
      <w:r>
        <w:rPr>
          <w:i/>
        </w:rPr>
        <w:t>그림 4. 이동 ↔ 소비 ↔ 임대료 시차 상관</w:t>
      </w:r>
    </w:p>
    <w:p>
      <w:pPr>
        <w:pStyle w:val="Heading3"/>
      </w:pPr>
      <w:r>
        <w:t>4.2 QoQ 교차상관 (그룹별)</w:t>
      </w:r>
    </w:p>
    <w:p>
      <w:r>
        <w:t>신규 레퍼런스 4개·궤적 유사도 후보·이동선행 사분면 후보·서울 전체를 나누어 분기 CCF를 산출하였다.</w:t>
      </w:r>
    </w:p>
    <w:p>
      <w:r>
        <w:rPr>
          <w:b/>
        </w:rPr>
        <w:t>변화량(Δ) 기준</w:t>
      </w:r>
      <w:r>
        <w:t xml:space="preserve"> — lag0에서 동시 상승이 지배적이다.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그룹</w:t>
            </w:r>
          </w:p>
        </w:tc>
        <w:tc>
          <w:tcPr>
            <w:tcW w:type="dxa" w:w="453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lag0 (Δ이동 vs Δ소비)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레퍼런스(4)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+0.228*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궤적 유사도 후보(9)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+0.221**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이동선행 사분면 후보(10)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+0.078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서울 전체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+0.160***</w:t>
            </w:r>
          </w:p>
        </w:tc>
      </w:tr>
    </w:tbl>
    <w:p/>
    <w:p>
      <w:r>
        <w:rPr>
          <w:b/>
        </w:rPr>
        <w:t>수준값 기준</w:t>
      </w:r>
      <w:r>
        <w:t xml:space="preserve"> — 이동-소비 사분면 후보는 </w:t>
      </w:r>
      <w:r>
        <w:rPr>
          <w:b/>
        </w:rPr>
        <w:t>lag 전 구간에서 r ≈ −0.25</w:t>
      </w:r>
      <w:r>
        <w:t xml:space="preserve"> 로, “이동 비율은 높은데 소비 비중은 아직 낮다”는 </w:t>
      </w:r>
      <w:r>
        <w:rPr>
          <w:b/>
        </w:rPr>
        <w:t>이동 선행·소비 미전환</w:t>
      </w:r>
      <w:r>
        <w:t xml:space="preserve"> 상태가 수치로 확인된다. 반면 레퍼런스(4)는 lag가 커질수록 상관이 완만히 감소하여, </w:t>
      </w:r>
      <w:r>
        <w:rPr>
          <w:b/>
        </w:rPr>
        <w:t>소비 기반이 먼저 자리 잡고 이동이 따라오는 성숙 구조</w:t>
      </w:r>
      <w:r>
        <w:t>에 가깝다.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267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09_qoq_group_timeser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26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QoQ 그룹 시계열</w:t>
      </w:r>
    </w:p>
    <w:p/>
    <w:p>
      <w:r>
        <w:rPr>
          <w:i/>
        </w:rPr>
        <w:t>그림 5. 그룹별 이동·소비 변화량 시계열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223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10_qoq_ccf_by_gro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2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QoQ CCF by group</w:t>
      </w:r>
    </w:p>
    <w:p/>
    <w:p>
      <w:r>
        <w:rPr>
          <w:i/>
        </w:rPr>
        <w:t>그림 6. 그룹별 교차상관 함수</w:t>
      </w:r>
    </w:p>
    <w:p>
      <w:pPr>
        <w:pStyle w:val="Heading3"/>
      </w:pPr>
      <w:r>
        <w:t>4.3 대표 사례: 성수2가1동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연도</w:t>
            </w:r>
          </w:p>
        </w:tc>
        <w:tc>
          <w:tcPr>
            <w:tcW w:type="dxa" w:w="181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20대 이동(만)</w:t>
            </w:r>
          </w:p>
        </w:tc>
        <w:tc>
          <w:tcPr>
            <w:tcW w:type="dxa" w:w="181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20대 이동비율</w:t>
            </w:r>
          </w:p>
        </w:tc>
        <w:tc>
          <w:tcPr>
            <w:tcW w:type="dxa" w:w="181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업종점수</w:t>
            </w:r>
          </w:p>
        </w:tc>
        <w:tc>
          <w:tcPr>
            <w:tcW w:type="dxa" w:w="181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트렌드매출_비중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2020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13.1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10.7%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33.7%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24.8%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2021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17.5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12.8%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47.7%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24.3%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b/>
              </w:rPr>
              <w:t>2022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b/>
              </w:rPr>
              <w:t>29.7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b/>
              </w:rPr>
              <w:t>17.4%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b/>
              </w:rPr>
              <w:t>61.5%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b/>
              </w:rPr>
              <w:t>31.5%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2023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38.5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23.5%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64.9%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34.8%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2024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44.1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26.0%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60.3%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33.7%</w:t>
            </w:r>
          </w:p>
        </w:tc>
      </w:tr>
    </w:tbl>
    <w:p/>
    <w:p>
      <w:r>
        <w:t xml:space="preserve">2021년 이동이 먼저 늘고, 2022년 소비 지표가 급전환되었다. 2020~2024년 </w:t>
      </w:r>
      <w:r>
        <w:rPr>
          <w:b/>
        </w:rPr>
        <w:t>20대 매출 +88.5%</w:t>
      </w:r>
      <w:r>
        <w:t xml:space="preserve">, 전체 매출 +49.0%. 인근 상권 </w:t>
      </w:r>
      <w:r>
        <w:rPr>
          <w:b/>
        </w:rPr>
        <w:t>뚝섬</w:t>
      </w:r>
      <w:r>
        <w:t xml:space="preserve"> 임대료는 +51.1%, 공실률 1.7%→3.0%로 수요 압력이 뒤따랐다.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0020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02_causal_cha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02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인과 관계 개요</w:t>
      </w:r>
    </w:p>
    <w:p/>
    <w:p>
      <w:r>
        <w:rPr>
          <w:i/>
        </w:rPr>
        <w:t>그림 7. 이동 → 소비 → 임대료 인과 흐름 (개념·사례)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204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05_ref_sales_timeseri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0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레퍼런스 매출 시계열</w:t>
      </w:r>
    </w:p>
    <w:p/>
    <w:p>
      <w:r>
        <w:rPr>
          <w:i/>
        </w:rPr>
        <w:t>그림 8. 레퍼런스 동 매출·업종 시계열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204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06_ref_migration_timeseri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0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레퍼런스 이동 시계열</w:t>
      </w:r>
    </w:p>
    <w:p/>
    <w:p>
      <w:r>
        <w:rPr>
          <w:i/>
        </w:rPr>
        <w:t>그림 9. 레퍼런스 동 20대 이동비율 시계열</w:t>
      </w:r>
    </w:p>
    <w:p>
      <w:pPr>
        <w:pStyle w:val="Heading3"/>
      </w:pPr>
      <w:r>
        <w:t>4.4 “여가형 이동” 조건</w:t>
      </w:r>
    </w:p>
    <w:p>
      <w:r>
        <w:t xml:space="preserve">구역 유형별 </w:t>
      </w:r>
      <w:r>
        <w:rPr>
          <w:b/>
        </w:rPr>
        <w:t>20대 이동비율 × 트렌드매출_비중</w:t>
      </w:r>
      <w:r>
        <w:t xml:space="preserve"> 상관(패널):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구역 유형</w:t>
            </w:r>
          </w:p>
        </w:tc>
        <w:tc>
          <w:tcPr>
            <w:tcW w:type="dxa" w:w="302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r</w:t>
            </w:r>
          </w:p>
        </w:tc>
        <w:tc>
          <w:tcPr>
            <w:tcW w:type="dxa" w:w="302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해석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오피스형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+0.022 (n.s.)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이동↑ ≠ 소비 전환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혼합형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+0.325***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유의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주거형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+0.433***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유의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상권형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+0.488***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유의</w:t>
            </w:r>
          </w:p>
        </w:tc>
      </w:tr>
    </w:tbl>
    <w:p/>
    <w:p>
      <w:r>
        <w:rPr>
          <w:b/>
        </w:rPr>
        <w:t>H1·H2는 주거·혼합·상권형에서 성립</w:t>
      </w:r>
      <w:r>
        <w:t xml:space="preserve">하며, 이동-소비 사분면 분석 후보 필터에 </w:t>
      </w:r>
      <w:r>
        <w:rPr>
          <w:b/>
        </w:rPr>
        <w:t>주말집중도 ≥ 0.80</w:t>
      </w:r>
      <w:r>
        <w:t xml:space="preserve"> 을 둔 이유를 뒷받침한다.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5. 차세대 후보 지역 도출</w:t>
      </w:r>
    </w:p>
    <w:p>
      <w:pPr>
        <w:pStyle w:val="Heading3"/>
      </w:pPr>
      <w:r>
        <w:t>5.1 궤적 유사도 분석 — 레퍼런스 궤적 코사인 유사도 (중기·성숙 궤적)</w:t>
      </w:r>
    </w:p>
    <w:p>
      <w:r>
        <w:t>레퍼런스 4개의 5년 궤적(업종점수·트렌드매출_비중·복합점수_분위)을 15차원 벡터로 만들고, 전체 동과 코사인 유사도를 계산하였다.</w:t>
      </w:r>
    </w:p>
    <w:p>
      <w:r>
        <w:rPr>
          <w:b/>
        </w:rPr>
        <w:t>TOP 5 (2024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순위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행정동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유사도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업종점수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트렌드매출_비중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복합분위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구역 유형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1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숭인2동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0.944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0.547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0.332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0.856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주거형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2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가락본동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0.934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0.529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0.296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0.780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혼합형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3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창4동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0.934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0.579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0.343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0.936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주거형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4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신당5동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0.930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0.546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0.334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0.898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주거형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5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석관동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0.929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0.558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0.345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0.905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주거형</w:t>
            </w:r>
          </w:p>
        </w:tc>
      </w:tr>
    </w:tbl>
    <w:p/>
    <w:p>
      <w:r>
        <w:t xml:space="preserve">Tier2(업종 전환형) 13개 동은 복합분위 평균 </w:t>
      </w:r>
      <w:r>
        <w:rPr>
          <w:b/>
        </w:rPr>
        <w:t>0.829</w:t>
      </w:r>
      <w:r>
        <w:t>로 이미 서울 상위권이나, 이동 모멘텀은 상대적으로 약하다.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08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a_01_phase35_candida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0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궤적 유사도 후보</w:t>
      </w:r>
    </w:p>
    <w:p/>
    <w:p>
      <w:r>
        <w:rPr>
          <w:i/>
        </w:rPr>
        <w:t>그림 10. 궤적 유사도 분석 상위 후보</w:t>
      </w:r>
    </w:p>
    <w:p>
      <w:pPr>
        <w:pStyle w:val="Heading3"/>
      </w:pPr>
      <w:r>
        <w:t>5.2 이동-소비 사분면 분석 — 4분면 (초기 이동 모멘텀)</w:t>
      </w:r>
    </w:p>
    <w:p>
      <w:pPr>
        <w:pStyle w:val="ListBullet"/>
      </w:pPr>
      <w:r>
        <w:rPr>
          <w:b/>
        </w:rPr>
        <w:t>X축</w:t>
      </w:r>
      <w:r>
        <w:t xml:space="preserve">: 매출 활성도 (20대 매출 규모·비중·YoY)  </w:t>
      </w:r>
    </w:p>
    <w:p>
      <w:pPr>
        <w:pStyle w:val="ListBullet"/>
      </w:pPr>
      <w:r>
        <w:rPr>
          <w:b/>
        </w:rPr>
        <w:t>Y축</w:t>
      </w:r>
      <w:r>
        <w:t xml:space="preserve">: 이동 성장세  </w:t>
      </w:r>
    </w:p>
    <w:p>
      <w:pPr>
        <w:pStyle w:val="ListBullet"/>
      </w:pPr>
      <w:r>
        <w:rPr>
          <w:b/>
        </w:rPr>
        <w:t>유망 후보</w:t>
      </w:r>
      <w:r>
        <w:t xml:space="preserve">: 2사분면(저활성 × 고성장) + avg22 ≥ 3% + 주말집중도 ≥ 0.80  </w:t>
      </w:r>
    </w:p>
    <w:p>
      <w:r>
        <w:rPr>
          <w:b/>
        </w:rPr>
        <w:t>이동성장세 상위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행정동</w:t>
            </w:r>
          </w:p>
        </w:tc>
        <w:tc>
          <w:tcPr>
            <w:tcW w:type="dxa" w:w="181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이동성장세</w:t>
            </w:r>
          </w:p>
        </w:tc>
        <w:tc>
          <w:tcPr>
            <w:tcW w:type="dxa" w:w="181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매출활성도</w:t>
            </w:r>
          </w:p>
        </w:tc>
        <w:tc>
          <w:tcPr>
            <w:tcW w:type="dxa" w:w="181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업종점수</w:t>
            </w:r>
          </w:p>
        </w:tc>
        <w:tc>
          <w:tcPr>
            <w:tcW w:type="dxa" w:w="181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구역 유형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이촌2동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b/>
              </w:rPr>
              <w:t>1.738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−0.426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0.140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상권형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신당5동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1.174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−0.045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0.546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주거형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오륜동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1.123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−0.030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0.902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상권형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b/>
              </w:rPr>
              <w:t>숭인2동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0.661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−0.039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0.547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주거형</w:t>
            </w:r>
          </w:p>
        </w:tc>
      </w:tr>
    </w:tbl>
    <w:p/>
    <w:p>
      <w:r>
        <w:t xml:space="preserve">이동-소비 사분면 후보의 수준 CCF가 음수로 일관되는 것은, 이들이 </w:t>
      </w:r>
      <w:r>
        <w:rPr>
          <w:b/>
        </w:rPr>
        <w:t>”이동은 왔지만 소비 전환은 진행 중”</w:t>
      </w:r>
      <w:r>
        <w:t xml:space="preserve"> 인 전형적 초기 단계임을 뜻한다.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2254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b_01_quadra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25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4분면 산점도</w:t>
      </w:r>
    </w:p>
    <w:p/>
    <w:p>
      <w:r>
        <w:rPr>
          <w:i/>
        </w:rPr>
        <w:t>그림 11. 이동-소비 사분면 분석 — 매출 활성도 vs 이동 성장세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8978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b_02_timeseri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9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유망 후보 시계열</w:t>
      </w:r>
    </w:p>
    <w:p/>
    <w:p>
      <w:r>
        <w:rPr>
          <w:i/>
        </w:rPr>
        <w:t>그림 12. 2사분면 유망 후보 이동·소비 시계열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3958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b_03_map_top1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39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후보 지역 지도</w:t>
      </w:r>
    </w:p>
    <w:p/>
    <w:p>
      <w:r>
        <w:rPr>
          <w:i/>
        </w:rPr>
        <w:t>그림 13. 후보 행정동 공간 분포</w:t>
      </w:r>
    </w:p>
    <w:p>
      <w:pPr>
        <w:pStyle w:val="Heading3"/>
      </w:pPr>
      <w:r>
        <w:t>5.3 Tier 통합 및 의사결정 프레임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Tier</w:t>
            </w:r>
          </w:p>
        </w:tc>
        <w:tc>
          <w:tcPr>
            <w:tcW w:type="dxa" w:w="181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정의</w:t>
            </w:r>
          </w:p>
        </w:tc>
        <w:tc>
          <w:tcPr>
            <w:tcW w:type="dxa" w:w="181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동 수</w:t>
            </w:r>
          </w:p>
        </w:tc>
        <w:tc>
          <w:tcPr>
            <w:tcW w:type="dxa" w:w="181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대표</w:t>
            </w:r>
          </w:p>
        </w:tc>
        <w:tc>
          <w:tcPr>
            <w:tcW w:type="dxa" w:w="181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의사결정 성격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b/>
              </w:rPr>
              <w:t>Tier 1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궤적 유사도 ∩ 이동선행 사분면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b/>
              </w:rPr>
              <w:t>2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b/>
              </w:rPr>
              <w:t>숭인2동, 신당5동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최우선 — 궤적·모멘텀 동시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b/>
              </w:rPr>
              <w:t>Tier 2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궤적 유사도 선정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13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창4동, 청파동, 장위1동…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중기 — 업종 전환은 진행, 이동은 약함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b/>
              </w:rPr>
              <w:t>Tier 3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이동선행 사분면 선정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13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이촌2동, 황학동, 성산2동…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초기 — 이동 선행, 소비 미완</w:t>
            </w:r>
          </w:p>
        </w:tc>
      </w:tr>
    </w:tbl>
    <w:p/>
    <w:p>
      <w:r>
        <w:rPr>
          <w:b/>
        </w:rPr>
        <w:t>2024년 그룹 평균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그룹</w:t>
            </w:r>
          </w:p>
        </w:tc>
        <w:tc>
          <w:tcPr>
            <w:tcW w:type="dxa" w:w="181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업종점수</w:t>
            </w:r>
          </w:p>
        </w:tc>
        <w:tc>
          <w:tcPr>
            <w:tcW w:type="dxa" w:w="181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트렌드매출_비중</w:t>
            </w:r>
          </w:p>
        </w:tc>
        <w:tc>
          <w:tcPr>
            <w:tcW w:type="dxa" w:w="181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2030비중</w:t>
            </w:r>
          </w:p>
        </w:tc>
        <w:tc>
          <w:tcPr>
            <w:tcW w:type="dxa" w:w="181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복합분위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서울 전체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0.407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0.291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0.241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0.501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Tier 3 (이동선행)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0.349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0.285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0.212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0.398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Tier 2 (업종전환)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0.564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0.319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0.257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0.829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b/>
              </w:rPr>
              <w:t>Tier 1 (교집합)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b/>
              </w:rPr>
              <w:t>0.547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b/>
              </w:rPr>
              <w:t>0.333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b/>
              </w:rPr>
              <w:t>0.251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b/>
              </w:rPr>
              <w:t>0.877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레퍼런스(4)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0.600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0.333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0.380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0.889</w:t>
            </w:r>
          </w:p>
        </w:tc>
      </w:tr>
    </w:tbl>
    <w:p/>
    <w:p>
      <w:r>
        <w:t xml:space="preserve">Tier 1의 </w:t>
      </w:r>
      <w:r>
        <w:rPr>
          <w:b/>
        </w:rPr>
        <w:t>2030비중(0.251)은 레퍼런스(0.380)보다 낮다</w:t>
      </w:r>
      <w:r>
        <w:t xml:space="preserve">. 업종·이동·복합분위는 레퍼런스에 근접했으나 </w:t>
      </w:r>
      <w:r>
        <w:rPr>
          <w:b/>
        </w:rPr>
        <w:t>“아직 대중 소비·인지도 측면에서 발견 전”</w:t>
      </w:r>
      <w:r>
        <w:t xml:space="preserve"> 일 수 있음을 시사한다 — 정책·투자 관점에서 </w:t>
      </w:r>
      <w:r>
        <w:rPr>
          <w:b/>
        </w:rPr>
        <w:t>선점 가치</w:t>
      </w:r>
      <w:r>
        <w:t>가 있는 신호이다.</w:t>
      </w:r>
    </w:p>
    <w:p>
      <w:r>
        <w:rPr>
          <w:b/>
        </w:rPr>
        <w:t>Tier 1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행정동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코사인 유사도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이동성장세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주말집중도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구역 유형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20대 이동 Δ(2020→24)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t>숭인2동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0.944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0.661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1.033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주거형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+113.8%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t>신당5동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0.930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1.174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1.049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주거형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+146.9%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40243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01_phase35_vs_4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02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궤적 유사도 vs 이동-소비 사분면 비교</w:t>
      </w:r>
    </w:p>
    <w:p/>
    <w:p>
      <w:r>
        <w:rPr>
          <w:i/>
        </w:rPr>
        <w:t>그림 14. 두 방법론이 포착하는 상권 생애 단계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0243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02_compare_ma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0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교집합·후보 지도</w:t>
      </w:r>
    </w:p>
    <w:p/>
    <w:p>
      <w:r>
        <w:rPr>
          <w:i/>
        </w:rPr>
        <w:t>그림 15. Tier·방법론별 후보 공간 비교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4540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04_ref_vs_candidat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5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레퍼런스 vs 후보</w:t>
      </w:r>
    </w:p>
    <w:p/>
    <w:p>
      <w:r>
        <w:rPr>
          <w:i/>
        </w:rPr>
        <w:t>그림 16. 레퍼런스 대비 후보 지표 격차</w:t>
      </w:r>
    </w:p>
    <w:p>
      <w:pPr>
        <w:pStyle w:val="Heading3"/>
      </w:pPr>
      <w:r>
        <w:t>5.4 혼합 활용 권고 (3단계)</w:t>
      </w:r>
    </w:p>
    <w:p>
      <w:pPr>
        <w:pStyle w:val="ListNumber"/>
      </w:pPr>
      <w:r>
        <w:rPr>
          <w:b/>
        </w:rPr>
        <w:t>광역 스캔 (이동-소비 사분면 분석)</w:t>
      </w:r>
      <w:r>
        <w:t xml:space="preserve">: 이동 모멘텀으로 초기 신호 탐지 — 오피스형·avg22 미달 제외  </w:t>
      </w:r>
    </w:p>
    <w:p>
      <w:pPr>
        <w:pStyle w:val="ListNumber"/>
      </w:pPr>
      <w:r>
        <w:rPr>
          <w:b/>
        </w:rPr>
        <w:t>궤적 검증 (궤적 유사도 분석)</w:t>
      </w:r>
      <w:r>
        <w:t xml:space="preserve">: 레퍼런스 4개와의 유사도로 중기 적합성 확인  </w:t>
      </w:r>
    </w:p>
    <w:p>
      <w:pPr>
        <w:pStyle w:val="ListNumber"/>
      </w:pPr>
      <w:r>
        <w:rPr>
          <w:b/>
        </w:rPr>
        <w:t>후처리</w:t>
      </w:r>
      <w:r>
        <w:t xml:space="preserve">: 주말집중도·구역 유형으로 오피스 혼입 차단, Tier별로 모니터링 주기 분리  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 배경 맥락: 서울 20대 소비·이동 추세</w:t>
      </w:r>
    </w:p>
    <w:p>
      <w:r>
        <w:t xml:space="preserve">보고서 독자를 위한 </w:t>
      </w:r>
      <w:r>
        <w:rPr>
          <w:b/>
        </w:rPr>
        <w:t>전체 맥락</w:t>
      </w:r>
      <w:r>
        <w:t xml:space="preserve"> 요약이다.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5329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01_consumption_tren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5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20대 매출 트렌드</w:t>
      </w:r>
    </w:p>
    <w:p/>
    <w:p>
      <w:r>
        <w:rPr>
          <w:i/>
        </w:rPr>
        <w:t>그림 17. 서울시 20대 매출 비중 추이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5215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02_gen20_vs_30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52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20대 vs 30대</w:t>
      </w:r>
    </w:p>
    <w:p/>
    <w:p>
      <w:r>
        <w:rPr>
          <w:i/>
        </w:rPr>
        <w:t>그림 18. 20대·30대 소비 구조 비교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5329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03_migration_tren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5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20대 이동 추이</w:t>
      </w:r>
    </w:p>
    <w:p/>
    <w:p>
      <w:r>
        <w:rPr>
          <w:i/>
        </w:rPr>
        <w:t>그림 19. 20대 이동비율 추이</w:t>
      </w:r>
    </w:p>
    <w:p>
      <w:r>
        <w:t xml:space="preserve">레퍼런스 4개 동의 </w:t>
      </w:r>
      <w:r>
        <w:rPr>
          <w:b/>
        </w:rPr>
        <w:t>4년 누적 매출 성장 +35.4%</w:t>
      </w:r>
      <w:r>
        <w:t xml:space="preserve"> 는 서울 전체 +25.9% 대비 </w:t>
      </w:r>
      <w:r>
        <w:rPr>
          <w:b/>
        </w:rPr>
        <w:t>+9.5%p</w:t>
      </w:r>
      <w:r>
        <w:t xml:space="preserve"> 초과이다. 2022년 +27.4% 급등은 성수2가1동 전환 효과가 주도하였다.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7. 결론 및 시사점</w:t>
      </w:r>
    </w:p>
    <w:p>
      <w:pPr>
        <w:pStyle w:val="Heading3"/>
      </w:pPr>
      <w:r>
        <w:t>7.1 결론</w:t>
      </w:r>
    </w:p>
    <w:p>
      <w:pPr>
        <w:pStyle w:val="ListNumber"/>
      </w:pPr>
      <w:r>
        <w:t xml:space="preserve">트렌드 상권의 재현 가능한 전환 경로는 </w:t>
      </w:r>
      <w:r>
        <w:rPr>
          <w:b/>
        </w:rPr>
        <w:t>「여가형 이동 증가 → 트렌드 시간대·업종 매출 전환 → (후행) 임대료 반응」</w:t>
      </w:r>
      <w:r>
        <w:t xml:space="preserve"> 으로 요약된다.  </w:t>
      </w:r>
    </w:p>
    <w:p>
      <w:pPr>
        <w:pStyle w:val="ListNumber"/>
      </w:pPr>
      <w:r>
        <w:rPr>
          <w:b/>
        </w:rPr>
        <w:t>숭인2동·신당5동</w:t>
      </w:r>
      <w:r>
        <w:t xml:space="preserve">은 레퍼런스 궤적과 이동 모멘텀을 동시에 만족하는 </w:t>
      </w:r>
      <w:r>
        <w:rPr>
          <w:b/>
        </w:rPr>
        <w:t>최우선 차세대 후보</w:t>
      </w:r>
      <w:r>
        <w:t xml:space="preserve">이다.  </w:t>
      </w:r>
    </w:p>
    <w:p>
      <w:pPr>
        <w:pStyle w:val="ListNumber"/>
      </w:pPr>
      <w:r>
        <w:rPr>
          <w:b/>
        </w:rPr>
        <w:t>청파동·창4동</w:t>
      </w:r>
      <w:r>
        <w:t xml:space="preserve"> 등 Tier 2는 이미 업종·복합분위가 높아 </w:t>
      </w:r>
      <w:r>
        <w:rPr>
          <w:b/>
        </w:rPr>
        <w:t>중기 안정형</w:t>
      </w:r>
      <w:r>
        <w:t xml:space="preserve"> 모니터링에 적합하다.  </w:t>
      </w:r>
    </w:p>
    <w:p>
      <w:pPr>
        <w:pStyle w:val="ListNumber"/>
      </w:pPr>
      <w:r>
        <w:rPr>
          <w:b/>
        </w:rPr>
        <w:t>이촌2동·황학동</w:t>
      </w:r>
      <w:r>
        <w:t xml:space="preserve"> 등 Tier 3는 이동만 강한 </w:t>
      </w:r>
      <w:r>
        <w:rPr>
          <w:b/>
        </w:rPr>
        <w:t>초기 관찰 대상</w:t>
      </w:r>
      <w:r>
        <w:t xml:space="preserve">이며, 소비 전환 여부를 분기 단위로 추적해야 한다.  </w:t>
      </w:r>
    </w:p>
    <w:p>
      <w:pPr>
        <w:pStyle w:val="ListNumber"/>
      </w:pPr>
      <w:r>
        <w:t xml:space="preserve">단일 지표(업종점수만, 이동만)는 오판 위험이 크며, </w:t>
      </w:r>
      <w:r>
        <w:rPr>
          <w:b/>
        </w:rPr>
        <w:t>주말집중도 게이트 + 이중 방법론</w:t>
      </w:r>
      <w:r>
        <w:t>이 신뢰도를 높인다.</w:t>
      </w:r>
    </w:p>
    <w:p>
      <w:pPr>
        <w:pStyle w:val="Heading3"/>
      </w:pPr>
      <w:r>
        <w:t>7.2 실무 시사점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대상</w:t>
            </w:r>
          </w:p>
        </w:tc>
        <w:tc>
          <w:tcPr>
            <w:tcW w:type="dxa" w:w="453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제안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상권 분석·지자체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 xml:space="preserve">Tier 1·2를 </w:t>
            </w:r>
            <w:r>
              <w:rPr>
                <w:b/>
              </w:rPr>
              <w:t>정책·홍보 후보군</w:t>
            </w:r>
            <w:r>
              <w:t xml:space="preserve">으로, Tier 3를 </w:t>
            </w:r>
            <w:r>
              <w:rPr>
                <w:b/>
              </w:rPr>
              <w:t>선행 경보군</w:t>
            </w:r>
            <w:r>
              <w:t>으로 분리 모니터링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리테일·F&amp;B 입점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 xml:space="preserve">Tier 1은 레퍼런스 대비 2030비중 갭이 있어 </w:t>
            </w:r>
            <w:r>
              <w:rPr>
                <w:b/>
              </w:rPr>
              <w:t>선점 입점</w:t>
            </w:r>
            <w:r>
              <w:t xml:space="preserve"> 여지; 임대료는 인근 상권(44~50천원/㎡) 수준 참고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데이터 운영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 xml:space="preserve">KT 이동은 </w:t>
            </w:r>
            <w:r>
              <w:rPr>
                <w:b/>
              </w:rPr>
              <w:t>변화율·순위</w:t>
            </w:r>
            <w:r>
              <w:t xml:space="preserve"> 중심, 매출은 </w:t>
            </w:r>
            <w:r>
              <w:rPr>
                <w:b/>
              </w:rPr>
              <w:t>트렌드매출_비중</w:t>
            </w:r>
            <w:r>
              <w:t xml:space="preserve"> 병행</w:t>
            </w:r>
          </w:p>
        </w:tc>
      </w:tr>
    </w:tbl>
    <w:p/>
    <w:p>
      <w:pPr>
        <w:pStyle w:val="Heading3"/>
      </w:pPr>
      <w:r>
        <w:t>7.3 한계</w:t>
      </w:r>
    </w:p>
    <w:p>
      <w:pPr>
        <w:pStyle w:val="ListBullet"/>
      </w:pPr>
      <w:r>
        <w:t xml:space="preserve">KT 생활이동의 </w:t>
      </w:r>
      <w:r>
        <w:rPr>
          <w:b/>
        </w:rPr>
        <w:t>20대 회원 편향</w:t>
      </w:r>
      <w:r>
        <w:t xml:space="preserve"> — 절대량보다 YoY·QoQ 해석 필요  </w:t>
      </w:r>
    </w:p>
    <w:p>
      <w:pPr>
        <w:pStyle w:val="ListBullet"/>
      </w:pPr>
      <w:r>
        <w:rPr>
          <w:b/>
        </w:rPr>
        <w:t>분기 해상도</w:t>
      </w:r>
      <w:r>
        <w:t xml:space="preserve"> — 1분기 선행은 약하고, 연·수준 지속성으로 해석  </w:t>
      </w:r>
    </w:p>
    <w:p>
      <w:pPr>
        <w:pStyle w:val="ListBullet"/>
      </w:pPr>
      <w:r>
        <w:rPr>
          <w:b/>
        </w:rPr>
        <w:t>임대료 64개 상권</w:t>
      </w:r>
      <w:r>
        <w:t xml:space="preserve"> — 행정동 후보와 1:1 매칭 불가, 인근 상권으로만 참고  </w:t>
      </w:r>
    </w:p>
    <w:p>
      <w:pPr>
        <w:pStyle w:val="ListBullet"/>
      </w:pPr>
      <w:r>
        <w:rPr>
          <w:b/>
        </w:rPr>
        <w:t>2025년 사후 검증</w:t>
      </w:r>
      <w:r>
        <w:t xml:space="preserve"> — 본 보고서 범위 외 (데이터 확보 시 갱신)  </w:t>
      </w:r>
    </w:p>
    <w:p>
      <w:pPr>
        <w:pStyle w:val="ListBullet"/>
      </w:pPr>
      <w:r>
        <w:rPr>
          <w:b/>
        </w:rPr>
        <w:t>외부·언론 교차 검증</w:t>
      </w:r>
      <w:r>
        <w:t xml:space="preserve"> — 별도 질적 보고서로 보완 필요  </w:t>
      </w:r>
    </w:p>
    <w:p>
      <w:pPr>
        <w:pStyle w:val="Heading3"/>
      </w:pPr>
      <w:r>
        <w:t>7.4 향후 과제</w:t>
      </w:r>
    </w:p>
    <w:p>
      <w:pPr>
        <w:pStyle w:val="ListBullet"/>
      </w:pPr>
      <w:r>
        <w:t xml:space="preserve">Tier 1·2에 대한 </w:t>
      </w:r>
      <w:r>
        <w:rPr>
          <w:b/>
        </w:rPr>
        <w:t>분기 모니터링 대시보드</w:t>
      </w:r>
      <w:r>
        <w:t xml:space="preserve"> 고정  </w:t>
      </w:r>
    </w:p>
    <w:p>
      <w:pPr>
        <w:pStyle w:val="ListBullet"/>
      </w:pPr>
      <w:r>
        <w:t xml:space="preserve">청파동·후암동 등 </w:t>
      </w:r>
      <w:r>
        <w:rPr>
          <w:b/>
        </w:rPr>
        <w:t>주거형→상권형</w:t>
      </w:r>
      <w:r>
        <w:t xml:space="preserve"> 주말집중도 상승 시점 추적 (전환 확정 신호)  </w:t>
      </w:r>
    </w:p>
    <w:p>
      <w:pPr>
        <w:pStyle w:val="ListBullet"/>
      </w:pPr>
      <w:r>
        <w:t xml:space="preserve">레퍼런스·후보별 </w:t>
      </w:r>
      <w:r>
        <w:rPr>
          <w:b/>
        </w:rPr>
        <w:t>외부 인지도(검색·블로그)</w:t>
      </w:r>
      <w:r>
        <w:t xml:space="preserve"> 시차 분석  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부록 A. 그림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번호</w:t>
            </w:r>
          </w:p>
        </w:tc>
        <w:tc>
          <w:tcPr>
            <w:tcW w:type="dxa" w:w="302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파일</w:t>
            </w:r>
          </w:p>
        </w:tc>
        <w:tc>
          <w:tcPr>
            <w:tcW w:type="dxa" w:w="302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1~2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S2_05, S2_04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구역유형·주말집중도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3~9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S3_01~S3_08, S3_09~11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레퍼런스·인과·QoQ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10~13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S4a_01, S4b_01~03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궤적 유사도·이동-소비 사분면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14~16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S5_01~04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통합·비교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17~19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S2_01~03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서울 전체 맥락</w:t>
            </w:r>
          </w:p>
        </w:tc>
      </w:tr>
    </w:tbl>
    <w:p/>
    <w:p>
      <w:r>
        <w:t xml:space="preserve">모든 그림은 </w:t>
      </w:r>
      <w:r>
        <w:rPr>
          <w:rFonts w:ascii="Courier New" w:hAnsi="Courier New"/>
          <w:sz w:val="17"/>
        </w:rPr>
        <w:t>report/images/</w:t>
      </w:r>
      <w:r>
        <w:t xml:space="preserve"> 에 있으며, Word·PDF 변환 시 상대 경로 </w:t>
      </w:r>
      <w:r>
        <w:rPr>
          <w:rFonts w:ascii="Courier New" w:hAnsi="Courier New"/>
          <w:sz w:val="17"/>
        </w:rPr>
        <w:t>images/파일명.png</w:t>
      </w:r>
      <w:r>
        <w:t xml:space="preserve"> 를 유지하면 된다.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부록 B. Tier 전체 목록 (28개 동)</w:t>
      </w:r>
    </w:p>
    <w:p>
      <w:pPr>
        <w:pStyle w:val="Heading3"/>
      </w:pPr>
      <w:r>
        <w:t>Tier 1 — 교집합 (2)</w:t>
      </w:r>
    </w:p>
    <w:p>
      <w:r>
        <w:t>숭인2동, 신당5동</w:t>
      </w:r>
    </w:p>
    <w:p>
      <w:pPr>
        <w:pStyle w:val="Heading3"/>
      </w:pPr>
      <w:r>
        <w:t>Tier 2 — 업종 전환·궤적 유사 (13)</w:t>
      </w:r>
    </w:p>
    <w:p>
      <w:r>
        <w:t>가락본동, 공릉1동, 동화동, 마장동, 석관동, 역촌동, 염리동, 오류1동, 장위1동, 장충동, 정릉3동, 창4동, 청파동</w:t>
      </w:r>
    </w:p>
    <w:p>
      <w:pPr>
        <w:pStyle w:val="Heading3"/>
      </w:pPr>
      <w:r>
        <w:t>Tier 3 — 이동 선행·소비 미전환 (13)</w:t>
      </w:r>
    </w:p>
    <w:p>
      <w:r>
        <w:t>가양2동, 반포본동, 보문동, 삼성동, 성산2동, 숭인1동, 오륜동, 월계2동, 이촌2동, 잠실2동, 중곡1동, 창신1동, 황학동</w:t>
      </w:r>
    </w:p>
    <w:p>
      <w:pPr>
        <w:pBdr>
          <w:bottom w:val="single" w:sz="6" w:space="1" w:color="AAAAAA"/>
        </w:pBdr>
      </w:pPr>
    </w:p>
    <w:p>
      <w:r>
        <w:rPr>
          <w:i/>
        </w:rPr>
        <w:t>본 문서는 분석 산출물을 보고서 형태로 재구성한 초안이다. 슬라이드·요약본이 필요하면 Executive Summary(요약) 절만 분리해 사용할 수 있다.</w:t>
      </w:r>
    </w:p>
    <w:p>
      <w:r>
        <w:br w:type="page"/>
      </w:r>
    </w:p>
    <w:p>
      <w:pPr>
        <w:pStyle w:val="Heading1"/>
      </w:pPr>
      <w:r>
        <w:t>부록. 분석 수치 근거 상세</w:t>
      </w:r>
    </w:p>
    <w:p>
      <w:pPr>
        <w:pStyle w:val="Heading1"/>
      </w:pPr>
      <w:r>
        <w:t>분석 수치 근거 정리</w:t>
      </w:r>
    </w:p>
    <w:p>
      <w:pPr>
        <w:ind w:left="567"/>
      </w:pPr>
      <w:r>
        <w:rPr>
          <w:i/>
          <w:color w:val="505050"/>
        </w:rPr>
        <w:t xml:space="preserve">기준: 서울시 423개 행정동 × 2020~2024년 / KT 생활이동 데이터  </w:t>
      </w:r>
    </w:p>
    <w:p>
      <w:pPr>
        <w:ind w:left="567"/>
      </w:pPr>
      <w:r>
        <w:rPr>
          <w:i/>
          <w:color w:val="505050"/>
        </w:rPr>
        <w:t xml:space="preserve">모든 수치는 </w:t>
      </w:r>
      <w:r>
        <w:rPr>
          <w:rFonts w:ascii="Courier New" w:hAnsi="Courier New"/>
          <w:i/>
          <w:color w:val="505050"/>
          <w:sz w:val="17"/>
        </w:rPr>
        <w:t>report/data/</w:t>
      </w:r>
      <w:r>
        <w:rPr>
          <w:i/>
          <w:color w:val="505050"/>
        </w:rPr>
        <w:t xml:space="preserve"> 파일 기반으로 직접 산출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§0. 레퍼런스 재선정 — 기준 변경 이력 (2026-05-26)</w:t>
      </w:r>
    </w:p>
    <w:p>
      <w:pPr>
        <w:pStyle w:val="Heading3"/>
      </w:pPr>
      <w:r>
        <w:t>0-1. 기존 16개의 문제 진단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문제</w:t>
            </w:r>
          </w:p>
        </w:tc>
        <w:tc>
          <w:tcPr>
            <w:tcW w:type="dxa" w:w="453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오피스형 혼입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16개 중 7개가 주말집중도 &lt; 0.80 (오피스형)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대표 오피스형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역삼1동(0.652), 구로3동(0.640), 삼성1동(0.762) 등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원인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오피스 직장인의 점심 소비(FB식사 30%)가 업종점수·2030비중을 끌어올려 기준 충족 → 여가형 트렌드 패턴과 무관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핵심 발견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b/>
              </w:rPr>
              <w:t>업종점수만으로는 오피스형/상권형 구분 불가</w:t>
            </w:r>
            <w:r>
              <w:t xml:space="preserve"> — 트렌드매출_비중이 구분 지표로 유효</w:t>
            </w:r>
          </w:p>
        </w:tc>
      </w:tr>
    </w:tbl>
    <w:p/>
    <w:p>
      <w:r>
        <w:rPr>
          <w:b/>
        </w:rPr>
        <w:t>구역유형별 트렌드매출_비중 패턴 (기대 방향 일치)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구역 유형</w:t>
            </w:r>
          </w:p>
        </w:tc>
        <w:tc>
          <w:tcPr>
            <w:tcW w:type="dxa" w:w="453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트렌드매출_비중 순서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오피스형 &lt; 혼합형 &lt; 주거형 &lt; 상권형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순차적 상승 확인</w:t>
            </w:r>
          </w:p>
        </w:tc>
      </w:tr>
    </w:tbl>
    <w:p/>
    <w:p>
      <w:pPr>
        <w:pStyle w:val="Heading3"/>
      </w:pPr>
      <w:r>
        <w:t>0-2. 새 레퍼런스 선정 기준 (확정)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조건</w:t>
            </w:r>
          </w:p>
        </w:tc>
        <w:tc>
          <w:tcPr>
            <w:tcW w:type="dxa" w:w="302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기준값</w:t>
            </w:r>
          </w:p>
        </w:tc>
        <w:tc>
          <w:tcPr>
            <w:tcW w:type="dxa" w:w="302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목적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S1: 업종점수 전환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≥ 0.50 (2020 미충족 → 이후 충족)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트렌드 업종 매출 비중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S2: 2030비중 전환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≥ 0.35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세대 소비 집중도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Gate: 주말집중도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≥ 0.80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오피스형 제거 (혼합·주거·상권형만)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여가형 검증: 트렌드매출_비중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≥ 0.30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금야간+주말 소비 비중 확인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대학가 제외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신촌동·대학동·휘경1동·상계2동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이미 자리잡은 학생 소비 상권 — 여가형 트렌드 상권과 성격 다름</w:t>
            </w:r>
          </w:p>
        </w:tc>
      </w:tr>
    </w:tbl>
    <w:p/>
    <w:p>
      <w:pPr>
        <w:pStyle w:val="Heading3"/>
      </w:pPr>
      <w:r>
        <w:t>0-3. 신규 레퍼런스 최종 4개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행정동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구역유형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주말집중도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전환연도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트렌드매출_비중(2024)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업종점수(2024)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2030비중(2024)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방배2동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혼합형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0.937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2021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0.355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0.679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0.329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청운효자동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주거형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0.975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2021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0.312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0.593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0.367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합정동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주거형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0.993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2021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0.327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0.524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0.414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성수2가1동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혼합형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0.921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2022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0.337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0.603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0.411</w:t>
            </w:r>
          </w:p>
        </w:tc>
      </w:tr>
    </w:tbl>
    <w:p/>
    <w:p>
      <w:pPr>
        <w:pStyle w:val="ListBullet"/>
      </w:pPr>
      <w:r>
        <w:t>기존 16개 대비 교집합: 4개 (전원 기존 레퍼런스 내 포함)</w:t>
      </w:r>
    </w:p>
    <w:p>
      <w:pPr>
        <w:pStyle w:val="ListBullet"/>
      </w:pPr>
      <w:r>
        <w:t>제거 사유별 분류: 오피스형 7개, 주말집중도 미측정·대학가 제외 5개</w:t>
      </w:r>
    </w:p>
    <w:p>
      <w:pPr>
        <w:ind w:left="567"/>
      </w:pPr>
      <w:r>
        <w:rPr>
          <w:b/>
          <w:i/>
          <w:color w:val="505050"/>
        </w:rPr>
        <w:t>이후 모든 분석은 이 4개 동을 레퍼런스 기준으로 사용한다.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§0-b. QoQ 선행-후행 분석 결과 (2026-05-26, analysis_qoq_lead_lag.py)</w:t>
      </w:r>
    </w:p>
    <w:p>
      <w:pPr>
        <w:ind w:left="567"/>
      </w:pPr>
      <w:r>
        <w:rPr>
          <w:i/>
          <w:color w:val="505050"/>
        </w:rPr>
        <w:t xml:space="preserve">기준: 신규 레퍼런스 4개 / 궤적 유사도 후보(9개) / 이동선행 사분면 후보(10개) / 서울전체(423개)  </w:t>
      </w:r>
    </w:p>
    <w:p>
      <w:pPr>
        <w:ind w:left="567"/>
      </w:pPr>
      <w:r>
        <w:rPr>
          <w:i/>
          <w:color w:val="505050"/>
        </w:rPr>
        <w:t>방법: 분기 연속 시계열(2020Q1=1 ~ 2024Q4=20), 교차상관(CCF) lag -2 ~ +2</w:t>
      </w:r>
    </w:p>
    <w:p>
      <w:pPr>
        <w:pStyle w:val="Heading3"/>
      </w:pPr>
      <w:r>
        <w:t>QoQ 변화량 기준 CCF (Δ이동(t) vs Δ소비(t+lag))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그룹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lag-2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lag-1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lag0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lag+1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lag+2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rPr>
                <w:b/>
              </w:rPr>
              <w:t>레퍼런스 신규(4)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+0.222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+0.031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rPr>
                <w:b/>
              </w:rPr>
              <w:t>+0.228</w:t>
            </w:r>
            <w:r>
              <w:t>*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-0.084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+0.015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t>궤적 유사도 후보(9)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+0.076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-0.295***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rPr>
                <w:b/>
              </w:rPr>
              <w:t>+0.221</w:t>
            </w:r>
            <w:r>
              <w:rPr>
                <w:b/>
              </w:rPr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+0.006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+0.088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t>이동선행 사분면 후보(10)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-0.014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-0.015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rPr>
                <w:b/>
              </w:rPr>
              <w:t>+0.078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-0.030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+0.027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t>서울 전체(423)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+0.057***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-0.120***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rPr>
                <w:b/>
              </w:rPr>
              <w:t>+0.160</w:t>
            </w:r>
            <w:r>
              <w:rPr>
                <w:b/>
              </w:rPr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-0.022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+0.036**</w:t>
            </w:r>
          </w:p>
        </w:tc>
      </w:tr>
    </w:tbl>
    <w:p/>
    <w:p>
      <w:pPr>
        <w:pStyle w:val="Heading3"/>
      </w:pPr>
      <w:r>
        <w:t>수준값 기준 CCF (이동비율(t) vs 소비비중(t+lag))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그룹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lag-2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lag-1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lag0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lag+1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lag+2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방향 해석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레퍼런스 신규(4)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+0.677</w:t>
            </w:r>
            <w:r>
              <w:t>*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+0.661***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+0.639***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+0.587***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+0.540***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감소 → 소비 수준 선행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궤적 유사도 후보(9)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+0.466***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+0.453***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+0.480***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+0.482***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+0.482***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평탄 — 전환 진행 중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이동선행 사분면 후보(10)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-0.247***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-0.252***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-0.264</w:t>
            </w:r>
            <w:r>
              <w:t>*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-0.257***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-0.246***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음수 일관 — 이동↑ 소비↓</w:t>
            </w:r>
          </w:p>
        </w:tc>
      </w:tr>
    </w:tbl>
    <w:p/>
    <w:p>
      <w:pPr>
        <w:pStyle w:val="Heading3"/>
      </w:pPr>
      <w:r>
        <w:t>핵심 해석</w:t>
      </w:r>
    </w:p>
    <w:p>
      <w:pPr>
        <w:pStyle w:val="ListNumber"/>
      </w:pPr>
      <w:r>
        <w:rPr>
          <w:b/>
        </w:rPr>
        <w:t>이동선행 사분면 후보 수준값 CCF 음수 일관 (-0.25~-0.26)</w:t>
      </w:r>
      <w:r>
        <w:t xml:space="preserve">: 이동 비율은 높지만 소비비중은 낮음 → </w:t>
      </w:r>
      <w:r>
        <w:rPr>
          <w:b/>
        </w:rPr>
        <w:t>"이동 선행, 소비 미전환" 상태 정량 확인</w:t>
      </w:r>
      <w:r>
        <w:t>. 가설 H1의 초기 단계 증거.</w:t>
      </w:r>
    </w:p>
    <w:p>
      <w:pPr>
        <w:pStyle w:val="ListNumber"/>
      </w:pPr>
      <w:r>
        <w:rPr>
          <w:b/>
        </w:rPr>
        <w:t>레퍼런스 신규(4) 수준값 CCF 감소 패턴 (lag-2 최고 → lag+2 최저)</w:t>
      </w:r>
      <w:r>
        <w:t xml:space="preserve">: 소비 수준이 이동보다 먼저 확립된 지역. 여가형 소비 상권이 형성된 후 이동인구가 따라오는 구조 → </w:t>
      </w:r>
      <w:r>
        <w:rPr>
          <w:b/>
        </w:rPr>
        <w:t>성숙 레퍼런스의 안정적 소비-이동 동행</w:t>
      </w:r>
      <w:r>
        <w:t>.</w:t>
      </w:r>
    </w:p>
    <w:p>
      <w:pPr>
        <w:pStyle w:val="ListNumber"/>
      </w:pPr>
      <w:r>
        <w:rPr>
          <w:b/>
        </w:rPr>
        <w:t>변화량 기준 lag0 지배</w:t>
      </w:r>
      <w:r>
        <w:t xml:space="preserve">: 분기 단위 급등은 이동·소비가 동시에 움직임. 단기(1분기) 선행 효과는 관찰되지 않음 → </w:t>
      </w:r>
      <w:r>
        <w:rPr>
          <w:b/>
        </w:rPr>
        <w:t>선행 효과는 분기 변화량이 아닌 수준(level) 지속성으로 작동</w:t>
      </w:r>
      <w:r>
        <w:t>.</w:t>
      </w:r>
    </w:p>
    <w:p>
      <w:pPr>
        <w:pStyle w:val="ListNumber"/>
      </w:pPr>
      <w:r>
        <w:rPr>
          <w:b/>
        </w:rPr>
        <w:t>궤적 유사도 후보 lag-1 강한 음수 (-0.295</w:t>
      </w:r>
      <w:r>
        <w:rPr>
          <w:i/>
        </w:rPr>
        <w:t>)</w:t>
      </w:r>
      <w:r>
        <w:rPr>
          <w:i/>
        </w:rPr>
        <w:t>: 직전 분기 이동 상승 후 소비가 조정되는 패턴 → 전환 과정 중 단기 변동성. lag0 양수(+0.221</w:t>
      </w:r>
      <w:r>
        <w:t>*)와 함께 "전환 진행 중" 단계 특성.</w:t>
      </w:r>
    </w:p>
    <w:p>
      <w:pPr>
        <w:ind w:left="567"/>
      </w:pPr>
      <w:r>
        <w:rPr>
          <w:i/>
          <w:color w:val="505050"/>
        </w:rPr>
        <w:t xml:space="preserve">출력 이미지: </w:t>
      </w:r>
      <w:r>
        <w:rPr>
          <w:rFonts w:ascii="Courier New" w:hAnsi="Courier New"/>
          <w:i/>
          <w:color w:val="505050"/>
          <w:sz w:val="17"/>
        </w:rPr>
        <w:t>image/qoq_01~05_*.png</w:t>
      </w:r>
      <w:r>
        <w:rPr>
          <w:i/>
          <w:color w:val="505050"/>
        </w:rPr>
        <w:t xml:space="preserve"> (5종)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§1. 차세대 상권 재선정 (2026-05-26, analysis_candidate_reselect.py)</w:t>
      </w:r>
    </w:p>
    <w:p>
      <w:pPr>
        <w:ind w:left="567"/>
      </w:pPr>
      <w:r>
        <w:rPr>
          <w:i/>
          <w:color w:val="505050"/>
        </w:rPr>
        <w:t xml:space="preserve">기준: 신규 레퍼런스 4개 (방배2동·청운효자동·합정동·성수2가1동)  </w:t>
      </w:r>
    </w:p>
    <w:p>
      <w:pPr>
        <w:ind w:left="567"/>
      </w:pPr>
      <w:r>
        <w:rPr>
          <w:i/>
          <w:color w:val="505050"/>
        </w:rPr>
        <w:t>제외: 레퍼런스 4개 / 2020년 이미 성숙 상권(35개) / 대학가(신촌동·대학동·휘경1동·상계2동·회기동)</w:t>
      </w:r>
    </w:p>
    <w:p>
      <w:pPr>
        <w:pStyle w:val="Heading3"/>
      </w:pPr>
      <w:r>
        <w:t>1-1. 궤적 유사도 분석 — 레퍼런스 궤적 코사인 유사도 TOP15</w:t>
      </w:r>
    </w:p>
    <w:p>
      <w:r>
        <w:rPr>
          <w:b/>
        </w:rPr>
        <w:t>방법</w:t>
      </w:r>
      <w:r>
        <w:t>: 업종점수·트렌드매출_비중·복합점수_분위 × 5년(2020~2024)로 구성된 15차원 벡터를 z-score 정규화 후, 레퍼런스 4개 평균 벡터와의 코사인 유사도 산출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행정동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유사도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업종점수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트렌드매출_비중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2030비중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복합점수_분위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구역유형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숭인2동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0.944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0.547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0.332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0.241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0.856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주거형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가락본동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0.934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0.529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0.296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0.243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0.780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혼합형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창4동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0.934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0.579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0.343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0.213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0.936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주거형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신당5동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0.930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0.546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0.334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0.261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0.898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주거형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석관동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0.929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0.558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0.345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0.242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0.905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주거형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마장동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0.928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0.542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0.290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0.219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0.785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주거형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동화동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0.917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0.672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0.339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0.294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0.858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주거형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역촌동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0.915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0.519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0.300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0.223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0.787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주거형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공릉1동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0.914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0.486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0.320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0.234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0.742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주거형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장위1동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0.910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0.527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0.356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0.254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0.913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주거형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정릉3동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0.902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0.615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0.314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0.273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0.868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혼합형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청파동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0.901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0.508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0.289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0.319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0.638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주거형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오류1동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0.898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0.474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0.316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0.311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0.783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주거형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장충동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0.894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0.727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0.323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0.240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0.896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혼합형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염리동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0.894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0.591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0.313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0.278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0.884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혼합형</w:t>
            </w:r>
          </w:p>
        </w:tc>
      </w:tr>
    </w:tbl>
    <w:p/>
    <w:p>
      <w:pPr>
        <w:pStyle w:val="Heading3"/>
      </w:pPr>
      <w:r>
        <w:t>1-2. 이동-소비 사분면 분석 — 20대 이동 선행·소비 미전환 2사분면 (15개)</w:t>
      </w:r>
    </w:p>
    <w:p>
      <w:r>
        <w:rPr>
          <w:b/>
        </w:rPr>
        <w:t>방법</w:t>
      </w:r>
      <w:r>
        <w:t>: 20대 이동성장세점수 &gt; 0 × 매출활성도점수 &lt; 0 (2사분면) | Gate: 주말집중도 ≥ 0.80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행정동</w:t>
            </w:r>
          </w:p>
        </w:tc>
        <w:tc>
          <w:tcPr>
            <w:tcW w:type="dxa" w:w="113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이동성장세</w:t>
            </w:r>
          </w:p>
        </w:tc>
        <w:tc>
          <w:tcPr>
            <w:tcW w:type="dxa" w:w="113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매출활성도</w:t>
            </w:r>
          </w:p>
        </w:tc>
        <w:tc>
          <w:tcPr>
            <w:tcW w:type="dxa" w:w="113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업종점수</w:t>
            </w:r>
          </w:p>
        </w:tc>
        <w:tc>
          <w:tcPr>
            <w:tcW w:type="dxa" w:w="113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트렌드매출_비중</w:t>
            </w:r>
          </w:p>
        </w:tc>
        <w:tc>
          <w:tcPr>
            <w:tcW w:type="dxa" w:w="113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2030비중</w:t>
            </w:r>
          </w:p>
        </w:tc>
        <w:tc>
          <w:tcPr>
            <w:tcW w:type="dxa" w:w="113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복합점수_분위</w:t>
            </w:r>
          </w:p>
        </w:tc>
        <w:tc>
          <w:tcPr>
            <w:tcW w:type="dxa" w:w="113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구역유형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t>이촌2동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b/>
              </w:rPr>
              <w:t>1.738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-0.426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0.140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0.175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0.137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0.319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상권형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b/>
              </w:rPr>
              <w:t>신당5동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1.174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-0.045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0.546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0.334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0.261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0.898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주거형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t>오륜동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1.123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-0.030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0.902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0.438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0.296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0.979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상권형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t>황학동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0.807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-0.194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0.337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0.301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0.240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0.508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주거형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t>반포본동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0.718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-0.559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0.614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0.235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0.103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0.697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혼합형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b/>
              </w:rPr>
              <w:t>숭인2동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0.661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-0.039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0.547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0.332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0.241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0.856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주거형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t>성산2동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0.541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-0.084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0.395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0.300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0.252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0.378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상권형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t>잠실2동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0.493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-0.151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0.173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0.304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0.208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0.284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주거형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t>숭인1동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0.390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-0.284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0.381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0.313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0.237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0.567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주거형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t>삼성동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0.286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-0.423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0.212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0.295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0.145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0.215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주거형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t>보문동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0.155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-0.076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0.434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0.306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0.257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0.733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주거형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t>가양2동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0.102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-0.259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0.179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0.231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0.290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0.071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주거형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t>중곡1동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0.088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-0.103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0.282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0.308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0.241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0.260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주거형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t>월계2동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0.040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-0.249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0.274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0.222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0.150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0.064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주거형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t>창신1동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0.001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-0.171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0.213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0.277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0.197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0.102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혼합형</w:t>
            </w:r>
          </w:p>
        </w:tc>
      </w:tr>
    </w:tbl>
    <w:p/>
    <w:p>
      <w:pPr>
        <w:pStyle w:val="Heading3"/>
      </w:pPr>
      <w:r>
        <w:t>1-3. Tier 분류 (총 28개)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Tier</w:t>
            </w:r>
          </w:p>
        </w:tc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동 수</w:t>
            </w:r>
          </w:p>
        </w:tc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동 목록</w:t>
            </w:r>
          </w:p>
        </w:tc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특성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Tier1</w:t>
            </w:r>
            <w:r>
              <w:t xml:space="preserve"> 교집합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2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숭인2동, 신당5동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업종 전환 + 이동 모멘텀 동시 확인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Tier2</w:t>
            </w:r>
            <w:r>
              <w:t xml:space="preserve"> 업종전환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13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가락본동, 공릉1동, 동화동, 마장동, 석관동, 역촌동, 염리동, 오류1동, 장위1동, 장충동, 정릉3동, 창4동, 청파동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레퍼런스 궤적 유사, 이동 모멘텀 아직 약함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Tier3</w:t>
            </w:r>
            <w:r>
              <w:t xml:space="preserve"> 이동선행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13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가양2동, 반포본동, 보문동, 삼성동, 성산2동, 숭인1동, 오륜동, 월계2동, 이촌2동, 잠실2동, 중곡1동, 창신1동, 황학동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20대 이동 성장 중, 소비 전환 미완료</w:t>
            </w:r>
          </w:p>
        </w:tc>
      </w:tr>
    </w:tbl>
    <w:p/>
    <w:p>
      <w:pPr>
        <w:pStyle w:val="Heading3"/>
      </w:pPr>
      <w:r>
        <w:t>1-4. 그룹별 평균 지표 비교 (2024)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그룹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업종점수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트렌드매출_비중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2030비중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복합점수_분위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단계 해석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t>서울 전체(423)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0.407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0.291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0.241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0.501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기준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rPr>
                <w:b/>
              </w:rPr>
              <w:t>Tier3</w:t>
            </w:r>
            <w:r>
              <w:t xml:space="preserve"> 이동선행(13)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0.349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0.285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0.212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0.398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이동 시작, 소비 미전환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rPr>
                <w:b/>
              </w:rPr>
              <w:t>Tier2</w:t>
            </w:r>
            <w:r>
              <w:t xml:space="preserve"> 업종전환(13)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0.564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0.319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0.257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0.829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업종 성숙, 이동 미확인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rPr>
                <w:b/>
              </w:rPr>
              <w:t>Tier1</w:t>
            </w:r>
            <w:r>
              <w:t xml:space="preserve"> 교집합(2)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0.547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0.333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0.251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0.877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전환 가장 진행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t>레퍼런스 신규(4)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0.600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0.333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0.380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0.889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전환 완료 기준</w:t>
            </w:r>
          </w:p>
        </w:tc>
      </w:tr>
    </w:tbl>
    <w:p/>
    <w:p>
      <w:pPr>
        <w:pStyle w:val="Heading3"/>
      </w:pPr>
      <w:r>
        <w:t>1-5. 핵심 해석</w:t>
      </w:r>
    </w:p>
    <w:p>
      <w:pPr>
        <w:pStyle w:val="ListNumber"/>
      </w:pPr>
      <w:r>
        <w:rPr>
          <w:b/>
        </w:rPr>
        <w:t>Tier1 (숭인2동·신당5동)</w:t>
      </w:r>
      <w:r>
        <w:t>: 업종점수(0.547)·복합점수분위(0.877) 모두 레퍼런스(0.600/0.889)에 근접. 이동성장세도 상위 2위권. 가장 근접한 차세대 1순위.</w:t>
      </w:r>
    </w:p>
    <w:p>
      <w:pPr>
        <w:pStyle w:val="ListNumber"/>
      </w:pPr>
      <w:r>
        <w:rPr>
          <w:b/>
        </w:rPr>
        <w:t>Tier2 업종전환 주거형 편중</w:t>
      </w:r>
      <w:r>
        <w:t>: 13개 중 9개가 주거형 → 생활권 기반 업종 성숙이 레퍼런스 궤적과 구조적으로 유사. 복합분위 0.829로 이미 서울 상위 17%.</w:t>
      </w:r>
    </w:p>
    <w:p>
      <w:pPr>
        <w:pStyle w:val="ListNumber"/>
      </w:pPr>
      <w:r>
        <w:rPr>
          <w:b/>
        </w:rPr>
        <w:t>Tier3 20대 이동 선행 단계</w:t>
      </w:r>
      <w:r>
        <w:t>: 업종점수 0.349(서울 평균 이하), 복합분위 0.398 — 상권 성숙 전 단계. 이촌2동(이동성장세 1.738)이 가장 강한 이동 모멘텀.</w:t>
      </w:r>
    </w:p>
    <w:p>
      <w:pPr>
        <w:pStyle w:val="ListNumber"/>
      </w:pPr>
      <w:r>
        <w:rPr>
          <w:b/>
        </w:rPr>
        <w:t>Tier1 2030비중(0.251) &lt; 레퍼런스(0.380)</w:t>
      </w:r>
      <w:r>
        <w:t>: 업종·이동은 레퍼런스 수준이나 2030 소비 집중도는 아직 낮음 → "아직 발견 전" 상태임을 시사하는 핵심 신호.</w:t>
      </w:r>
    </w:p>
    <w:p>
      <w:pPr>
        <w:ind w:left="567"/>
      </w:pPr>
      <w:r>
        <w:rPr>
          <w:i/>
          <w:color w:val="505050"/>
        </w:rPr>
        <w:t xml:space="preserve">저장: </w:t>
      </w:r>
      <w:r>
        <w:rPr>
          <w:rFonts w:ascii="Courier New" w:hAnsi="Courier New"/>
          <w:i/>
          <w:color w:val="505050"/>
          <w:sz w:val="17"/>
        </w:rPr>
        <w:t>data/main_data/trend_candidates_v3.csv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§2. 가설 근거 수치 자료 (2026-05-26, analysis_evidence_tables.py)</w:t>
      </w:r>
    </w:p>
    <w:p>
      <w:pPr>
        <w:ind w:left="567"/>
      </w:pPr>
      <w:r>
        <w:rPr>
          <w:i/>
          <w:color w:val="505050"/>
        </w:rPr>
        <w:t xml:space="preserve">가설: </w:t>
      </w:r>
      <w:r>
        <w:rPr>
          <w:b/>
          <w:i/>
          <w:color w:val="505050"/>
        </w:rPr>
        <w:t>"20대가 먼저 이동하는 곳이 다음 트렌드 상권이 된다"</w:t>
      </w:r>
      <w:r>
        <w:rPr>
          <w:i/>
          <w:color w:val="505050"/>
        </w:rPr>
        <w:t xml:space="preserve">  </w:t>
      </w:r>
    </w:p>
    <w:p>
      <w:pPr>
        <w:ind w:left="567"/>
      </w:pPr>
      <w:r>
        <w:rPr>
          <w:i/>
          <w:color w:val="505050"/>
        </w:rPr>
        <w:t>출처: 서울시 423개 행정동 × 2020~2024 / KT 생활이동 데이터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§2-1. 행정동 구역유형 분류 — 주말집중도 기준 유효성 확인</w:t>
      </w:r>
    </w:p>
    <w:p>
      <w:pPr>
        <w:ind w:left="567"/>
      </w:pPr>
      <w:r>
        <w:rPr>
          <w:i/>
          <w:color w:val="505050"/>
        </w:rPr>
        <w:t xml:space="preserve">분류 기준: </w:t>
      </w:r>
      <w:r>
        <w:rPr>
          <w:b/>
          <w:i/>
          <w:color w:val="505050"/>
        </w:rPr>
        <w:t>주말집중도 = 주말평균생활인구 / 평일평균생활인구</w:t>
      </w:r>
      <w:r>
        <w:rPr>
          <w:i/>
          <w:color w:val="505050"/>
        </w:rPr>
        <w:t xml:space="preserve"> (KT 생활이동 2020~2024 평균)</w:t>
      </w:r>
    </w:p>
    <w:p>
      <w:pPr>
        <w:pStyle w:val="Heading4"/>
      </w:pPr>
      <w:r>
        <w:t>분류 임계값 및 분포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구역유형</w:t>
            </w:r>
          </w:p>
        </w:tc>
        <w:tc>
          <w:tcPr>
            <w:tcW w:type="dxa" w:w="113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임계값</w:t>
            </w:r>
          </w:p>
        </w:tc>
        <w:tc>
          <w:tcPr>
            <w:tcW w:type="dxa" w:w="113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동 수</w:t>
            </w:r>
          </w:p>
        </w:tc>
        <w:tc>
          <w:tcPr>
            <w:tcW w:type="dxa" w:w="113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최솟값</w:t>
            </w:r>
          </w:p>
        </w:tc>
        <w:tc>
          <w:tcPr>
            <w:tcW w:type="dxa" w:w="113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최댓값</w:t>
            </w:r>
          </w:p>
        </w:tc>
        <w:tc>
          <w:tcPr>
            <w:tcW w:type="dxa" w:w="113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평균</w:t>
            </w:r>
          </w:p>
        </w:tc>
        <w:tc>
          <w:tcPr>
            <w:tcW w:type="dxa" w:w="113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표준편차</w:t>
            </w:r>
          </w:p>
        </w:tc>
        <w:tc>
          <w:tcPr>
            <w:tcW w:type="dxa" w:w="113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대표 동 예시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b/>
              </w:rPr>
              <w:t>오피스형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&lt; 0.80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b/>
              </w:rPr>
              <w:t>30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0.443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0.797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b/>
              </w:rPr>
              <w:t>0.691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0.095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소공동(0.443), 역삼1동(0.652)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t>혼합형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0.80~0.95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66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0.801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0.946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b/>
              </w:rPr>
              <w:t>0.898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0.044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서초1동(0.801), 방배2동(0.937)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t>주거형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0.95~1.10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b/>
              </w:rPr>
              <w:t>309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0.957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1.100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b/>
              </w:rPr>
              <w:t>1.033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0.034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청운효자동(0.975), 합정동(0.993)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t>상권형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&gt; 1.10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11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1.100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1.225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b/>
              </w:rPr>
              <w:t>1.126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0.040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이태원1동(1.225), 오륜동(1.164)</w:t>
            </w:r>
          </w:p>
        </w:tc>
      </w:tr>
    </w:tbl>
    <w:p/>
    <w:p>
      <w:pPr>
        <w:ind w:left="567"/>
      </w:pPr>
      <w:r>
        <w:rPr>
          <w:i/>
          <w:color w:val="505050"/>
        </w:rPr>
        <w:t>표준편차가 작을수록 유형 내 동질성이 높다. 주거형(σ=0.034)이 전체의 73%를 차지하며 가장 균일.</w:t>
      </w:r>
    </w:p>
    <w:p>
      <w:pPr>
        <w:pStyle w:val="Heading4"/>
      </w:pPr>
      <w:r>
        <w:t>구역유형별 소비 지표 비교 (2024, 423개 동 평균)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구역유형</w:t>
            </w:r>
          </w:p>
        </w:tc>
        <w:tc>
          <w:tcPr>
            <w:tcW w:type="dxa" w:w="113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동 수</w:t>
            </w:r>
          </w:p>
        </w:tc>
        <w:tc>
          <w:tcPr>
            <w:tcW w:type="dxa" w:w="113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주말집중도</w:t>
            </w:r>
          </w:p>
        </w:tc>
        <w:tc>
          <w:tcPr>
            <w:tcW w:type="dxa" w:w="113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업종점수</w:t>
            </w:r>
          </w:p>
        </w:tc>
        <w:tc>
          <w:tcPr>
            <w:tcW w:type="dxa" w:w="113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트렌드매출_비중</w:t>
            </w:r>
          </w:p>
        </w:tc>
        <w:tc>
          <w:tcPr>
            <w:tcW w:type="dxa" w:w="113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2030비중</w:t>
            </w:r>
          </w:p>
        </w:tc>
        <w:tc>
          <w:tcPr>
            <w:tcW w:type="dxa" w:w="113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금요효과</w:t>
            </w:r>
          </w:p>
        </w:tc>
        <w:tc>
          <w:tcPr>
            <w:tcW w:type="dxa" w:w="113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기준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b/>
              </w:rPr>
              <w:t>오피스형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30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0.691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b/>
              </w:rPr>
              <w:t>0.580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0.256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0.302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1.063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&lt; 0.80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t>혼합형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66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0.898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0.458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0.264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0.278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1.096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0.80~0.95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t>주거형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309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1.033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0.377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0.299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0.226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1.132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0.95~1.10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t>상권형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11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1.126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0.480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0.344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0.289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1.201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&gt; 1.10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t>서울 전체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423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0.989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0.407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0.291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0.241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1.122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기준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b/>
              </w:rPr>
              <w:t>레퍼런스(4)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4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0.957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b/>
              </w:rPr>
              <w:t>0.600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b/>
              </w:rPr>
              <w:t>0.333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b/>
              </w:rPr>
              <w:t>0.380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b/>
              </w:rPr>
              <w:t>1.267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t>4개 동</w:t>
            </w:r>
          </w:p>
        </w:tc>
      </w:tr>
    </w:tbl>
    <w:p/>
    <w:p>
      <w:r>
        <w:rPr>
          <w:b/>
        </w:rPr>
        <w:t>근거로 유효한 관찰</w:t>
      </w:r>
      <w:r>
        <w:t>:</w:t>
      </w:r>
    </w:p>
    <w:p>
      <w:pPr>
        <w:pStyle w:val="ListBullet"/>
      </w:pPr>
      <w:r>
        <w:t xml:space="preserve">오피스형은 업종점수(0.580)가 가장 높지만 트렌드매출_비중(0.256)은 최저 → </w:t>
      </w:r>
      <w:r>
        <w:rPr>
          <w:b/>
        </w:rPr>
        <w:t>업종점수 단독으로는 트렌드 상권 구분 불가, 주말집중도 게이트가 필요함을 수치로 증명</w:t>
      </w:r>
    </w:p>
    <w:p>
      <w:pPr>
        <w:pStyle w:val="ListBullet"/>
      </w:pPr>
      <w:r>
        <w:t>레퍼런스는 2030비중(0.380)과 금요효과(1.267) 모두 서울 최고 → 여가형 소비 상권의 다차원 특성 확인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§2-2. 구역유형별 소비 업종 비중 — 오피스형 왜곡 근거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구역유형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FB카페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FB식사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주류·유흥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라이프스타일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업종점수 합계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rPr>
                <w:b/>
              </w:rPr>
              <w:t>오피스형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6.8%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rPr>
                <w:b/>
              </w:rPr>
              <w:t>32.3%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4.3%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14.6%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58.0%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t>혼합형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5.2%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24.5%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3.4%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12.7%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45.8%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t>주거형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3.8%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21.6%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3.5%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8.8%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37.7%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t>상권형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4.8%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23.3%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4.4%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15.5%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48.0%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t>서울 전체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4.3%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22.8%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3.6%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10.0%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40.7%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rPr>
                <w:b/>
              </w:rPr>
              <w:t>레퍼런스(4)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rPr>
                <w:b/>
              </w:rPr>
              <w:t>10.5%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31.2%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rPr>
                <w:b/>
              </w:rPr>
              <w:t>5.2%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13.1%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rPr>
                <w:b/>
              </w:rPr>
              <w:t>60.0%</w:t>
            </w:r>
          </w:p>
        </w:tc>
      </w:tr>
    </w:tbl>
    <w:p/>
    <w:p>
      <w:r>
        <w:rPr>
          <w:b/>
        </w:rPr>
        <w:t>근거로 유효한 관찰</w:t>
      </w:r>
      <w:r>
        <w:t>:</w:t>
      </w:r>
    </w:p>
    <w:p>
      <w:pPr>
        <w:pStyle w:val="ListBullet"/>
      </w:pPr>
      <w:r>
        <w:t xml:space="preserve">오피스형 FB식사 32.3% = 직장인 점심 소비. 이 수치가 업종점수를 58.0%까지 끌어올림 → </w:t>
      </w:r>
      <w:r>
        <w:rPr>
          <w:b/>
        </w:rPr>
        <w:t>기존 레퍼런스 16개에 오피스형이 혼입된 원인의 수치적 증거</w:t>
      </w:r>
    </w:p>
    <w:p>
      <w:pPr>
        <w:pStyle w:val="ListBullet"/>
      </w:pPr>
      <w:r>
        <w:t>레퍼런스는 FB카페 10.5%(오피스 6.8%의 1.5배) · 주류유흥 5.2%(오피스 4.3%의 1.2배) → 저녁·주말 여가 소비 구조가 오피스형과 질적으로 다름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§2-3. 레퍼런스 상권 전환 케이스 — 성수2가1동 (핵심 근거)</w:t>
      </w:r>
    </w:p>
    <w:p>
      <w:pPr>
        <w:ind w:left="567"/>
      </w:pPr>
      <w:r>
        <w:rPr>
          <w:i/>
          <w:color w:val="505050"/>
        </w:rPr>
        <w:t>가장 직접적으로 가설(이동 선행 → 소비 전환)을 보여주는 사례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연도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전체매출(억)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20대매출(억)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20대비중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업종점수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트렌드매출_비중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t>2020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2,159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320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14.8%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33.7%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24.8%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t>2021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2,212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318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14.4%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47.7%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24.3%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t>2022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3,322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723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21.8%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61.5%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31.5%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t>2023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3,331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797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23.9%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64.9%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34.8%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t>2024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3,218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604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18.8%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60.3%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33.7%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rPr>
                <w:b/>
              </w:rPr>
              <w:t>Δ 총계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rPr>
                <w:b/>
              </w:rPr>
              <w:t>+49.0%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rPr>
                <w:b/>
              </w:rPr>
              <w:t>+88.5%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+4.0%p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+26.6%p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+8.9%p</w:t>
            </w:r>
          </w:p>
        </w:tc>
      </w:tr>
    </w:tbl>
    <w:p/>
    <w:p>
      <w:r>
        <w:rPr>
          <w:b/>
        </w:rPr>
        <w:t>이동인구와의 시계열 대조</w:t>
      </w:r>
      <w:r>
        <w:t xml:space="preserve"> (KT 생활이동):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연도</w:t>
            </w:r>
          </w:p>
        </w:tc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20대 이동인구</w:t>
            </w:r>
          </w:p>
        </w:tc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20대 이동비율</w:t>
            </w:r>
          </w:p>
        </w:tc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→ 소비 지표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2020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13.1만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10.7%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업종점수 33.7%, 트렌드매출 24.8%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2021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17.5만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12.8%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이동 먼저 증가 시작</w:t>
            </w:r>
            <w:r>
              <w:t xml:space="preserve"> — 소비 지표는 미전환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2022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29.7만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17.4%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소비 전환 동반</w:t>
            </w:r>
            <w:r>
              <w:t>: 업종점수 61.5%, 트렌드매출 31.5%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2023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38.5만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23.5%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업종점수 64.9%, 트렌드매출 34.8% (전환 고착)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2024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44.1만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26.0%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업종점수 60.3%, 트렌드매출 33.7%</w:t>
            </w:r>
          </w:p>
        </w:tc>
      </w:tr>
    </w:tbl>
    <w:p/>
    <w:p>
      <w:pPr>
        <w:ind w:left="567"/>
      </w:pPr>
      <w:r>
        <w:rPr>
          <w:b/>
          <w:i/>
          <w:color w:val="505050"/>
        </w:rPr>
        <w:t>20대 이동이 2021년부터 증가 → 소비 지표(업종점수·트렌드매출_비중)는 2022년부터 급전환</w:t>
      </w:r>
      <w:r>
        <w:rPr>
          <w:i/>
          <w:color w:val="505050"/>
        </w:rPr>
        <w:t xml:space="preserve">  </w:t>
      </w:r>
    </w:p>
    <w:p>
      <w:pPr>
        <w:ind w:left="567"/>
      </w:pPr>
      <w:r>
        <w:rPr>
          <w:i/>
          <w:color w:val="505050"/>
        </w:rPr>
        <w:t>20대 매출 절대액: 320억 → 797억(+88.5%), 전체 성장(+49.0%)의 약 2배 → 20대가 성장을 이끈 주체</w:t>
      </w:r>
    </w:p>
    <w:p>
      <w:r>
        <w:rPr>
          <w:b/>
        </w:rPr>
        <w:t>다른 레퍼런스 동 비교 (2024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행정동</w:t>
            </w:r>
          </w:p>
        </w:tc>
        <w:tc>
          <w:tcPr>
            <w:tcW w:type="dxa" w:w="181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전체매출 Δ</w:t>
            </w:r>
          </w:p>
        </w:tc>
        <w:tc>
          <w:tcPr>
            <w:tcW w:type="dxa" w:w="181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20대매출 Δ</w:t>
            </w:r>
          </w:p>
        </w:tc>
        <w:tc>
          <w:tcPr>
            <w:tcW w:type="dxa" w:w="181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업종점수 Δ</w:t>
            </w:r>
          </w:p>
        </w:tc>
        <w:tc>
          <w:tcPr>
            <w:tcW w:type="dxa" w:w="181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트렌드매출 Δ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방배2동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+34.1%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+12.3%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+20.5%p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+1.5%p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청운효자동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+52.1%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+42.9%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+10.5%p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+5.2%p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성수2가1동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b/>
              </w:rPr>
              <w:t>+49.0%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b/>
              </w:rPr>
              <w:t>+88.5%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b/>
              </w:rPr>
              <w:t>+26.6%p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b/>
              </w:rPr>
              <w:t>+8.9%p</w:t>
            </w:r>
          </w:p>
        </w:tc>
      </w:tr>
    </w:tbl>
    <w:p/>
    <w:p>
      <w:pPr>
        <w:ind w:left="567"/>
      </w:pPr>
      <w:r>
        <w:rPr>
          <w:i/>
          <w:color w:val="505050"/>
        </w:rPr>
        <w:t>합정동은 2020년 이전에 전환이 완료된 상권으로 비교에서 제외 (이미 성숙기 진입 상태)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§2-4. 레퍼런스 4년 누적 성장률 — 서울 초과 성장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그룹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2021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2022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2023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2024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4년 누적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t>서울 전체(423)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+15.3%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+5.0%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+4.3%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-0.2%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+25.9%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t>오피스형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+14.3%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+7.8%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+4.3%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+0.0%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+28.6%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t>주거형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+17.7%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+5.9%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+4.9%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-0.1%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+30.6%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t>상권형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+15.5%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+14.2%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-1.4%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-1.0%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+28.7%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rPr>
                <w:b/>
              </w:rPr>
              <w:t>레퍼런스(4)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+1.1%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rPr>
                <w:b/>
              </w:rPr>
              <w:t>+27.4%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+2.6%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+2.5%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rPr>
                <w:b/>
              </w:rPr>
              <w:t>+35.4%</w:t>
            </w:r>
          </w:p>
        </w:tc>
      </w:tr>
    </w:tbl>
    <w:p/>
    <w:p>
      <w:pPr>
        <w:ind w:left="567"/>
      </w:pPr>
      <w:r>
        <w:rPr>
          <w:i/>
          <w:color w:val="505050"/>
        </w:rPr>
        <w:t xml:space="preserve">레퍼런스 4년 누적 </w:t>
      </w:r>
      <w:r>
        <w:rPr>
          <w:b/>
          <w:i/>
          <w:color w:val="505050"/>
        </w:rPr>
        <w:t>+35.4%</w:t>
      </w:r>
      <w:r>
        <w:rPr>
          <w:i/>
          <w:color w:val="505050"/>
        </w:rPr>
        <w:t xml:space="preserve"> vs 서울 전체 +25.9% → </w:t>
      </w:r>
      <w:r>
        <w:rPr>
          <w:b/>
          <w:i/>
          <w:color w:val="505050"/>
        </w:rPr>
        <w:t>+9.5%p 초과 성장</w:t>
      </w:r>
      <w:r>
        <w:rPr>
          <w:i/>
          <w:color w:val="505050"/>
        </w:rPr>
        <w:t xml:space="preserve">  </w:t>
      </w:r>
    </w:p>
    <w:p>
      <w:pPr>
        <w:ind w:left="567"/>
      </w:pPr>
      <w:r>
        <w:rPr>
          <w:i/>
          <w:color w:val="505050"/>
        </w:rPr>
        <w:t>2022년 +27.4% 급성장은 성수2가1동 전환 효과가 주도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§2-5. 20대 이동인구 변화 — 레퍼런스 vs 차세대 후보 비교</w:t>
      </w:r>
    </w:p>
    <w:p>
      <w:pPr>
        <w:ind w:left="567"/>
      </w:pPr>
      <w:r>
        <w:rPr>
          <w:i/>
          <w:color w:val="505050"/>
        </w:rPr>
        <w:t>출처: KT 생활이동 데이터 | 단위: 만 명 (연간 합계 도착 이동인구)</w:t>
      </w:r>
    </w:p>
    <w:p>
      <w:r>
        <w:rPr>
          <w:b/>
        </w:rPr>
        <w:t>절대 이동인구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행정동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2020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2021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2022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2023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2024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Δ(%)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방배2동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22.2만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18.1만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24.8만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26.5만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24.9만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+12.1%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청운효자동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14.3만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22.9만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34.8만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33.5만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29.0만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+102.3%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성수2가1동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13.1만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17.5만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29.7만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38.5만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44.1만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+236.0%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숭인2동 (Tier1)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8.3만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9.3만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12.9만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16.8만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17.7만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+113.8%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신당5동 (Tier1)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2.7만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3.2만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4.1만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5.2만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6.6만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+146.9%</w:t>
            </w:r>
          </w:p>
        </w:tc>
      </w:tr>
    </w:tbl>
    <w:p/>
    <w:p>
      <w:r>
        <w:rPr>
          <w:b/>
        </w:rPr>
        <w:t>20대 이동비율 (20대이동인구 / 전체이동인구)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행정동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2020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2021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2022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2023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2024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방향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방배2동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14.9%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13.2%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12.7%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11.8%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11.2%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하락 (성숙 안정)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청운효자동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13.2%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15.5%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11.1%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11.8%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11.5%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유지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성수2가1동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10.7%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12.8%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17.4%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23.5%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26.0%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지속 상승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숭인2동 (Tier1)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5.4%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5.6%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6.5%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7.2%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7.4%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상승 중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신당5동 (Tier1)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6.1%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6.9%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7.0%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8.0%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9.2%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상승 중</w:t>
            </w:r>
          </w:p>
        </w:tc>
      </w:tr>
    </w:tbl>
    <w:p/>
    <w:p>
      <w:pPr>
        <w:ind w:left="567"/>
      </w:pPr>
      <w:r>
        <w:rPr>
          <w:b/>
          <w:i/>
          <w:color w:val="505050"/>
        </w:rPr>
        <w:t>성수2가1동</w:t>
      </w:r>
      <w:r>
        <w:rPr>
          <w:i/>
          <w:color w:val="505050"/>
        </w:rPr>
        <w:t xml:space="preserve">: 절대 이동인구 +236% + 이동비율 10.7%→26.0% → 절대량·비율 동시 급증  </w:t>
      </w:r>
    </w:p>
    <w:p>
      <w:pPr>
        <w:ind w:left="567"/>
      </w:pPr>
      <w:r>
        <w:rPr>
          <w:b/>
          <w:i/>
          <w:color w:val="505050"/>
        </w:rPr>
        <w:t>Tier1(숭인2동·신당5동)</w:t>
      </w:r>
      <w:r>
        <w:rPr>
          <w:i/>
          <w:color w:val="505050"/>
        </w:rPr>
        <w:t>: 이동인구 +114~147% + 이동비율 상승 중 → 성수2가1동의 2020~2021년 초기 패턴과 유사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§2-6. 이동 유형이 소비 전환을 결정한다 — 구역유형별 상관 비교</w:t>
      </w:r>
    </w:p>
    <w:p>
      <w:pPr>
        <w:ind w:left="567"/>
      </w:pPr>
      <w:r>
        <w:rPr>
          <w:i/>
          <w:color w:val="505050"/>
        </w:rPr>
        <w:t xml:space="preserve">가설의 핵심 전제: "여가형 이동"만 소비 전환으로 이어진다  </w:t>
      </w:r>
    </w:p>
    <w:p>
      <w:pPr>
        <w:ind w:left="567"/>
      </w:pPr>
      <w:r>
        <w:rPr>
          <w:i/>
          <w:color w:val="505050"/>
        </w:rPr>
        <w:t>방법: 20대 이동비율 × 트렌드매출_비중 피어슨 r (N=2,110, 행정동 × 연도 패널)</w:t>
      </w:r>
    </w:p>
    <w:p>
      <w:r>
        <w:rPr>
          <w:b/>
        </w:rPr>
        <w:t>구역유형별 상관 (20대 이동비율 → 트렌드매출_비중)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구역유형</w:t>
            </w:r>
          </w:p>
        </w:tc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r</w:t>
            </w:r>
          </w:p>
        </w:tc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유의성</w:t>
            </w:r>
          </w:p>
        </w:tc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해석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오피스형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+0.022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n.s.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이동-소비 연계 없음</w:t>
            </w:r>
            <w:r>
              <w:t xml:space="preserve"> — 직장인 이동은 여가 소비로 전환 안 됨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혼합형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+0.325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유의한 양의 상관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주거형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+0.433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유의한 양의 상관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상권형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+0.488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유의한 양의 상관</w:t>
            </w:r>
          </w:p>
        </w:tc>
      </w:tr>
    </w:tbl>
    <w:p/>
    <w:p>
      <w:r>
        <w:rPr>
          <w:b/>
        </w:rPr>
        <w:t>성수2가1동 개별 시계열 상관 (5년, n=5)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상관 쌍</w:t>
            </w:r>
          </w:p>
        </w:tc>
        <w:tc>
          <w:tcPr>
            <w:tcW w:type="dxa" w:w="302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r</w:t>
            </w:r>
          </w:p>
        </w:tc>
        <w:tc>
          <w:tcPr>
            <w:tcW w:type="dxa" w:w="302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해석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20대 이동비율 ↔ 트렌드매출_비중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+0.934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이동 증가와 트렌드매출 상승이 거의 완벽하게 동행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20대 이동비율 ↔ 2030비중(소비)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+0.853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이동이 소비 집중도와 강하게 연동</w:t>
            </w:r>
          </w:p>
        </w:tc>
      </w:tr>
    </w:tbl>
    <w:p/>
    <w:p>
      <w:pPr>
        <w:ind w:left="567"/>
      </w:pPr>
      <w:r>
        <w:rPr>
          <w:b/>
          <w:i/>
          <w:color w:val="505050"/>
        </w:rPr>
        <w:t>오피스형 r=+0.022 (유의하지 않음)</w:t>
      </w:r>
      <w:r>
        <w:rPr>
          <w:i/>
          <w:color w:val="505050"/>
        </w:rPr>
        <w:t xml:space="preserve"> → 이동이 많아도 소비 전환 없음 = 가설의 "여가형 이동"이라는 조건의 수치적 근거  </w:t>
      </w:r>
    </w:p>
    <w:p>
      <w:pPr>
        <w:ind w:left="567"/>
      </w:pPr>
      <w:r>
        <w:rPr>
          <w:b/>
          <w:i/>
          <w:color w:val="505050"/>
        </w:rPr>
        <w:t>성수2가1동 r=+0.934</w:t>
      </w:r>
      <w:r>
        <w:rPr>
          <w:i/>
          <w:color w:val="505050"/>
        </w:rPr>
        <w:t xml:space="preserve"> → 5년 시계열에서 이동과 소비가 함께 움직임. 단, n=5이므로 케이스 스터디로 해석 (통계 일반화 주의)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§2-7. 임대료·공실률 — 상권 전환 이후 부동산 반응</w:t>
      </w:r>
    </w:p>
    <w:p>
      <w:pPr>
        <w:ind w:left="567"/>
      </w:pPr>
      <w:r>
        <w:rPr>
          <w:i/>
          <w:color w:val="505050"/>
        </w:rPr>
        <w:t xml:space="preserve">출처: 한국부동산원 매장용빌딩 임대료·공실률 (상권 단위, 천원/㎡)  </w:t>
      </w:r>
    </w:p>
    <w:p>
      <w:pPr>
        <w:ind w:left="567"/>
      </w:pPr>
      <w:r>
        <w:rPr>
          <w:b/>
          <w:i/>
          <w:color w:val="505050"/>
        </w:rPr>
        <w:t>주의</w:t>
      </w:r>
      <w:r>
        <w:rPr>
          <w:i/>
          <w:color w:val="505050"/>
        </w:rPr>
        <w:t xml:space="preserve">: 임대료 데이터는 행정동이 아닌 </w:t>
      </w:r>
      <w:r>
        <w:rPr>
          <w:b/>
          <w:i/>
          <w:color w:val="505050"/>
        </w:rPr>
        <w:t>상권 단위(64개)</w:t>
      </w:r>
      <w:r>
        <w:rPr>
          <w:i/>
          <w:color w:val="505050"/>
        </w:rPr>
        <w:t>. 행정동 → 대표 행정동 매핑 후 구역유형과 연결. Tier1 후보(숭인2동·신당5동) 등 직접 데이터 없는 지역은 인근 상권으로 간접 확인.</w:t>
      </w:r>
    </w:p>
    <w:p>
      <w:pPr>
        <w:pStyle w:val="Heading4"/>
      </w:pPr>
      <w:r>
        <w:t>구역유형별 임대료·공실률 (2024, 데이터 있는 상권 평균)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구역유형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상권 수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임대료 평균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임대료 중앙값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공실률 평균</w:t>
            </w:r>
          </w:p>
        </w:tc>
        <w:tc>
          <w:tcPr>
            <w:tcW w:type="dxa" w:w="1512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공실률 중앙값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rPr>
                <w:b/>
              </w:rPr>
              <w:t>오피스형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14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rPr>
                <w:b/>
              </w:rPr>
              <w:t>72.7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58.2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rPr>
                <w:b/>
              </w:rPr>
              <w:t>10.1%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9.4%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t>혼합형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14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49.8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47.1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7.3%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7.7%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t>주거형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33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49.2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46.3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8.1%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8.1%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t>상권형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3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40.7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34.8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12.4%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/>
            <w:r>
              <w:t>11.8%</w:t>
            </w:r>
          </w:p>
        </w:tc>
      </w:tr>
    </w:tbl>
    <w:p/>
    <w:p>
      <w:pPr>
        <w:ind w:left="567"/>
      </w:pPr>
      <w:r>
        <w:rPr>
          <w:i/>
          <w:color w:val="505050"/>
        </w:rPr>
        <w:t>오피스형 임대료가 가장 높은 것은 강남대로·테헤란로·광화문 등 프리미엄 업무 상권이 포함되기 때문. 공실률도 10.1%로 가장 높음 — 임대료는 높지만 채워지지 않는 구조.</w:t>
      </w:r>
    </w:p>
    <w:p>
      <w:pPr>
        <w:pStyle w:val="Heading4"/>
      </w:pPr>
      <w:r>
        <w:t>레퍼런스 상권 임대료·공실률 시계열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상권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대응 지역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2020 임대료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2024 임대료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Δ임대료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2020 공실률</w:t>
            </w:r>
          </w:p>
        </w:tc>
        <w:tc>
          <w:tcPr>
            <w:tcW w:type="dxa" w:w="129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2024 공실률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뚝섬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성수2가1동 인근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36.2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54.7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+51.1%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1.7%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3.0%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홍대/합정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합정동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73.3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68.4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/>
              </w:rPr>
              <w:t>-6.7%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8.6%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9.3%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압구정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압구정동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47.3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52.8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+11.6%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12.8%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2.7%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이태원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이태원1동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56.8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57.5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+1.2%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26.7%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19.9%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광화문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청운효자동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78.0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91.4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+17.2%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15.3%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14.8%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t>방배역/내방역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방배2동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-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43.1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-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-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t>7.6%</w:t>
            </w:r>
          </w:p>
        </w:tc>
      </w:tr>
    </w:tbl>
    <w:p/>
    <w:p>
      <w:r>
        <w:rPr>
          <w:b/>
        </w:rPr>
        <w:t>가설 연결 관찰</w:t>
      </w:r>
      <w:r>
        <w:t>:</w:t>
      </w:r>
    </w:p>
    <w:p>
      <w:pPr>
        <w:pStyle w:val="ListBullet"/>
      </w:pPr>
      <w:r>
        <w:rPr>
          <w:b/>
        </w:rPr>
        <w:t>뚝섬(성수)</w:t>
      </w:r>
      <w:r>
        <w:t>: 임대료 +51.1% + 공실률 초저위(1~3%) → 20대 이동 선행 후 소비 전환이 완료된 상권의 임대료 반응. 수요 &gt; 공급 → 임대료 급등</w:t>
      </w:r>
    </w:p>
    <w:p>
      <w:pPr>
        <w:pStyle w:val="ListBullet"/>
      </w:pPr>
      <w:r>
        <w:rPr>
          <w:b/>
        </w:rPr>
        <w:t>홍대/합정</w:t>
      </w:r>
      <w:r>
        <w:t>: 임대료 하락(-6.7%) + 공실률 상승 → 이미 포화된 성숙 상권의 전형적 패턴. 임대료 고점 이후 과포화로 매출 희석</w:t>
      </w:r>
    </w:p>
    <w:p>
      <w:pPr>
        <w:pStyle w:val="ListBullet"/>
      </w:pPr>
      <w:r>
        <w:rPr>
          <w:b/>
        </w:rPr>
        <w:t>두 케이스의 시사점</w:t>
      </w:r>
      <w:r>
        <w:t>: 소비 전환이 "임대료 반응 전"에 이동 지표로 먼저 포착된다면, 임대료 급등 이전 선점 포인트를 이동 데이터로 식별할 수 있음</w:t>
      </w:r>
    </w:p>
    <w:p>
      <w:pPr>
        <w:pStyle w:val="Heading4"/>
      </w:pPr>
      <w:r>
        <w:t>Tier1 후보 인근 상권 참고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인근 상권</w:t>
            </w:r>
          </w:p>
        </w:tc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참고 지역</w:t>
            </w:r>
          </w:p>
        </w:tc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2024 임대료</w:t>
            </w:r>
          </w:p>
        </w:tc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2024 공실률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동대문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황학동(Tier3) 인근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49.8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14.9%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왕십리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왕십리2동(근처)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45.7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2.7%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약수역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약수동(근처)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44.0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3.0%</w:t>
            </w:r>
          </w:p>
        </w:tc>
      </w:tr>
    </w:tbl>
    <w:p/>
    <w:p>
      <w:pPr>
        <w:ind w:left="567"/>
      </w:pPr>
      <w:r>
        <w:rPr>
          <w:i/>
          <w:color w:val="505050"/>
        </w:rPr>
        <w:t>Tier1(숭인2동·신당5동) 직접 임대료 데이터 없음. 인근 상권 참고 수준으로만 활용. 낮은 임대료 수준(44~50)은 아직 "발견 전" 상태와 일치.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§3. 시계열 3차원 연관 분석 — 이동 → 매출 → 임대료</w:t>
      </w:r>
    </w:p>
    <w:p>
      <w:pPr>
        <w:ind w:left="567"/>
      </w:pPr>
      <w:r>
        <w:rPr>
          <w:i/>
          <w:color w:val="505050"/>
        </w:rPr>
        <w:t xml:space="preserve">가설 검증 관점: "20대가 먼저 이동하는 곳이 다음 트렌드 상권이 된다"  </w:t>
      </w:r>
    </w:p>
    <w:p>
      <w:pPr>
        <w:ind w:left="567"/>
      </w:pPr>
      <w:r>
        <w:rPr>
          <w:i/>
          <w:color w:val="505050"/>
        </w:rPr>
        <w:t xml:space="preserve">출처: KT 생활이동(금밤+토+일 기준) / 서울시 상권분석서비스 / 한국부동산원  </w:t>
      </w:r>
    </w:p>
    <w:p>
      <w:pPr>
        <w:ind w:left="567"/>
      </w:pPr>
      <w:r>
        <w:rPr>
          <w:i/>
          <w:color w:val="505050"/>
        </w:rPr>
        <w:t>임대료는 상권 단위 데이터 — 레퍼런스는 직접 대응 상권, Tier1은 인근 동대문 상권(간접)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§3-1. 성수2가1동 — 전환 완성 케이스 (레퍼런스)</w:t>
      </w:r>
    </w:p>
    <w:p>
      <w:pPr>
        <w:ind w:left="567"/>
      </w:pPr>
      <w:r>
        <w:rPr>
          <w:i/>
          <w:color w:val="505050"/>
        </w:rPr>
        <w:t>임대료 기준: 뚝섬 상권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연도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20대 이동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전체 이동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20대 비율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업종점수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트렌드매출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2030비중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임대료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공실률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t>2020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13.1만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122.7만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10.7%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33.7%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24.8%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31.8%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36.2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1.7%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2021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17.5만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136.3만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12.8%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47.7%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24.3%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32.7%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37.5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1.5%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2022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29.7만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170.9만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17.4%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61.5%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31.5%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42.1%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43.8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2.6%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t>2023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38.5만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163.7만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23.5%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64.9%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34.8%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44.7%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46.7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2.8%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t>2024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44.1만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169.5만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26.0%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60.3%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33.7%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41.1%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54.7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3.0%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Δ 누적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+236%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+15.3%p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+26.6%p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+8.9%p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+51.1%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+1.3%p</w:t>
            </w:r>
          </w:p>
        </w:tc>
      </w:tr>
    </w:tbl>
    <w:p/>
    <w:p>
      <w:r>
        <w:rPr>
          <w:b/>
        </w:rPr>
        <w:t>시계열 흐름</w:t>
      </w:r>
      <w:r>
        <w:t>:</w:t>
      </w:r>
    </w:p>
    <w:p>
      <w:pPr>
        <w:pStyle w:val="ListBullet"/>
      </w:pPr>
      <w:r>
        <w:rPr>
          <w:b/>
        </w:rPr>
        <w:t>2021</w:t>
      </w:r>
      <w:r>
        <w:t>: 20대 이동 +34% 급증(13.1→17.5만), 비율 10.7→12.8% — 소비 지표는 미전환</w:t>
      </w:r>
    </w:p>
    <w:p>
      <w:pPr>
        <w:pStyle w:val="ListBullet"/>
      </w:pPr>
      <w:r>
        <w:rPr>
          <w:b/>
        </w:rPr>
        <w:t>2022</w:t>
      </w:r>
      <w:r>
        <w:t>: 이동 +70%(29.7만)와 동시에 업종점수 47.7→61.5%(+13.8%p), 트렌드매출 24.3→31.5% 급전환</w:t>
      </w:r>
    </w:p>
    <w:p>
      <w:pPr>
        <w:pStyle w:val="ListBullet"/>
      </w:pPr>
      <w:r>
        <w:rPr>
          <w:b/>
        </w:rPr>
        <w:t>2022~2024</w:t>
      </w:r>
      <w:r>
        <w:t>: 소비 전환 확정 후 임대료 반응 — 36.2→54.7(+51.1%), 공실률 1~3% 초저위 유지</w:t>
      </w:r>
    </w:p>
    <w:p>
      <w:pPr>
        <w:ind w:left="567"/>
      </w:pPr>
      <w:r>
        <w:rPr>
          <w:i/>
          <w:color w:val="505050"/>
        </w:rPr>
        <w:t>이동 1년 선행(2021) → 소비 전환(2022) → 임대료 반응(2022~2024) 순서가 명확히 관찰됨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§3-2. 합정동 — 포화 단계 케이스 (레퍼런스)</w:t>
      </w:r>
    </w:p>
    <w:p>
      <w:pPr>
        <w:ind w:left="567"/>
      </w:pPr>
      <w:r>
        <w:rPr>
          <w:i/>
          <w:color w:val="505050"/>
        </w:rPr>
        <w:t>임대료 기준: 홍대/합정 상권 | 2020년 이전 이미 전환 완료 상권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연도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20대 이동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전체 이동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20대 비율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업종점수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트렌드매출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2030비중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임대료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공실률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t>2020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53.5만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194.9만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27.4%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45.0%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34.0%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58.7%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73.3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8.6%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t>2021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51.4만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186.3만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27.6%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55.8%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35.1%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49.5%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70.5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16.9%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t>2022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65.0만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239.9만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27.1%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57.2%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35.8%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49.9%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67.0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12.2%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t>2023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64.8만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261.4만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24.8%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59.2%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35.9%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48.3%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66.4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9.8%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t>2024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59.6만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261.1만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22.8%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52.4%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32.7%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41.4%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68.4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9.3%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Δ 누적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+11.5%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-4.6%p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+7.3%p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-1.3%p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-6.7%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+0.7%p</w:t>
            </w:r>
          </w:p>
        </w:tc>
      </w:tr>
    </w:tbl>
    <w:p/>
    <w:p>
      <w:r>
        <w:rPr>
          <w:b/>
        </w:rPr>
        <w:t>시계열 흐름</w:t>
      </w:r>
      <w:r>
        <w:t>:</w:t>
      </w:r>
    </w:p>
    <w:p>
      <w:pPr>
        <w:pStyle w:val="ListBullet"/>
      </w:pPr>
      <w:r>
        <w:rPr>
          <w:b/>
        </w:rPr>
        <w:t>2020년 이미 포화</w:t>
      </w:r>
      <w:r>
        <w:t>: 20대 비율 27.4%(서울 최고 수준), 임대료 73.3 — 이미 전환 완료 상태</w:t>
      </w:r>
    </w:p>
    <w:p>
      <w:pPr>
        <w:pStyle w:val="ListBullet"/>
      </w:pPr>
      <w:r>
        <w:rPr>
          <w:b/>
        </w:rPr>
        <w:t>2021~2022</w:t>
      </w:r>
      <w:r>
        <w:t>: 코로나 회복기, 공실률 급등(16.9%)→하락 — 과도기 변동</w:t>
      </w:r>
    </w:p>
    <w:p>
      <w:pPr>
        <w:pStyle w:val="ListBullet"/>
      </w:pPr>
      <w:r>
        <w:rPr>
          <w:b/>
        </w:rPr>
        <w:t>2023~2024</w:t>
      </w:r>
      <w:r>
        <w:t xml:space="preserve">: 20대 비율 지속 하락(27.4%→22.8%), 임대료 정체·하락, 트렌드매출 감소 — </w:t>
      </w:r>
      <w:r>
        <w:rPr>
          <w:b/>
        </w:rPr>
        <w:t>포화 이후 희석</w:t>
      </w:r>
    </w:p>
    <w:p>
      <w:pPr>
        <w:ind w:left="567"/>
      </w:pPr>
      <w:r>
        <w:rPr>
          <w:i/>
          <w:color w:val="505050"/>
        </w:rPr>
        <w:t>성숙 상권의 신호: 20대 이동비율 감소 + 임대료 하락 + 트렌드매출 감소 동시 진행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§3-3. 방배2동 — 업종 전환 완료, 이동 안정 (레퍼런스)</w:t>
      </w:r>
    </w:p>
    <w:p>
      <w:pPr>
        <w:ind w:left="567"/>
      </w:pPr>
      <w:r>
        <w:rPr>
          <w:i/>
          <w:color w:val="505050"/>
        </w:rPr>
        <w:t>임대료 기준: 방배역/내방역 상권 (2022년부터 데이터)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연도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20대 이동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전체 이동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20대 비율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업종점수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트렌드매출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2030비중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임대료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공실률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t>2020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22.2만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148.5만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14.9%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47.4%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34.0%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33.1%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—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t>2021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18.1만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136.4만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13.2%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61.9%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33.1%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35.4%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—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t>2022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24.8만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195.3만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12.7%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69.8%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36.3%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35.4%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39.8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7.4%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t>2023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26.5만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224.4만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11.8%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68.9%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36.7%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34.6%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40.6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8.6%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t>2024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24.9만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223.1만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11.2%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67.9%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35.5%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32.9%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43.1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7.6%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Δ 누적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+12.1%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-3.8%p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+20.4%p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+1.5%p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—</w:t>
            </w:r>
          </w:p>
        </w:tc>
      </w:tr>
    </w:tbl>
    <w:p/>
    <w:p>
      <w:r>
        <w:rPr>
          <w:b/>
        </w:rPr>
        <w:t>시계열 흐름</w:t>
      </w:r>
      <w:r>
        <w:t>:</w:t>
      </w:r>
    </w:p>
    <w:p>
      <w:pPr>
        <w:pStyle w:val="ListBullet"/>
      </w:pPr>
      <w:r>
        <w:rPr>
          <w:b/>
        </w:rPr>
        <w:t>2020→2021</w:t>
      </w:r>
      <w:r>
        <w:t>: 20대 이동비율 하락(14.9→13.2%)에도 업종점수 47.4→61.9%(+14.5%p) 급전환 — 이미 전환 임계점 통과</w:t>
      </w:r>
    </w:p>
    <w:p>
      <w:pPr>
        <w:pStyle w:val="ListBullet"/>
      </w:pPr>
      <w:r>
        <w:rPr>
          <w:b/>
        </w:rPr>
        <w:t>2022~2024</w:t>
      </w:r>
      <w:r>
        <w:t>: 20대 비율 완만한 하락(성숙 안정), 업종점수 67~70% 고위 유지, 전체 이동 증가(148→223만)</w:t>
      </w:r>
    </w:p>
    <w:p>
      <w:pPr>
        <w:pStyle w:val="ListBullet"/>
      </w:pPr>
      <w:r>
        <w:t>임대료: 39.8→43.1(+8.3%) — 성숙 상권의 완만한 임대료 상승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§3-4. 청운효자동 — 절대량 급증형 전환 (레퍼런스)</w:t>
      </w:r>
    </w:p>
    <w:p>
      <w:pPr>
        <w:ind w:left="567"/>
      </w:pPr>
      <w:r>
        <w:rPr>
          <w:i/>
          <w:color w:val="505050"/>
        </w:rPr>
        <w:t>임대료 기준: 광화문 상권 (오피스형 — 서촌 성격과 괴리 있음, 참고용)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연도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20대 이동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전체 이동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20대 비율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업종점수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트렌드매출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2030비중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임대료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공실률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t>2020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14.3만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108.4만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13.2%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48.8%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26.0%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35.5%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78.0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15.3%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2021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22.9만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147.8만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15.5%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55.4%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30.6%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39.6%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78.2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23.0%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t>2022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34.8만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313.7만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11.1%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59.2%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30.8%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38.0%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86.4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17.2%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t>2023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33.5만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283.7만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11.8%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56.6%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30.6%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36.9%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86.4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13.5%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t>2024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29.0만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253.1만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11.5%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59.3%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31.2%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36.7%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91.4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14.8%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Δ 누적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+102.3%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-1.8%p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+10.5%p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+5.2%p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+17.2%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-0.5%p</w:t>
            </w:r>
          </w:p>
        </w:tc>
      </w:tr>
    </w:tbl>
    <w:p/>
    <w:p>
      <w:r>
        <w:rPr>
          <w:b/>
        </w:rPr>
        <w:t>시계열 흐름</w:t>
      </w:r>
      <w:r>
        <w:t>:</w:t>
      </w:r>
    </w:p>
    <w:p>
      <w:pPr>
        <w:pStyle w:val="ListBullet"/>
      </w:pPr>
      <w:r>
        <w:rPr>
          <w:b/>
        </w:rPr>
        <w:t>2021</w:t>
      </w:r>
      <w:r>
        <w:t>: 20대 이동 +60% 급증(14.3→22.9만), 비율도 13.2→15.5% 상승 — 서촌 인기 폭발 시점</w:t>
      </w:r>
    </w:p>
    <w:p>
      <w:pPr>
        <w:pStyle w:val="ListBullet"/>
      </w:pPr>
      <w:r>
        <w:rPr>
          <w:b/>
        </w:rPr>
        <w:t>2022</w:t>
      </w:r>
      <w:r>
        <w:t>: 전체 이동이 313.7만으로 폭증 — 전체 방문객이 급증하면서 20대 비율은 11.1%로 희석</w:t>
      </w:r>
    </w:p>
    <w:p>
      <w:pPr>
        <w:pStyle w:val="ListBullet"/>
      </w:pPr>
      <w:r>
        <w:rPr>
          <w:b/>
        </w:rPr>
        <w:t>2024</w:t>
      </w:r>
      <w:r>
        <w:t>: 이동 다소 안정, 임대료 91.4(광화문 오피스 기준, 참고용) — 광화문은 오피스형이라 공실 14.8% 지속</w:t>
      </w:r>
    </w:p>
    <w:p>
      <w:pPr>
        <w:ind w:left="567"/>
      </w:pPr>
      <w:r>
        <w:rPr>
          <w:i/>
          <w:color w:val="505050"/>
        </w:rPr>
        <w:t>주의: 광화문 임대료는 오피스형 기준이라 서촌(청운효자동) 실제 상권 임대료와 괴리 있음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§3-5. 숭인2동 — 이동 급증, 소비 전환 초입 (Tier1 유망)</w:t>
      </w:r>
    </w:p>
    <w:p>
      <w:pPr>
        <w:ind w:left="567"/>
      </w:pPr>
      <w:r>
        <w:rPr>
          <w:i/>
          <w:color w:val="505050"/>
        </w:rPr>
        <w:t>임대료 기준: 동대문 상권 (간접 참고 — 숭인2동 직접 데이터 없음)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연도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20대 이동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전체 이동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20대 비율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업종점수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트렌드매출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2030비중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임대료(참고)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공실률(참고)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t>2020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8.3만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153.2만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5.4%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57.9%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29.8%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33.5%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41.9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13.4%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t>2021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9.3만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165.6만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5.6%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56.7%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32.2%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29.1%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44.2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11.5%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t>2022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12.9만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198.4만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6.5%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62.0%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35.0%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31.0%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44.6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11.8%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t>2023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16.8만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234.1만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7.2%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57.0%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32.4%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27.7%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45.6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12.1%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t>2024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17.7만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238.9만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7.4%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54.7%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33.2%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24.1%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49.8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14.9%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Δ 누적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+113.8%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+2.0%p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-3.2%p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+3.3%p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+18.9%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+1.5%p</w:t>
            </w:r>
          </w:p>
        </w:tc>
      </w:tr>
    </w:tbl>
    <w:p/>
    <w:p>
      <w:r>
        <w:rPr>
          <w:b/>
        </w:rPr>
        <w:t>시계열 흐름</w:t>
      </w:r>
      <w:r>
        <w:t>:</w:t>
      </w:r>
    </w:p>
    <w:p>
      <w:pPr>
        <w:pStyle w:val="ListBullet"/>
      </w:pPr>
      <w:r>
        <w:rPr>
          <w:b/>
        </w:rPr>
        <w:t>2020→2024</w:t>
      </w:r>
      <w:r>
        <w:t>: 20대 이동 8.3→17.7만(+113.8%), 비율 5.4→7.4%(+2.0%p) — 꾸준히 우상향</w:t>
      </w:r>
    </w:p>
    <w:p>
      <w:pPr>
        <w:pStyle w:val="ListBullet"/>
      </w:pPr>
      <w:r>
        <w:t>업종점수 54~62% 범위에서 등락 — 아직 방향성 있는 급전환 미발생</w:t>
      </w:r>
    </w:p>
    <w:p>
      <w:pPr>
        <w:pStyle w:val="ListBullet"/>
      </w:pPr>
      <w:r>
        <w:t>트렌드매출 29.8→33.2%(+3.3%p) — 완만한 상승</w:t>
      </w:r>
    </w:p>
    <w:p>
      <w:pPr>
        <w:pStyle w:val="ListBullet"/>
      </w:pPr>
      <w:r>
        <w:rPr>
          <w:b/>
        </w:rPr>
        <w:t>성수2가1동 2020~2021년 패턴 비교</w:t>
      </w:r>
      <w:r>
        <w:t>: 이동 절대량 증가 + 비율 상승, 소비 지표 소폭 선행 — Stage 1~2 경계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§3-6. 신당5동 — 이동 급증, 소비 전환 초입 (Tier1 유망)</w:t>
      </w:r>
    </w:p>
    <w:p>
      <w:pPr>
        <w:ind w:left="567"/>
      </w:pPr>
      <w:r>
        <w:rPr>
          <w:i/>
          <w:color w:val="505050"/>
        </w:rPr>
        <w:t>임대료 기준: 동대문 상권 (간접 참고)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연도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20대 이동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전체 이동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20대 비율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업종점수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트렌드매출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2030비중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임대료(참고)</w:t>
            </w:r>
          </w:p>
        </w:tc>
        <w:tc>
          <w:tcPr>
            <w:tcW w:type="dxa" w:w="1008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공실률(참고)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t>2020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2.7만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44.0만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6.1%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57.7%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30.0%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29.0%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41.9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13.4%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t>2021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3.2만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46.0만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6.9%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48.6%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32.5%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24.1%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44.2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11.5%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t>2022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4.1만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58.6만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7.0%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54.2%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33.3%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26.0%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44.6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11.8%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t>2023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5.2만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64.8만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8.0%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56.3%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33.9%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26.2%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45.6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12.1%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t>2024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6.6만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71.2만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9.2%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54.6%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33.4%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26.1%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49.8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14.9%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Δ 누적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+146.9%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b/>
              </w:rPr>
              <w:t>+3.2%p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-3.1%p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+3.4%p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+18.9%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t>+1.5%p</w:t>
            </w:r>
          </w:p>
        </w:tc>
      </w:tr>
    </w:tbl>
    <w:p/>
    <w:p>
      <w:r>
        <w:rPr>
          <w:b/>
        </w:rPr>
        <w:t>시계열 흐름</w:t>
      </w:r>
      <w:r>
        <w:t>:</w:t>
      </w:r>
    </w:p>
    <w:p>
      <w:pPr>
        <w:pStyle w:val="ListBullet"/>
      </w:pPr>
      <w:r>
        <w:rPr>
          <w:b/>
        </w:rPr>
        <w:t>2020→2024</w:t>
      </w:r>
      <w:r>
        <w:t>: 20대 이동 2.7→6.6만(+146.9%), 비율 6.1→9.2%(+3.2%p) — 절대량 + 비율 동시 상승</w:t>
      </w:r>
    </w:p>
    <w:p>
      <w:pPr>
        <w:pStyle w:val="ListBullet"/>
      </w:pPr>
      <w:r>
        <w:t>업종점수 등락(48~57%) — 안정적 고위권이나 급전환 미발생, 2021년 일시 하락 후 회복</w:t>
      </w:r>
    </w:p>
    <w:p>
      <w:pPr>
        <w:pStyle w:val="ListBullet"/>
      </w:pPr>
      <w:r>
        <w:t>트렌드매출 30.0→33.4%(+3.4%p) — 신당5동이 숭인2동 대비 이동비율 상승폭 더 큼(+3.2%p vs +2.0%p)</w:t>
      </w:r>
    </w:p>
    <w:p>
      <w:pPr>
        <w:pStyle w:val="ListBullet"/>
      </w:pPr>
      <w:r>
        <w:rPr>
          <w:b/>
        </w:rPr>
        <w:t>핵심</w:t>
      </w:r>
      <w:r>
        <w:t>: 20대 이동비율이 매년 지속 상승 — 성수2가1동의 2021년 패턴(12.8%)에 아직 못 미치지만 방향성 일치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§3-7. 전환 단계 비교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</w:tblGrid>
      <w:tr>
        <w:tc>
          <w:tcPr>
            <w:tcW w:type="dxa" w:w="75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지역</w:t>
            </w:r>
          </w:p>
        </w:tc>
        <w:tc>
          <w:tcPr>
            <w:tcW w:type="dxa" w:w="75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구분</w:t>
            </w:r>
          </w:p>
        </w:tc>
        <w:tc>
          <w:tcPr>
            <w:tcW w:type="dxa" w:w="75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20대이동_24</w:t>
            </w:r>
          </w:p>
        </w:tc>
        <w:tc>
          <w:tcPr>
            <w:tcW w:type="dxa" w:w="75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Δ이동</w:t>
            </w:r>
          </w:p>
        </w:tc>
        <w:tc>
          <w:tcPr>
            <w:tcW w:type="dxa" w:w="75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Δ이동비율</w:t>
            </w:r>
          </w:p>
        </w:tc>
        <w:tc>
          <w:tcPr>
            <w:tcW w:type="dxa" w:w="75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업종점수_24</w:t>
            </w:r>
          </w:p>
        </w:tc>
        <w:tc>
          <w:tcPr>
            <w:tcW w:type="dxa" w:w="75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Δ업종</w:t>
            </w:r>
          </w:p>
        </w:tc>
        <w:tc>
          <w:tcPr>
            <w:tcW w:type="dxa" w:w="75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트렌드_24</w:t>
            </w:r>
          </w:p>
        </w:tc>
        <w:tc>
          <w:tcPr>
            <w:tcW w:type="dxa" w:w="75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Δ트렌드</w:t>
            </w:r>
          </w:p>
        </w:tc>
        <w:tc>
          <w:tcPr>
            <w:tcW w:type="dxa" w:w="75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임대료_24</w:t>
            </w:r>
          </w:p>
        </w:tc>
        <w:tc>
          <w:tcPr>
            <w:tcW w:type="dxa" w:w="75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Δ임대료</w:t>
            </w:r>
          </w:p>
        </w:tc>
        <w:tc>
          <w:tcPr>
            <w:tcW w:type="dxa" w:w="756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공실률_24</w:t>
            </w:r>
          </w:p>
        </w:tc>
      </w:tr>
      <w:tr>
        <w:tc>
          <w:tcPr>
            <w:tcW w:type="dxa" w:w="756"/>
          </w:tcPr>
          <w:p>
            <w:pPr>
              <w:spacing w:before="40" w:after="40"/>
            </w:pPr>
            <w:r/>
            <w:r>
              <w:rPr>
                <w:b/>
              </w:rPr>
              <w:t>성수2가1동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레퍼런스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44.1만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rPr>
                <w:b/>
              </w:rPr>
              <w:t>+236%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rPr>
                <w:b/>
              </w:rPr>
              <w:t>+15.3%p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60.3%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+26.6%p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33.7%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+8.9%p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54.7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rPr>
                <w:b/>
              </w:rPr>
              <w:t>+51.1%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3.0%</w:t>
            </w:r>
          </w:p>
        </w:tc>
      </w:tr>
      <w:tr>
        <w:tc>
          <w:tcPr>
            <w:tcW w:type="dxa" w:w="756"/>
          </w:tcPr>
          <w:p>
            <w:pPr>
              <w:spacing w:before="40" w:after="40"/>
            </w:pPr>
            <w:r/>
            <w:r>
              <w:t>청운효자동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레퍼런스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29.0만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+102%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-1.8%p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59.3%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+10.5%p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31.2%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+5.2%p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91.4†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+17.2%†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14.8%†</w:t>
            </w:r>
          </w:p>
        </w:tc>
      </w:tr>
      <w:tr>
        <w:tc>
          <w:tcPr>
            <w:tcW w:type="dxa" w:w="756"/>
          </w:tcPr>
          <w:p>
            <w:pPr>
              <w:spacing w:before="40" w:after="40"/>
            </w:pPr>
            <w:r/>
            <w:r>
              <w:t>방배2동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레퍼런스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24.9만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+12%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-3.8%p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67.9%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+20.4%p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35.5%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+1.5%p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43.1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7.6%</w:t>
            </w:r>
          </w:p>
        </w:tc>
      </w:tr>
      <w:tr>
        <w:tc>
          <w:tcPr>
            <w:tcW w:type="dxa" w:w="756"/>
          </w:tcPr>
          <w:p>
            <w:pPr>
              <w:spacing w:before="40" w:after="40"/>
            </w:pPr>
            <w:r/>
            <w:r>
              <w:t>합정동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레퍼런스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59.6만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+12%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rPr>
                <w:b/>
              </w:rPr>
              <w:t>-4.6%p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52.4%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+7.3%p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32.7%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rPr>
                <w:b/>
              </w:rPr>
              <w:t>-1.3%p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68.4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rPr>
                <w:b/>
              </w:rPr>
              <w:t>-6.7%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9.3%</w:t>
            </w:r>
          </w:p>
        </w:tc>
      </w:tr>
      <w:tr>
        <w:tc>
          <w:tcPr>
            <w:tcW w:type="dxa" w:w="756"/>
          </w:tcPr>
          <w:p>
            <w:pPr>
              <w:spacing w:before="40" w:after="40"/>
            </w:pPr>
            <w:r/>
            <w:r>
              <w:rPr>
                <w:b/>
              </w:rPr>
              <w:t>숭인2동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rPr>
                <w:b/>
              </w:rPr>
              <w:t>Tier1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rPr>
                <w:b/>
              </w:rPr>
              <w:t>17.7만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rPr>
                <w:b/>
              </w:rPr>
              <w:t>+114%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rPr>
                <w:b/>
              </w:rPr>
              <w:t>+2.0%p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54.7%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-3.2%p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33.2%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+3.3%p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(49.8)‡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(14.9%)‡</w:t>
            </w:r>
          </w:p>
        </w:tc>
      </w:tr>
      <w:tr>
        <w:tc>
          <w:tcPr>
            <w:tcW w:type="dxa" w:w="756"/>
          </w:tcPr>
          <w:p>
            <w:pPr>
              <w:spacing w:before="40" w:after="40"/>
            </w:pPr>
            <w:r/>
            <w:r>
              <w:rPr>
                <w:b/>
              </w:rPr>
              <w:t>신당5동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rPr>
                <w:b/>
              </w:rPr>
              <w:t>Tier1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rPr>
                <w:b/>
              </w:rPr>
              <w:t>6.6만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rPr>
                <w:b/>
              </w:rPr>
              <w:t>+147%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rPr>
                <w:b/>
              </w:rPr>
              <w:t>+3.2%p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54.6%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-3.1%p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33.4%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+3.4%p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(49.8)‡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756"/>
          </w:tcPr>
          <w:p>
            <w:pPr>
              <w:spacing w:before="40" w:after="40"/>
            </w:pPr>
            <w:r/>
            <w:r>
              <w:t>(14.9%)‡</w:t>
            </w:r>
          </w:p>
        </w:tc>
      </w:tr>
    </w:tbl>
    <w:p/>
    <w:p>
      <w:r>
        <w:t xml:space="preserve">† 청운효자동 임대료는 광화문 오피스형 상권 기준 — 서촌 실제값과 괴리  </w:t>
      </w:r>
    </w:p>
    <w:p>
      <w:r>
        <w:t>‡ 괄호: 동대문 상권 간접값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§3-8. 전환 단계 패턴 해석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단계</w:t>
            </w:r>
          </w:p>
        </w:tc>
        <w:tc>
          <w:tcPr>
            <w:tcW w:type="dxa" w:w="302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특징</w:t>
            </w:r>
          </w:p>
        </w:tc>
        <w:tc>
          <w:tcPr>
            <w:tcW w:type="dxa" w:w="3024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현재 해당 지역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Stage 1</w:t>
            </w:r>
            <w:r>
              <w:t xml:space="preserve"> 이동 선행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20대 이동비율↑ / 업종점수 낮음 / 임대료 낮음 / 소비 미전환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성수2가1동 2020~2021년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Stage 2</w:t>
            </w:r>
            <w:r>
              <w:t xml:space="preserve"> 전환 초입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이동+비율 동시 상승 / 업종점수 소폭 등락 / 트렌드매출 완만 상승 / 임대료 아직 낮음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숭인2동·신당5동 현재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Stage 3</w:t>
            </w:r>
            <w:r>
              <w:t xml:space="preserve"> 소비 전환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업종점수 급등(+10~20%p) / 트렌드매출 급등 / 이동비율 고점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성수2가1동 2022년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Stage 4</w:t>
            </w:r>
            <w:r>
              <w:t xml:space="preserve"> 임대료 반응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소비 전환 확정 후 임대료 급등 / 공실률 초저위(1~3%)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성수2가1동 2022~2024년 (뚝섬 +51%)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Stage 5</w:t>
            </w:r>
            <w:r>
              <w:t xml:space="preserve"> 성숙 안정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이동비율 안정 / 업종점수 고위 유지 / 임대료 완만 상승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방배2동, 청운효자동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Stage 6</w:t>
            </w:r>
            <w:r>
              <w:t xml:space="preserve"> 포화 희석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20대 이동비율 감소 / 임대료 하락 / 트렌드매출 감소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합정동 (임대료 -6.7%)</w:t>
            </w:r>
          </w:p>
        </w:tc>
      </w:tr>
    </w:tbl>
    <w:p/>
    <w:p>
      <w:r>
        <w:rPr>
          <w:b/>
        </w:rPr>
        <w:t>핵심 시사점</w:t>
      </w:r>
      <w:r>
        <w:t>:</w:t>
      </w:r>
    </w:p>
    <w:p>
      <w:pPr>
        <w:pStyle w:val="ListNumber"/>
      </w:pPr>
      <w:r>
        <w:rPr>
          <w:b/>
        </w:rPr>
        <w:t>임대료는 소비 전환보다 늦게 반응한다</w:t>
      </w:r>
      <w:r>
        <w:t xml:space="preserve"> — 성수2가1동에서 소비 전환(2022)이 먼저, 임대료 급등은 이후 지속(2022~2024). 이동 지표는 임대료보다 더 일찍 신호를 줌</w:t>
      </w:r>
    </w:p>
    <w:p>
      <w:pPr>
        <w:pStyle w:val="ListNumber"/>
      </w:pPr>
      <w:r>
        <w:rPr>
          <w:b/>
        </w:rPr>
        <w:t>숭인2동·신당5동은 Stage 2 위치</w:t>
      </w:r>
      <w:r>
        <w:t xml:space="preserve"> — 이동비율 꾸준히 상승(+2~3.2%p), 임대료 아직 낮음(동대문 간접 49.8). 성수2가1동의 2020~2021년 포지션과 구조 유사</w:t>
      </w:r>
    </w:p>
    <w:p>
      <w:pPr>
        <w:pStyle w:val="ListNumber"/>
      </w:pPr>
      <w:r>
        <w:rPr>
          <w:b/>
        </w:rPr>
        <w:t>합정동 포화 패턴이 경고 기준선</w:t>
      </w:r>
      <w:r>
        <w:t xml:space="preserve"> — 20대 비율 하락 + 임대료 하락이 동시에 나타나면 다음 상권으로 20대가 이탈 중이라는 신호</w:t>
      </w:r>
    </w:p>
    <w:p>
      <w:r>
        <w:br w:type="page"/>
      </w:r>
    </w:p>
    <w:p>
      <w:pPr>
        <w:pStyle w:val="Heading1"/>
      </w:pPr>
      <w:r>
        <w:t>이미지 갤러리 (전체)</w:t>
      </w:r>
    </w:p>
    <w:p>
      <w:pPr>
        <w:pStyle w:val="Heading3"/>
      </w:pPr>
      <w:r>
        <w:t>S3 03 signals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83512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03_signals_dashboar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35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S3 03 signals dashboard</w:t>
      </w:r>
    </w:p>
    <w:p/>
    <w:p>
      <w:pPr>
        <w:pStyle w:val="Heading3"/>
      </w:pPr>
      <w:r>
        <w:t>S3 07 area type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6718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07_area_type_comparis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71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S3 07 area type comparison</w:t>
      </w:r>
    </w:p>
    <w:p/>
    <w:p>
      <w:pPr>
        <w:pStyle w:val="Heading3"/>
      </w:pPr>
      <w:r>
        <w:t>S3 07 ref trend industry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67717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07_ref_trend_industr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77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S3 07 ref trend industry</w:t>
      </w:r>
    </w:p>
    <w:p/>
    <w:p>
      <w:pPr>
        <w:pStyle w:val="Heading3"/>
      </w:pPr>
      <w:r>
        <w:t>S3 08 ref trend timesales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67605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08_ref_trend_timesal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76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S3 08 ref trend timesales</w:t>
      </w:r>
    </w:p>
    <w:p/>
    <w:p>
      <w:pPr>
        <w:pStyle w:val="Heading3"/>
      </w:pPr>
      <w:r>
        <w:t>S3 08 seongsu case study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2709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08_seongsu_case_stud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7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S3 08 seongsu case study</w:t>
      </w:r>
    </w:p>
    <w:p/>
    <w:p>
      <w:pPr>
        <w:pStyle w:val="Heading3"/>
      </w:pPr>
      <w:r>
        <w:t>S3 11 qoq level ccf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7191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11_qoq_level_ccf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71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S3 11 qoq level ccf</w:t>
      </w:r>
    </w:p>
    <w:p/>
    <w:p>
      <w:pPr>
        <w:pStyle w:val="Heading3"/>
      </w:pPr>
      <w:r>
        <w:t>S5 03 method compare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716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03_method_compar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7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S5 03 method compare</w:t>
      </w:r>
    </w:p>
    <w:p/>
    <w:p>
      <w:pPr>
        <w:pStyle w:val="Heading3"/>
      </w:pPr>
      <w:r>
        <w:t>S5 05 timeseries 3d chain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2083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05_timeseries_3d_chai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20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S5 05 timeseries 3d chain</w:t>
      </w:r>
    </w:p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맑은 고딕" w:hAnsi="맑은 고딕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맑은 고딕" w:hAnsi="맑은 고딕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맑은 고딕" w:hAnsi="맑은 고딕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맑은 고딕" w:hAnsi="맑은 고딕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맑은 고딕" w:hAnsi="맑은 고딕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맑은 고딕" w:hAnsi="맑은 고딕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맑은 고딕" w:hAnsi="맑은 고딕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맑은 고딕" w:hAnsi="맑은 고딕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맑은 고딕" w:hAnsi="맑은 고딕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맑은 고딕" w:hAnsi="맑은 고딕"/>
    </w:rPr>
  </w:style>
  <w:style w:type="table" w:default="1" w:styleId="TableNormal">
    <w:name w:val="Normal Table"/>
    <w:uiPriority w:val="99"/>
    <w:semiHidden/>
    <w:unhideWhenUsed/>
    <w:rPr>
      <w:rFonts w:ascii="맑은 고딕" w:hAnsi="맑은 고딕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맑은 고딕" w:hAnsi="맑은 고딕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맑은 고딕" w:hAnsi="맑은 고딕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맑은 고딕" w:hAnsi="맑은 고딕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맑은 고딕" w:hAnsi="맑은 고딕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맑은 고딕" w:hAnsi="맑은 고딕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맑은 고딕" w:hAnsi="맑은 고딕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맑은 고딕" w:hAnsi="맑은 고딕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맑은 고딕" w:hAnsi="맑은 고딕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맑은 고딕" w:hAnsi="맑은 고딕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맑은 고딕" w:hAnsi="맑은 고딕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맑은 고딕" w:hAnsi="맑은 고딕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맑은 고딕" w:hAnsi="맑은 고딕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맑은 고딕" w:hAnsi="맑은 고딕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맑은 고딕" w:hAnsi="맑은 고딕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맑은 고딕" w:hAnsi="맑은 고딕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맑은 고딕" w:hAnsi="맑은 고딕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맑은 고딕" w:hAnsi="맑은 고딕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맑은 고딕" w:hAnsi="맑은 고딕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맑은 고딕" w:hAnsi="맑은 고딕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맑은 고딕" w:hAnsi="맑은 고딕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맑은 고딕" w:hAnsi="맑은 고딕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맑은 고딕" w:hAnsi="맑은 고딕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맑은 고딕" w:hAnsi="맑은 고딕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맑은 고딕" w:hAnsi="맑은 고딕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맑은 고딕" w:hAnsi="맑은 고딕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맑은 고딕" w:hAnsi="맑은 고딕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맑은 고딕" w:hAnsi="맑은 고딕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맑은 고딕" w:hAnsi="맑은 고딕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맑은 고딕" w:hAnsi="맑은 고딕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맑은 고딕" w:hAnsi="맑은 고딕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맑은 고딕" w:hAnsi="맑은 고딕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맑은 고딕" w:hAnsi="맑은 고딕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맑은 고딕" w:hAnsi="맑은 고딕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맑은 고딕" w:hAnsi="맑은 고딕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맑은 고딕" w:hAnsi="맑은 고딕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맑은 고딕" w:hAnsi="맑은 고딕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맑은 고딕" w:hAnsi="맑은 고딕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맑은 고딕" w:hAnsi="맑은 고딕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맑은 고딕" w:hAnsi="맑은 고딕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맑은 고딕" w:hAnsi="맑은 고딕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맑은 고딕" w:hAnsi="맑은 고딕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맑은 고딕" w:hAnsi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맑은 고딕" w:hAnsi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맑은 고딕" w:hAnsi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맑은 고딕" w:hAnsi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맑은 고딕" w:hAnsi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맑은 고딕" w:hAnsi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맑은 고딕" w:hAnsi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맑은 고딕" w:hAnsi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맑은 고딕" w:hAnsi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맑은 고딕" w:hAnsi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맑은 고딕" w:hAnsi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맑은 고딕" w:hAnsi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맑은 고딕" w:hAnsi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맑은 고딕" w:hAnsi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맑은 고딕" w:hAnsi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맑은 고딕" w:hAnsi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