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827975" w14:paraId="162B55DD" w14:textId="77777777" w:rsidTr="00F07ADC">
        <w:tc>
          <w:tcPr>
            <w:tcW w:w="1980" w:type="dxa"/>
            <w:shd w:val="clear" w:color="auto" w:fill="FAE2D5" w:themeFill="accent2" w:themeFillTint="33"/>
            <w:vAlign w:val="center"/>
          </w:tcPr>
          <w:p w14:paraId="7EAB062E" w14:textId="5D17A1ED" w:rsidR="00827975" w:rsidRPr="006C15AA" w:rsidRDefault="00827975" w:rsidP="006C15AA">
            <w:pPr>
              <w:pStyle w:val="a6"/>
              <w:numPr>
                <w:ilvl w:val="0"/>
                <w:numId w:val="1"/>
              </w:numPr>
              <w:ind w:left="284"/>
              <w:jc w:val="both"/>
              <w:rPr>
                <w:rFonts w:ascii="Times New Roman" w:eastAsia="맑은 고딕" w:hAnsi="Times New Roman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운용사명</w:t>
            </w:r>
          </w:p>
        </w:tc>
        <w:tc>
          <w:tcPr>
            <w:tcW w:w="7036" w:type="dxa"/>
          </w:tcPr>
          <w:p w14:paraId="02190D99" w14:textId="54769F5E" w:rsidR="00827975" w:rsidRPr="006C15AA" w:rsidRDefault="00827975">
            <w:pPr>
              <w:rPr>
                <w:rFonts w:ascii="Times New Roman" w:eastAsia="맑은 고딕" w:hAnsi="Times New Roman"/>
              </w:rPr>
            </w:pPr>
            <w:proofErr w:type="spellStart"/>
            <w:r w:rsidRPr="006C15AA">
              <w:rPr>
                <w:rFonts w:ascii="Times New Roman" w:eastAsia="맑은 고딕" w:hAnsi="Times New Roman" w:hint="eastAsia"/>
              </w:rPr>
              <w:t>한앤컴퍼니</w:t>
            </w:r>
            <w:proofErr w:type="spellEnd"/>
            <w:r w:rsidRPr="006C15AA">
              <w:rPr>
                <w:rFonts w:ascii="Times New Roman" w:eastAsia="맑은 고딕" w:hAnsi="Times New Roman" w:hint="eastAsia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</w:rPr>
              <w:t>유한책임회사</w:t>
            </w:r>
          </w:p>
        </w:tc>
      </w:tr>
      <w:tr w:rsidR="00827975" w14:paraId="5C7FA2D5" w14:textId="77777777" w:rsidTr="00F07ADC">
        <w:tc>
          <w:tcPr>
            <w:tcW w:w="1980" w:type="dxa"/>
            <w:shd w:val="clear" w:color="auto" w:fill="FAE2D5" w:themeFill="accent2" w:themeFillTint="33"/>
            <w:vAlign w:val="center"/>
          </w:tcPr>
          <w:p w14:paraId="1789CA5E" w14:textId="4ADA5E82" w:rsidR="00827975" w:rsidRPr="006C15AA" w:rsidRDefault="00827975" w:rsidP="006C15AA">
            <w:pPr>
              <w:pStyle w:val="a6"/>
              <w:numPr>
                <w:ilvl w:val="0"/>
                <w:numId w:val="1"/>
              </w:numPr>
              <w:ind w:left="284"/>
              <w:jc w:val="both"/>
              <w:rPr>
                <w:rFonts w:ascii="Times New Roman" w:eastAsia="맑은 고딕" w:hAnsi="Times New Roman" w:hint="eastAsia"/>
                <w:b/>
                <w:bCs/>
              </w:rPr>
            </w:pPr>
            <w:proofErr w:type="spellStart"/>
            <w:r w:rsidRPr="006C15AA">
              <w:rPr>
                <w:rFonts w:ascii="Times New Roman" w:eastAsia="맑은 고딕" w:hAnsi="Times New Roman" w:hint="eastAsia"/>
                <w:b/>
                <w:bCs/>
              </w:rPr>
              <w:t>펀드명</w:t>
            </w:r>
            <w:proofErr w:type="spellEnd"/>
          </w:p>
        </w:tc>
        <w:tc>
          <w:tcPr>
            <w:tcW w:w="7036" w:type="dxa"/>
          </w:tcPr>
          <w:p w14:paraId="1C2542C8" w14:textId="1788C0E7" w:rsidR="00827975" w:rsidRPr="006C15AA" w:rsidRDefault="00827975">
            <w:pPr>
              <w:rPr>
                <w:rFonts w:ascii="Times New Roman" w:eastAsia="맑은 고딕" w:hAnsi="Times New Roman"/>
              </w:rPr>
            </w:pPr>
            <w:proofErr w:type="spellStart"/>
            <w:r w:rsidRPr="006C15AA">
              <w:rPr>
                <w:rFonts w:ascii="Times New Roman" w:eastAsia="맑은 고딕" w:hAnsi="Times New Roman" w:hint="eastAsia"/>
              </w:rPr>
              <w:t>한앤컴퍼니</w:t>
            </w:r>
            <w:proofErr w:type="spellEnd"/>
            <w:r w:rsidRPr="006C15AA">
              <w:rPr>
                <w:rFonts w:ascii="Times New Roman" w:eastAsia="맑은 고딕" w:hAnsi="Times New Roman" w:hint="eastAsia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</w:rPr>
              <w:t>제</w:t>
            </w:r>
            <w:r w:rsidRPr="006C15AA">
              <w:rPr>
                <w:rFonts w:ascii="Times New Roman" w:eastAsia="맑은 고딕" w:hAnsi="Times New Roman" w:hint="eastAsia"/>
              </w:rPr>
              <w:t>4</w:t>
            </w:r>
            <w:r w:rsidRPr="006C15AA">
              <w:rPr>
                <w:rFonts w:ascii="Times New Roman" w:eastAsia="맑은 고딕" w:hAnsi="Times New Roman" w:hint="eastAsia"/>
              </w:rPr>
              <w:t>의</w:t>
            </w:r>
            <w:r w:rsidRPr="006C15AA">
              <w:rPr>
                <w:rFonts w:ascii="Times New Roman" w:eastAsia="맑은 고딕" w:hAnsi="Times New Roman" w:hint="eastAsia"/>
              </w:rPr>
              <w:t>3</w:t>
            </w:r>
            <w:r w:rsidRPr="006C15AA">
              <w:rPr>
                <w:rFonts w:ascii="Times New Roman" w:eastAsia="맑은 고딕" w:hAnsi="Times New Roman" w:hint="eastAsia"/>
              </w:rPr>
              <w:t>호</w:t>
            </w:r>
            <w:r w:rsidRPr="006C15AA">
              <w:rPr>
                <w:rFonts w:ascii="Times New Roman" w:eastAsia="맑은 고딕" w:hAnsi="Times New Roman" w:hint="eastAsia"/>
              </w:rPr>
              <w:t xml:space="preserve"> </w:t>
            </w:r>
            <w:proofErr w:type="spellStart"/>
            <w:r w:rsidRPr="006C15AA">
              <w:rPr>
                <w:rFonts w:ascii="Times New Roman" w:eastAsia="맑은 고딕" w:hAnsi="Times New Roman" w:hint="eastAsia"/>
              </w:rPr>
              <w:t>사모투자합자회사</w:t>
            </w:r>
            <w:proofErr w:type="spellEnd"/>
          </w:p>
        </w:tc>
      </w:tr>
      <w:tr w:rsidR="00827975" w14:paraId="535E4157" w14:textId="77777777" w:rsidTr="00F07ADC">
        <w:tc>
          <w:tcPr>
            <w:tcW w:w="1980" w:type="dxa"/>
            <w:shd w:val="clear" w:color="auto" w:fill="FAE2D5" w:themeFill="accent2" w:themeFillTint="33"/>
            <w:vAlign w:val="center"/>
          </w:tcPr>
          <w:p w14:paraId="2796BDB7" w14:textId="6D58B046" w:rsidR="00827975" w:rsidRPr="006C15AA" w:rsidRDefault="00827975" w:rsidP="006C15AA">
            <w:pPr>
              <w:pStyle w:val="a6"/>
              <w:numPr>
                <w:ilvl w:val="0"/>
                <w:numId w:val="1"/>
              </w:numPr>
              <w:ind w:left="284"/>
              <w:jc w:val="both"/>
              <w:rPr>
                <w:rFonts w:ascii="Times New Roman" w:eastAsia="맑은 고딕" w:hAnsi="Times New Roman" w:hint="eastAsia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투자구조도</w:t>
            </w:r>
          </w:p>
        </w:tc>
        <w:tc>
          <w:tcPr>
            <w:tcW w:w="7036" w:type="dxa"/>
          </w:tcPr>
          <w:p w14:paraId="5F5863FA" w14:textId="77777777" w:rsidR="006C15AA" w:rsidRDefault="006C15AA" w:rsidP="00827975">
            <w:pPr>
              <w:rPr>
                <w:rFonts w:ascii="Times New Roman" w:eastAsia="맑은 고딕" w:hAnsi="Times New Roman"/>
              </w:rPr>
            </w:pPr>
          </w:p>
          <w:p w14:paraId="7BECE36D" w14:textId="4D12A533" w:rsidR="00827975" w:rsidRDefault="006C15AA" w:rsidP="0040382A">
            <w:pPr>
              <w:jc w:val="center"/>
              <w:rPr>
                <w:rFonts w:ascii="Times New Roman" w:eastAsia="맑은 고딕" w:hAnsi="Times New Roman"/>
              </w:rPr>
            </w:pPr>
            <w:r>
              <w:rPr>
                <w:rFonts w:ascii="Times New Roman" w:eastAsia="맑은 고딕" w:hAnsi="Times New Roman"/>
                <w:noProof/>
              </w:rPr>
              <w:drawing>
                <wp:inline distT="0" distB="0" distL="0" distR="0" wp14:anchorId="3D8FAFCB" wp14:editId="0FB8E1B5">
                  <wp:extent cx="3511550" cy="2207260"/>
                  <wp:effectExtent l="0" t="0" r="0" b="2540"/>
                  <wp:docPr id="145295008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0" cy="2207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CF8E461" w14:textId="42B7A80F" w:rsidR="006C15AA" w:rsidRPr="006C15AA" w:rsidRDefault="006C15AA" w:rsidP="00827975">
            <w:pPr>
              <w:rPr>
                <w:rFonts w:ascii="Times New Roman" w:eastAsia="맑은 고딕" w:hAnsi="Times New Roman" w:hint="eastAsia"/>
              </w:rPr>
            </w:pPr>
          </w:p>
        </w:tc>
      </w:tr>
      <w:tr w:rsidR="00827975" w14:paraId="2B5EDAC5" w14:textId="77777777" w:rsidTr="00F07ADC">
        <w:tc>
          <w:tcPr>
            <w:tcW w:w="1980" w:type="dxa"/>
            <w:shd w:val="clear" w:color="auto" w:fill="FAE2D5" w:themeFill="accent2" w:themeFillTint="33"/>
            <w:vAlign w:val="center"/>
          </w:tcPr>
          <w:p w14:paraId="50A08F7A" w14:textId="77777777" w:rsidR="00827975" w:rsidRPr="006C15AA" w:rsidRDefault="00827975" w:rsidP="006C15AA">
            <w:pPr>
              <w:pStyle w:val="a6"/>
              <w:numPr>
                <w:ilvl w:val="0"/>
                <w:numId w:val="1"/>
              </w:numPr>
              <w:ind w:left="284"/>
              <w:jc w:val="both"/>
              <w:rPr>
                <w:rFonts w:ascii="Times New Roman" w:eastAsia="맑은 고딕" w:hAnsi="Times New Roman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처분이익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</w:p>
          <w:p w14:paraId="61FD9A38" w14:textId="29C6F48D" w:rsidR="00827975" w:rsidRPr="006C15AA" w:rsidRDefault="00827975" w:rsidP="006C15AA">
            <w:pPr>
              <w:pStyle w:val="a6"/>
              <w:ind w:left="284"/>
              <w:jc w:val="both"/>
              <w:rPr>
                <w:rFonts w:ascii="Times New Roman" w:eastAsia="맑은 고딕" w:hAnsi="Times New Roman" w:hint="eastAsia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배분구조</w:t>
            </w:r>
          </w:p>
        </w:tc>
        <w:tc>
          <w:tcPr>
            <w:tcW w:w="7036" w:type="dxa"/>
          </w:tcPr>
          <w:p w14:paraId="5EEF48ED" w14:textId="37B2F018" w:rsidR="00827975" w:rsidRPr="006C15AA" w:rsidRDefault="006C15AA" w:rsidP="000708D8">
            <w:pPr>
              <w:pStyle w:val="3"/>
              <w:widowControl/>
              <w:numPr>
                <w:ilvl w:val="0"/>
                <w:numId w:val="3"/>
              </w:numPr>
              <w:spacing w:before="80" w:line="460" w:lineRule="atLeast"/>
              <w:ind w:left="357" w:hanging="357"/>
              <w:rPr>
                <w:rFonts w:ascii="Times New Roman" w:eastAsia="맑은 고딕" w:hAnsi="Times New Roman"/>
                <w:b/>
                <w:bCs/>
                <w:w w:val="0"/>
                <w:sz w:val="22"/>
                <w:szCs w:val="22"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 xml:space="preserve">PEF 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>처분이익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>배분구조</w:t>
            </w:r>
          </w:p>
          <w:p w14:paraId="46012D47" w14:textId="3DD12E11" w:rsidR="006C15AA" w:rsidRPr="006C15AA" w:rsidRDefault="006C15AA" w:rsidP="006C15AA">
            <w:pPr>
              <w:rPr>
                <w:rFonts w:hint="eastAsia"/>
                <w:szCs w:val="22"/>
              </w:rPr>
            </w:pPr>
            <w:r w:rsidRPr="006C15AA">
              <w:rPr>
                <w:rFonts w:hint="eastAsia"/>
                <w:szCs w:val="22"/>
              </w:rPr>
              <w:t>(근거: 정관 제4.3조)</w:t>
            </w:r>
          </w:p>
          <w:p w14:paraId="478DE4AF" w14:textId="1DA87168" w:rsidR="00827975" w:rsidRPr="006C15AA" w:rsidRDefault="00827975" w:rsidP="006C15AA">
            <w:pPr>
              <w:pStyle w:val="3"/>
              <w:widowControl/>
              <w:numPr>
                <w:ilvl w:val="0"/>
                <w:numId w:val="2"/>
              </w:numPr>
              <w:spacing w:before="120" w:after="120" w:line="320" w:lineRule="exact"/>
              <w:ind w:left="357" w:hanging="357"/>
              <w:rPr>
                <w:rFonts w:ascii="Times New Roman" w:eastAsia="맑은 고딕" w:hAnsi="Times New Roman"/>
                <w:w w:val="0"/>
                <w:sz w:val="22"/>
                <w:szCs w:val="22"/>
              </w:rPr>
            </w:pP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각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유한책임사원의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당시의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총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출자금액에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달할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때까지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그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유한책임사원에게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100%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를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bookmarkStart w:id="0" w:name="_DV_M700"/>
            <w:bookmarkStart w:id="1" w:name="_DV_M701"/>
            <w:bookmarkStart w:id="2" w:name="_DV_M702"/>
            <w:bookmarkStart w:id="3" w:name="_DV_M704"/>
            <w:bookmarkStart w:id="4" w:name="_Ref253652160"/>
            <w:bookmarkEnd w:id="0"/>
            <w:bookmarkEnd w:id="1"/>
            <w:bookmarkEnd w:id="2"/>
            <w:bookmarkEnd w:id="3"/>
          </w:p>
          <w:p w14:paraId="298AF6DA" w14:textId="5F9E7D6E" w:rsidR="00827975" w:rsidRPr="006C15AA" w:rsidRDefault="00827975" w:rsidP="006C15AA">
            <w:pPr>
              <w:pStyle w:val="3"/>
              <w:widowControl/>
              <w:numPr>
                <w:ilvl w:val="0"/>
                <w:numId w:val="2"/>
              </w:numPr>
              <w:spacing w:before="120" w:after="120" w:line="320" w:lineRule="exact"/>
              <w:ind w:left="357" w:hanging="357"/>
              <w:rPr>
                <w:rFonts w:ascii="Times New Roman" w:eastAsia="맑은 고딕" w:hAnsi="Times New Roman"/>
                <w:w w:val="0"/>
                <w:sz w:val="22"/>
                <w:szCs w:val="22"/>
              </w:rPr>
            </w:pPr>
            <w:bookmarkStart w:id="5" w:name="_DV_M705"/>
            <w:bookmarkStart w:id="6" w:name="_Ref132643183"/>
            <w:bookmarkEnd w:id="4"/>
            <w:bookmarkEnd w:id="5"/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각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유한책임사원의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당시까지의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미지급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우선배분금액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(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연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복리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8%)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이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0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이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될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때까지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,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각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유한책임사원에게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100%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를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bookmarkStart w:id="7" w:name="_Ref303960330"/>
            <w:bookmarkStart w:id="8" w:name="_Ref253652182"/>
            <w:bookmarkEnd w:id="6"/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(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단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,</w:t>
            </w:r>
            <w:r w:rsidR="000708D8"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임시투자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관련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출자금액에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대해서는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본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항을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적용하지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않음</w:t>
            </w:r>
            <w:r w:rsidR="000708D8"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)</w:t>
            </w:r>
          </w:p>
          <w:p w14:paraId="532CC48A" w14:textId="159C3398" w:rsidR="00827975" w:rsidRPr="006C15AA" w:rsidRDefault="00827975" w:rsidP="006C15AA">
            <w:pPr>
              <w:pStyle w:val="3"/>
              <w:widowControl/>
              <w:numPr>
                <w:ilvl w:val="0"/>
                <w:numId w:val="2"/>
              </w:numPr>
              <w:spacing w:before="120" w:after="120" w:line="320" w:lineRule="exact"/>
              <w:ind w:left="357" w:hanging="357"/>
              <w:rPr>
                <w:rFonts w:ascii="Times New Roman" w:eastAsia="맑은 고딕" w:hAnsi="Times New Roman"/>
                <w:w w:val="0"/>
                <w:sz w:val="22"/>
                <w:szCs w:val="22"/>
              </w:rPr>
            </w:pPr>
            <w:bookmarkStart w:id="9" w:name="_DV_M709"/>
            <w:bookmarkStart w:id="10" w:name="_Ref132636617"/>
            <w:bookmarkEnd w:id="7"/>
            <w:bookmarkEnd w:id="8"/>
            <w:bookmarkEnd w:id="9"/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성과보수로서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,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위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fldChar w:fldCharType="begin" w:fldLock="1"/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instrText xml:space="preserve"> </w:instrTex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instrText>REF _Ref132643183 \r \h</w:instrTex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instrText xml:space="preserve"> </w:instrTex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</w:r>
            <w:r w:rsidR="00555550"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instrText xml:space="preserve"> \* MERGEFORMAT </w:instrTex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fldChar w:fldCharType="separate"/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제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(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2)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항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fldChar w:fldCharType="end"/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에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따라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유한책임사원에게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지급된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금액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및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본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항에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따라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업무집행사원에게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지급되는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금액의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합계액의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20%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에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달할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때까지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업무집행사원에게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100%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를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bookmarkStart w:id="11" w:name="_DV_M710"/>
            <w:bookmarkStart w:id="12" w:name="_DV_M711"/>
            <w:bookmarkStart w:id="13" w:name="_DV_M713"/>
            <w:bookmarkStart w:id="14" w:name="_DV_M714"/>
            <w:bookmarkStart w:id="15" w:name="_DV_M715"/>
            <w:bookmarkStart w:id="16" w:name="_DV_M718"/>
            <w:bookmarkStart w:id="17" w:name="_Ref253576980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  <w:p w14:paraId="777CB693" w14:textId="68C16DCF" w:rsidR="00827975" w:rsidRPr="006C15AA" w:rsidRDefault="00827975" w:rsidP="006C15AA">
            <w:pPr>
              <w:pStyle w:val="3"/>
              <w:widowControl/>
              <w:numPr>
                <w:ilvl w:val="0"/>
                <w:numId w:val="2"/>
              </w:numPr>
              <w:spacing w:before="120" w:after="120" w:line="320" w:lineRule="exact"/>
              <w:ind w:left="357" w:hanging="357"/>
              <w:rPr>
                <w:rFonts w:ascii="Times New Roman" w:eastAsia="맑은 고딕" w:hAnsi="Times New Roman"/>
                <w:w w:val="0"/>
                <w:sz w:val="22"/>
                <w:szCs w:val="22"/>
              </w:rPr>
            </w:pPr>
            <w:bookmarkStart w:id="18" w:name="_DV_M719"/>
            <w:bookmarkStart w:id="19" w:name="_DV_M721"/>
            <w:bookmarkStart w:id="20" w:name="_Ref132642703"/>
            <w:bookmarkStart w:id="21" w:name="_Ref253577004"/>
            <w:bookmarkEnd w:id="17"/>
            <w:bookmarkEnd w:id="18"/>
            <w:bookmarkEnd w:id="19"/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성과보수로서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업무집행사원에게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20%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,</w:t>
            </w:r>
            <w:r w:rsidRPr="006C15A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유한책임사원에게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나머지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80%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의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비율로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전액을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bookmarkEnd w:id="20"/>
          </w:p>
          <w:bookmarkEnd w:id="21"/>
          <w:p w14:paraId="27C0E2CA" w14:textId="0A1DDD45" w:rsidR="000D73BA" w:rsidRDefault="000D73BA" w:rsidP="000D73BA">
            <w:pPr>
              <w:pStyle w:val="3"/>
              <w:widowControl/>
              <w:numPr>
                <w:ilvl w:val="0"/>
                <w:numId w:val="3"/>
              </w:numPr>
              <w:spacing w:line="460" w:lineRule="atLeast"/>
              <w:ind w:left="357" w:hanging="357"/>
              <w:rPr>
                <w:rFonts w:ascii="Times New Roman" w:eastAsia="맑은 고딕" w:hAnsi="Times New Roman"/>
                <w:b/>
                <w:bCs/>
                <w:w w:val="0"/>
                <w:sz w:val="22"/>
                <w:szCs w:val="22"/>
              </w:rPr>
            </w:pPr>
            <w:r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 xml:space="preserve">SPC 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>처분이익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>배분구조</w:t>
            </w:r>
          </w:p>
          <w:p w14:paraId="2DC91F13" w14:textId="2D7EB2C4" w:rsidR="000D73BA" w:rsidRDefault="000D73BA" w:rsidP="000D73BA">
            <w:pPr>
              <w:rPr>
                <w:szCs w:val="22"/>
              </w:rPr>
            </w:pPr>
            <w:r w:rsidRPr="006C15AA">
              <w:rPr>
                <w:rFonts w:hint="eastAsia"/>
                <w:szCs w:val="22"/>
              </w:rPr>
              <w:t xml:space="preserve">(근거: </w:t>
            </w:r>
            <w:proofErr w:type="spellStart"/>
            <w:r>
              <w:rPr>
                <w:rFonts w:hint="eastAsia"/>
                <w:szCs w:val="22"/>
              </w:rPr>
              <w:t>한앤코메드테크홀딩스제</w:t>
            </w:r>
            <w:proofErr w:type="spellEnd"/>
            <w:r>
              <w:rPr>
                <w:rFonts w:hint="eastAsia"/>
                <w:szCs w:val="22"/>
              </w:rPr>
              <w:t xml:space="preserve">1호 </w:t>
            </w:r>
            <w:r w:rsidRPr="006C15AA">
              <w:rPr>
                <w:rFonts w:hint="eastAsia"/>
                <w:szCs w:val="22"/>
              </w:rPr>
              <w:t>정관 제</w:t>
            </w:r>
            <w:r>
              <w:rPr>
                <w:rFonts w:hint="eastAsia"/>
                <w:szCs w:val="22"/>
              </w:rPr>
              <w:t>29</w:t>
            </w:r>
            <w:r w:rsidRPr="006C15AA">
              <w:rPr>
                <w:rFonts w:hint="eastAsia"/>
                <w:szCs w:val="22"/>
              </w:rPr>
              <w:t>조</w:t>
            </w:r>
            <w:r>
              <w:rPr>
                <w:rFonts w:hint="eastAsia"/>
                <w:szCs w:val="22"/>
              </w:rPr>
              <w:t xml:space="preserve"> 제2항 및 제4항,</w:t>
            </w:r>
            <w:r w:rsidR="00A71DE1">
              <w:rPr>
                <w:rFonts w:hint="eastAsia"/>
                <w:szCs w:val="22"/>
              </w:rPr>
              <w:t xml:space="preserve"> </w:t>
            </w:r>
            <w:proofErr w:type="spellStart"/>
            <w:r w:rsidR="00A71DE1">
              <w:rPr>
                <w:rFonts w:hint="eastAsia"/>
                <w:szCs w:val="22"/>
              </w:rPr>
              <w:t>한앤코실리콘홀딩스</w:t>
            </w:r>
            <w:proofErr w:type="spellEnd"/>
            <w:r w:rsidR="00A71DE1">
              <w:rPr>
                <w:rFonts w:hint="eastAsia"/>
                <w:szCs w:val="22"/>
              </w:rPr>
              <w:t xml:space="preserve"> 정관 제29조 제1항 및 제3항</w:t>
            </w:r>
            <w:r w:rsidRPr="006C15AA">
              <w:rPr>
                <w:rFonts w:hint="eastAsia"/>
                <w:szCs w:val="22"/>
              </w:rPr>
              <w:t>)</w:t>
            </w:r>
          </w:p>
          <w:p w14:paraId="59123A99" w14:textId="086B2E62" w:rsidR="000D73BA" w:rsidRPr="000D73BA" w:rsidRDefault="000D73BA" w:rsidP="000D73BA">
            <w:pPr>
              <w:pStyle w:val="3"/>
              <w:widowControl/>
              <w:numPr>
                <w:ilvl w:val="0"/>
                <w:numId w:val="5"/>
              </w:numPr>
              <w:spacing w:before="120" w:after="120" w:line="320" w:lineRule="exact"/>
              <w:ind w:left="357" w:hanging="357"/>
              <w:rPr>
                <w:rFonts w:ascii="Times New Roman" w:eastAsia="맑은 고딕" w:hAnsi="Times New Roman" w:hint="eastAsia"/>
              </w:rPr>
            </w:pP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사원총회의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결의로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사원에게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분배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하며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,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분배의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시기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,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기준일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,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방법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,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금액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및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이에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관한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세부사항은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사원총회에서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정</w:t>
            </w:r>
            <w:r w:rsidR="000708D8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함</w:t>
            </w:r>
          </w:p>
        </w:tc>
      </w:tr>
      <w:tr w:rsidR="00555550" w14:paraId="3A8ACFFE" w14:textId="77777777" w:rsidTr="00F07ADC">
        <w:tc>
          <w:tcPr>
            <w:tcW w:w="1980" w:type="dxa"/>
            <w:shd w:val="clear" w:color="auto" w:fill="FAE2D5" w:themeFill="accent2" w:themeFillTint="33"/>
            <w:vAlign w:val="center"/>
          </w:tcPr>
          <w:p w14:paraId="2CA33582" w14:textId="77777777" w:rsidR="00787D26" w:rsidRDefault="006C15AA" w:rsidP="006C15AA">
            <w:pPr>
              <w:jc w:val="both"/>
              <w:rPr>
                <w:rFonts w:ascii="Times New Roman" w:eastAsia="맑은 고딕" w:hAnsi="Times New Roman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4-1. 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차등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</w:p>
          <w:p w14:paraId="54DA9C91" w14:textId="77777777" w:rsidR="00787D26" w:rsidRDefault="006C15AA" w:rsidP="006C15AA">
            <w:pPr>
              <w:jc w:val="both"/>
              <w:rPr>
                <w:rFonts w:ascii="Times New Roman" w:eastAsia="맑은 고딕" w:hAnsi="Times New Roman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정산분배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조항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</w:p>
          <w:p w14:paraId="36F4E7CC" w14:textId="0C48831D" w:rsidR="00555550" w:rsidRPr="006C15AA" w:rsidRDefault="006C15AA" w:rsidP="006C15AA">
            <w:pPr>
              <w:jc w:val="both"/>
              <w:rPr>
                <w:rFonts w:ascii="Times New Roman" w:eastAsia="맑은 고딕" w:hAnsi="Times New Roman" w:hint="eastAsia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존재하는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>경우</w:t>
            </w:r>
          </w:p>
        </w:tc>
        <w:tc>
          <w:tcPr>
            <w:tcW w:w="7036" w:type="dxa"/>
          </w:tcPr>
          <w:p w14:paraId="6C6D5CB7" w14:textId="336FBD8C" w:rsidR="00555550" w:rsidRPr="006C15AA" w:rsidRDefault="006C15AA" w:rsidP="00827975">
            <w:pPr>
              <w:pStyle w:val="3"/>
              <w:widowControl/>
              <w:numPr>
                <w:ilvl w:val="2"/>
                <w:numId w:val="0"/>
              </w:numPr>
              <w:tabs>
                <w:tab w:val="num" w:pos="360"/>
              </w:tabs>
              <w:spacing w:line="460" w:lineRule="atLeast"/>
              <w:rPr>
                <w:rFonts w:ascii="Times New Roman" w:eastAsia="맑은 고딕" w:hAnsi="Times New Roman" w:hint="eastAsia"/>
                <w:w w:val="0"/>
                <w:sz w:val="23"/>
                <w:szCs w:val="23"/>
              </w:rPr>
            </w:pPr>
            <w:r w:rsidRPr="006C15AA">
              <w:rPr>
                <w:rFonts w:ascii="Times New Roman" w:eastAsia="맑은 고딕" w:hAnsi="Times New Roman" w:hint="eastAsia"/>
                <w:w w:val="0"/>
                <w:sz w:val="23"/>
                <w:szCs w:val="23"/>
              </w:rPr>
              <w:t>해당사항</w:t>
            </w:r>
            <w:r w:rsidRPr="006C15AA">
              <w:rPr>
                <w:rFonts w:ascii="Times New Roman" w:eastAsia="맑은 고딕" w:hAnsi="Times New Roman" w:hint="eastAsia"/>
                <w:w w:val="0"/>
                <w:sz w:val="23"/>
                <w:szCs w:val="23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3"/>
                <w:szCs w:val="23"/>
              </w:rPr>
              <w:t>없음</w:t>
            </w:r>
          </w:p>
        </w:tc>
      </w:tr>
    </w:tbl>
    <w:p w14:paraId="74F2C716" w14:textId="77777777" w:rsidR="000708D8" w:rsidRDefault="000708D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0382A" w14:paraId="302BDFAB" w14:textId="77777777" w:rsidTr="003F0E0E">
        <w:tc>
          <w:tcPr>
            <w:tcW w:w="1980" w:type="dxa"/>
            <w:shd w:val="clear" w:color="auto" w:fill="FAE2D5" w:themeFill="accent2" w:themeFillTint="33"/>
            <w:vAlign w:val="center"/>
          </w:tcPr>
          <w:p w14:paraId="4B1AB132" w14:textId="12F1842F" w:rsidR="0040382A" w:rsidRPr="0040382A" w:rsidRDefault="0040382A" w:rsidP="0040382A">
            <w:pPr>
              <w:pStyle w:val="a6"/>
              <w:numPr>
                <w:ilvl w:val="0"/>
                <w:numId w:val="6"/>
              </w:numPr>
              <w:ind w:left="284"/>
              <w:jc w:val="both"/>
              <w:rPr>
                <w:rFonts w:ascii="Times New Roman" w:eastAsia="맑은 고딕" w:hAnsi="Times New Roman"/>
                <w:b/>
                <w:bCs/>
              </w:rPr>
            </w:pPr>
            <w:r w:rsidRPr="0040382A">
              <w:rPr>
                <w:rFonts w:ascii="Times New Roman" w:eastAsia="맑은 고딕" w:hAnsi="Times New Roman" w:hint="eastAsia"/>
                <w:b/>
                <w:bCs/>
              </w:rPr>
              <w:lastRenderedPageBreak/>
              <w:t>운용사명</w:t>
            </w:r>
          </w:p>
        </w:tc>
        <w:tc>
          <w:tcPr>
            <w:tcW w:w="7036" w:type="dxa"/>
          </w:tcPr>
          <w:p w14:paraId="5A0C97E4" w14:textId="77777777" w:rsidR="0040382A" w:rsidRPr="006C15AA" w:rsidRDefault="0040382A" w:rsidP="003F0E0E">
            <w:pPr>
              <w:rPr>
                <w:rFonts w:ascii="Times New Roman" w:eastAsia="맑은 고딕" w:hAnsi="Times New Roman"/>
              </w:rPr>
            </w:pPr>
            <w:proofErr w:type="spellStart"/>
            <w:r w:rsidRPr="006C15AA">
              <w:rPr>
                <w:rFonts w:ascii="Times New Roman" w:eastAsia="맑은 고딕" w:hAnsi="Times New Roman" w:hint="eastAsia"/>
              </w:rPr>
              <w:t>한앤컴퍼니</w:t>
            </w:r>
            <w:proofErr w:type="spellEnd"/>
            <w:r w:rsidRPr="006C15AA">
              <w:rPr>
                <w:rFonts w:ascii="Times New Roman" w:eastAsia="맑은 고딕" w:hAnsi="Times New Roman" w:hint="eastAsia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</w:rPr>
              <w:t>유한책임회사</w:t>
            </w:r>
          </w:p>
        </w:tc>
      </w:tr>
      <w:tr w:rsidR="0040382A" w14:paraId="6BB731F0" w14:textId="77777777" w:rsidTr="003F0E0E">
        <w:tc>
          <w:tcPr>
            <w:tcW w:w="1980" w:type="dxa"/>
            <w:shd w:val="clear" w:color="auto" w:fill="FAE2D5" w:themeFill="accent2" w:themeFillTint="33"/>
            <w:vAlign w:val="center"/>
          </w:tcPr>
          <w:p w14:paraId="1E3074CC" w14:textId="77777777" w:rsidR="0040382A" w:rsidRPr="006C15AA" w:rsidRDefault="0040382A" w:rsidP="0040382A">
            <w:pPr>
              <w:pStyle w:val="a6"/>
              <w:numPr>
                <w:ilvl w:val="0"/>
                <w:numId w:val="6"/>
              </w:numPr>
              <w:ind w:left="284"/>
              <w:jc w:val="both"/>
              <w:rPr>
                <w:rFonts w:ascii="Times New Roman" w:eastAsia="맑은 고딕" w:hAnsi="Times New Roman" w:hint="eastAsia"/>
                <w:b/>
                <w:bCs/>
              </w:rPr>
            </w:pPr>
            <w:proofErr w:type="spellStart"/>
            <w:r w:rsidRPr="006C15AA">
              <w:rPr>
                <w:rFonts w:ascii="Times New Roman" w:eastAsia="맑은 고딕" w:hAnsi="Times New Roman" w:hint="eastAsia"/>
                <w:b/>
                <w:bCs/>
              </w:rPr>
              <w:t>펀드명</w:t>
            </w:r>
            <w:proofErr w:type="spellEnd"/>
          </w:p>
        </w:tc>
        <w:tc>
          <w:tcPr>
            <w:tcW w:w="7036" w:type="dxa"/>
          </w:tcPr>
          <w:p w14:paraId="43FD6923" w14:textId="63FF3BD9" w:rsidR="0040382A" w:rsidRPr="006C15AA" w:rsidRDefault="0040382A" w:rsidP="003F0E0E">
            <w:pPr>
              <w:rPr>
                <w:rFonts w:ascii="Times New Roman" w:eastAsia="맑은 고딕" w:hAnsi="Times New Roman"/>
              </w:rPr>
            </w:pPr>
            <w:proofErr w:type="spellStart"/>
            <w:r w:rsidRPr="006C15AA">
              <w:rPr>
                <w:rFonts w:ascii="Times New Roman" w:eastAsia="맑은 고딕" w:hAnsi="Times New Roman" w:hint="eastAsia"/>
              </w:rPr>
              <w:t>한앤컴퍼니</w:t>
            </w:r>
            <w:proofErr w:type="spellEnd"/>
            <w:r w:rsidRPr="006C15AA">
              <w:rPr>
                <w:rFonts w:ascii="Times New Roman" w:eastAsia="맑은 고딕" w:hAnsi="Times New Roman" w:hint="eastAsia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</w:rPr>
              <w:t>제</w:t>
            </w:r>
            <w:r w:rsidRPr="006C15AA">
              <w:rPr>
                <w:rFonts w:ascii="Times New Roman" w:eastAsia="맑은 고딕" w:hAnsi="Times New Roman" w:hint="eastAsia"/>
              </w:rPr>
              <w:t>4</w:t>
            </w:r>
            <w:r w:rsidRPr="006C15AA">
              <w:rPr>
                <w:rFonts w:ascii="Times New Roman" w:eastAsia="맑은 고딕" w:hAnsi="Times New Roman" w:hint="eastAsia"/>
              </w:rPr>
              <w:t>의</w:t>
            </w:r>
            <w:r>
              <w:rPr>
                <w:rFonts w:ascii="Times New Roman" w:eastAsia="맑은 고딕" w:hAnsi="Times New Roman" w:hint="eastAsia"/>
              </w:rPr>
              <w:t>4</w:t>
            </w:r>
            <w:r w:rsidRPr="006C15AA">
              <w:rPr>
                <w:rFonts w:ascii="Times New Roman" w:eastAsia="맑은 고딕" w:hAnsi="Times New Roman" w:hint="eastAsia"/>
              </w:rPr>
              <w:t>호</w:t>
            </w:r>
            <w:r w:rsidRPr="006C15AA">
              <w:rPr>
                <w:rFonts w:ascii="Times New Roman" w:eastAsia="맑은 고딕" w:hAnsi="Times New Roman" w:hint="eastAsia"/>
              </w:rPr>
              <w:t xml:space="preserve"> </w:t>
            </w:r>
            <w:proofErr w:type="spellStart"/>
            <w:r w:rsidRPr="006C15AA">
              <w:rPr>
                <w:rFonts w:ascii="Times New Roman" w:eastAsia="맑은 고딕" w:hAnsi="Times New Roman" w:hint="eastAsia"/>
              </w:rPr>
              <w:t>사모투자합자회사</w:t>
            </w:r>
            <w:proofErr w:type="spellEnd"/>
          </w:p>
        </w:tc>
      </w:tr>
      <w:tr w:rsidR="0040382A" w14:paraId="27607136" w14:textId="77777777" w:rsidTr="003F0E0E">
        <w:tc>
          <w:tcPr>
            <w:tcW w:w="1980" w:type="dxa"/>
            <w:shd w:val="clear" w:color="auto" w:fill="FAE2D5" w:themeFill="accent2" w:themeFillTint="33"/>
            <w:vAlign w:val="center"/>
          </w:tcPr>
          <w:p w14:paraId="6E03B64D" w14:textId="77777777" w:rsidR="0040382A" w:rsidRPr="006C15AA" w:rsidRDefault="0040382A" w:rsidP="0040382A">
            <w:pPr>
              <w:pStyle w:val="a6"/>
              <w:numPr>
                <w:ilvl w:val="0"/>
                <w:numId w:val="6"/>
              </w:numPr>
              <w:ind w:left="284"/>
              <w:jc w:val="both"/>
              <w:rPr>
                <w:rFonts w:ascii="Times New Roman" w:eastAsia="맑은 고딕" w:hAnsi="Times New Roman" w:hint="eastAsia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투자구조도</w:t>
            </w:r>
          </w:p>
        </w:tc>
        <w:tc>
          <w:tcPr>
            <w:tcW w:w="7036" w:type="dxa"/>
          </w:tcPr>
          <w:p w14:paraId="1F759A64" w14:textId="77777777" w:rsidR="0040382A" w:rsidRDefault="0040382A" w:rsidP="003F0E0E">
            <w:pPr>
              <w:rPr>
                <w:rFonts w:ascii="Times New Roman" w:eastAsia="맑은 고딕" w:hAnsi="Times New Roman"/>
              </w:rPr>
            </w:pPr>
          </w:p>
          <w:p w14:paraId="7DB0AFE3" w14:textId="4F476FE4" w:rsidR="0040382A" w:rsidRDefault="0040382A" w:rsidP="0040382A">
            <w:pPr>
              <w:jc w:val="center"/>
              <w:rPr>
                <w:rFonts w:ascii="Times New Roman" w:eastAsia="맑은 고딕" w:hAnsi="Times New Roman"/>
              </w:rPr>
            </w:pPr>
            <w:r>
              <w:rPr>
                <w:rFonts w:ascii="Times New Roman" w:eastAsia="맑은 고딕" w:hAnsi="Times New Roman"/>
                <w:noProof/>
              </w:rPr>
              <w:drawing>
                <wp:inline distT="0" distB="0" distL="0" distR="0" wp14:anchorId="3CF8096A" wp14:editId="76950E03">
                  <wp:extent cx="1243965" cy="2145665"/>
                  <wp:effectExtent l="0" t="0" r="0" b="6985"/>
                  <wp:docPr id="151607820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21456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E589531" w14:textId="77777777" w:rsidR="0040382A" w:rsidRPr="006C15AA" w:rsidRDefault="0040382A" w:rsidP="003F0E0E">
            <w:pPr>
              <w:rPr>
                <w:rFonts w:ascii="Times New Roman" w:eastAsia="맑은 고딕" w:hAnsi="Times New Roman" w:hint="eastAsia"/>
              </w:rPr>
            </w:pPr>
          </w:p>
        </w:tc>
      </w:tr>
      <w:tr w:rsidR="0040382A" w14:paraId="5DE20E8B" w14:textId="77777777" w:rsidTr="003F0E0E">
        <w:tc>
          <w:tcPr>
            <w:tcW w:w="1980" w:type="dxa"/>
            <w:shd w:val="clear" w:color="auto" w:fill="FAE2D5" w:themeFill="accent2" w:themeFillTint="33"/>
            <w:vAlign w:val="center"/>
          </w:tcPr>
          <w:p w14:paraId="39E3FA90" w14:textId="77777777" w:rsidR="0040382A" w:rsidRPr="006C15AA" w:rsidRDefault="0040382A" w:rsidP="0040382A">
            <w:pPr>
              <w:pStyle w:val="a6"/>
              <w:numPr>
                <w:ilvl w:val="0"/>
                <w:numId w:val="6"/>
              </w:numPr>
              <w:ind w:left="284"/>
              <w:jc w:val="both"/>
              <w:rPr>
                <w:rFonts w:ascii="Times New Roman" w:eastAsia="맑은 고딕" w:hAnsi="Times New Roman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처분이익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</w:p>
          <w:p w14:paraId="7A1026E6" w14:textId="77777777" w:rsidR="0040382A" w:rsidRPr="006C15AA" w:rsidRDefault="0040382A" w:rsidP="003F0E0E">
            <w:pPr>
              <w:pStyle w:val="a6"/>
              <w:ind w:left="284"/>
              <w:jc w:val="both"/>
              <w:rPr>
                <w:rFonts w:ascii="Times New Roman" w:eastAsia="맑은 고딕" w:hAnsi="Times New Roman" w:hint="eastAsia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배분구조</w:t>
            </w:r>
          </w:p>
        </w:tc>
        <w:tc>
          <w:tcPr>
            <w:tcW w:w="7036" w:type="dxa"/>
          </w:tcPr>
          <w:p w14:paraId="58B1356C" w14:textId="77777777" w:rsidR="0040382A" w:rsidRPr="006C15AA" w:rsidRDefault="0040382A" w:rsidP="000708D8">
            <w:pPr>
              <w:pStyle w:val="3"/>
              <w:widowControl/>
              <w:numPr>
                <w:ilvl w:val="0"/>
                <w:numId w:val="7"/>
              </w:numPr>
              <w:spacing w:before="80" w:line="460" w:lineRule="atLeast"/>
              <w:ind w:left="357" w:hanging="357"/>
              <w:rPr>
                <w:rFonts w:ascii="Times New Roman" w:eastAsia="맑은 고딕" w:hAnsi="Times New Roman"/>
                <w:b/>
                <w:bCs/>
                <w:w w:val="0"/>
                <w:sz w:val="22"/>
                <w:szCs w:val="22"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 xml:space="preserve">PEF 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>처분이익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>배분구조</w:t>
            </w:r>
          </w:p>
          <w:p w14:paraId="215B516B" w14:textId="77777777" w:rsidR="0040382A" w:rsidRPr="006C15AA" w:rsidRDefault="0040382A" w:rsidP="003F0E0E">
            <w:pPr>
              <w:rPr>
                <w:rFonts w:hint="eastAsia"/>
                <w:szCs w:val="22"/>
              </w:rPr>
            </w:pPr>
            <w:r w:rsidRPr="006C15AA">
              <w:rPr>
                <w:rFonts w:hint="eastAsia"/>
                <w:szCs w:val="22"/>
              </w:rPr>
              <w:t>(근거: 정관 제4.3조)</w:t>
            </w:r>
          </w:p>
          <w:p w14:paraId="585CF2C7" w14:textId="4E9CA177" w:rsidR="0040382A" w:rsidRPr="0040382A" w:rsidRDefault="0040382A" w:rsidP="0040382A">
            <w:pPr>
              <w:pStyle w:val="3"/>
              <w:widowControl/>
              <w:numPr>
                <w:ilvl w:val="0"/>
                <w:numId w:val="10"/>
              </w:numPr>
              <w:tabs>
                <w:tab w:val="num" w:pos="360"/>
              </w:tabs>
              <w:spacing w:before="120" w:after="120" w:line="320" w:lineRule="exact"/>
              <w:ind w:left="357" w:hanging="357"/>
              <w:rPr>
                <w:rFonts w:ascii="Times New Roman" w:eastAsia="맑은 고딕" w:hAnsi="Times New Roman"/>
                <w:w w:val="0"/>
                <w:sz w:val="22"/>
                <w:szCs w:val="22"/>
              </w:rPr>
            </w:pP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각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유한책임사원의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당시의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해당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투자목적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출자금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혹은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임시투자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목적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출자금액에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달할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때까지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각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유한책임사원에게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100%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를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배분함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.</w:t>
            </w:r>
          </w:p>
          <w:p w14:paraId="00DAA127" w14:textId="57C1F265" w:rsidR="0040382A" w:rsidRPr="0040382A" w:rsidRDefault="0040382A" w:rsidP="0040382A">
            <w:pPr>
              <w:pStyle w:val="3"/>
              <w:widowControl/>
              <w:numPr>
                <w:ilvl w:val="0"/>
                <w:numId w:val="10"/>
              </w:numPr>
              <w:tabs>
                <w:tab w:val="num" w:pos="360"/>
              </w:tabs>
              <w:spacing w:before="120" w:after="120" w:line="320" w:lineRule="exact"/>
              <w:ind w:left="357" w:hanging="357"/>
              <w:rPr>
                <w:rFonts w:ascii="Times New Roman" w:eastAsia="맑은 고딕" w:hAnsi="Times New Roman"/>
                <w:w w:val="0"/>
                <w:sz w:val="22"/>
                <w:szCs w:val="22"/>
              </w:rPr>
            </w:pPr>
            <w:bookmarkStart w:id="22" w:name="_Ref132747593"/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각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유한책임사원의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당시까지의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비용목적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출자금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전액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상당액을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각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유한책임사원에게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bookmarkEnd w:id="22"/>
          </w:p>
          <w:p w14:paraId="5E64F503" w14:textId="467CE76E" w:rsidR="0040382A" w:rsidRPr="0040382A" w:rsidRDefault="0040382A" w:rsidP="0040382A">
            <w:pPr>
              <w:pStyle w:val="3"/>
              <w:widowControl/>
              <w:numPr>
                <w:ilvl w:val="0"/>
                <w:numId w:val="10"/>
              </w:numPr>
              <w:tabs>
                <w:tab w:val="num" w:pos="360"/>
              </w:tabs>
              <w:spacing w:before="120" w:after="120" w:line="320" w:lineRule="exact"/>
              <w:ind w:left="357" w:hanging="357"/>
              <w:rPr>
                <w:rFonts w:ascii="Times New Roman" w:eastAsia="맑은 고딕" w:hAnsi="Times New Roman"/>
                <w:w w:val="0"/>
                <w:sz w:val="22"/>
                <w:szCs w:val="22"/>
              </w:rPr>
            </w:pPr>
            <w:bookmarkStart w:id="23" w:name="_Ref132747323"/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각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유한책임사원의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당시까지의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미지급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우선배분금액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(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연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복리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8%)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이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0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이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될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때까지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,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각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유한책임사원에게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100%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를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(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단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,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임시투자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관련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출자금액에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대해서는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본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항을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적용하지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않음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)</w:t>
            </w:r>
            <w:bookmarkStart w:id="24" w:name="_DV_M708"/>
            <w:bookmarkEnd w:id="24"/>
            <w:bookmarkEnd w:id="23"/>
          </w:p>
          <w:p w14:paraId="6218557F" w14:textId="36DCEC58" w:rsidR="0040382A" w:rsidRPr="0040382A" w:rsidRDefault="0040382A" w:rsidP="0040382A">
            <w:pPr>
              <w:pStyle w:val="3"/>
              <w:widowControl/>
              <w:numPr>
                <w:ilvl w:val="0"/>
                <w:numId w:val="10"/>
              </w:numPr>
              <w:tabs>
                <w:tab w:val="num" w:pos="360"/>
              </w:tabs>
              <w:spacing w:before="120" w:after="120" w:line="320" w:lineRule="exact"/>
              <w:ind w:left="357" w:hanging="357"/>
              <w:rPr>
                <w:rFonts w:ascii="Times New Roman" w:eastAsia="맑은 고딕" w:hAnsi="Times New Roman"/>
                <w:w w:val="0"/>
                <w:sz w:val="22"/>
                <w:szCs w:val="22"/>
              </w:rPr>
            </w:pPr>
            <w:bookmarkStart w:id="25" w:name="_Ref132746467"/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성과보수로서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,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위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제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fldChar w:fldCharType="begin" w:fldLock="1"/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instrText xml:space="preserve"> REF  _Ref132747323 \h \r  \* MERGEFORMAT </w:instrTex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fldChar w:fldCharType="separate"/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(3)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fldChar w:fldCharType="end"/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항에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따라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유한책임사원에게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지급된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금액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및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본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항에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따라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업무집행사원에게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지급되는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금액의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합계액의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15%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에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달할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때까지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업무집행사원에게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100%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를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bookmarkEnd w:id="25"/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</w:p>
          <w:p w14:paraId="5A94D389" w14:textId="11975429" w:rsidR="0040382A" w:rsidRPr="0040382A" w:rsidRDefault="0040382A" w:rsidP="0040382A">
            <w:pPr>
              <w:pStyle w:val="3"/>
              <w:widowControl/>
              <w:numPr>
                <w:ilvl w:val="0"/>
                <w:numId w:val="10"/>
              </w:numPr>
              <w:tabs>
                <w:tab w:val="num" w:pos="360"/>
              </w:tabs>
              <w:spacing w:before="120" w:after="120" w:line="320" w:lineRule="exact"/>
              <w:ind w:left="357" w:hanging="357"/>
              <w:rPr>
                <w:rFonts w:ascii="Times New Roman" w:eastAsia="맑은 고딕" w:hAnsi="Times New Roman"/>
                <w:w w:val="0"/>
                <w:sz w:val="22"/>
                <w:szCs w:val="22"/>
              </w:rPr>
            </w:pPr>
            <w:bookmarkStart w:id="26" w:name="_Ref134971663"/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성과보수로서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업무집행사원에게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15%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,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유한책임사원에게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나머지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8</w:t>
            </w:r>
            <w:r w:rsidRPr="0040382A">
              <w:rPr>
                <w:rFonts w:ascii="Times New Roman" w:eastAsia="맑은 고딕" w:hAnsi="Times New Roman"/>
                <w:w w:val="0"/>
                <w:sz w:val="22"/>
                <w:szCs w:val="22"/>
              </w:rPr>
              <w:t>5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%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의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비율로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전액을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40382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배분</w:t>
            </w:r>
            <w:bookmarkEnd w:id="26"/>
          </w:p>
          <w:p w14:paraId="57BD433D" w14:textId="77777777" w:rsidR="0040382A" w:rsidRDefault="0040382A" w:rsidP="0040382A">
            <w:pPr>
              <w:pStyle w:val="3"/>
              <w:widowControl/>
              <w:numPr>
                <w:ilvl w:val="0"/>
                <w:numId w:val="7"/>
              </w:numPr>
              <w:spacing w:line="460" w:lineRule="atLeast"/>
              <w:ind w:left="357" w:hanging="357"/>
              <w:rPr>
                <w:rFonts w:ascii="Times New Roman" w:eastAsia="맑은 고딕" w:hAnsi="Times New Roman"/>
                <w:b/>
                <w:bCs/>
                <w:w w:val="0"/>
                <w:sz w:val="22"/>
                <w:szCs w:val="22"/>
              </w:rPr>
            </w:pPr>
            <w:r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 xml:space="preserve">SPC 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>처분이익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b/>
                <w:bCs/>
                <w:w w:val="0"/>
                <w:sz w:val="22"/>
                <w:szCs w:val="22"/>
              </w:rPr>
              <w:t>배분구조</w:t>
            </w:r>
          </w:p>
          <w:p w14:paraId="12C9506E" w14:textId="2FDA3684" w:rsidR="0040382A" w:rsidRDefault="0040382A" w:rsidP="003F0E0E">
            <w:pPr>
              <w:rPr>
                <w:szCs w:val="22"/>
              </w:rPr>
            </w:pPr>
            <w:r w:rsidRPr="006C15AA">
              <w:rPr>
                <w:rFonts w:hint="eastAsia"/>
                <w:szCs w:val="22"/>
              </w:rPr>
              <w:t xml:space="preserve">(근거: </w:t>
            </w:r>
            <w:proofErr w:type="spellStart"/>
            <w:r>
              <w:rPr>
                <w:rFonts w:hint="eastAsia"/>
                <w:szCs w:val="22"/>
              </w:rPr>
              <w:t>한앤코메드테크홀딩스제</w:t>
            </w:r>
            <w:proofErr w:type="spellEnd"/>
            <w:r>
              <w:rPr>
                <w:rFonts w:hint="eastAsia"/>
                <w:szCs w:val="22"/>
              </w:rPr>
              <w:t xml:space="preserve">1호 </w:t>
            </w:r>
            <w:r w:rsidRPr="006C15AA">
              <w:rPr>
                <w:rFonts w:hint="eastAsia"/>
                <w:szCs w:val="22"/>
              </w:rPr>
              <w:t>정관 제</w:t>
            </w:r>
            <w:r>
              <w:rPr>
                <w:rFonts w:hint="eastAsia"/>
                <w:szCs w:val="22"/>
              </w:rPr>
              <w:t>29</w:t>
            </w:r>
            <w:r w:rsidRPr="006C15AA">
              <w:rPr>
                <w:rFonts w:hint="eastAsia"/>
                <w:szCs w:val="22"/>
              </w:rPr>
              <w:t>조</w:t>
            </w:r>
            <w:r>
              <w:rPr>
                <w:rFonts w:hint="eastAsia"/>
                <w:szCs w:val="22"/>
              </w:rPr>
              <w:t xml:space="preserve"> 제2항 및 제4항</w:t>
            </w:r>
            <w:r w:rsidRPr="006C15AA">
              <w:rPr>
                <w:rFonts w:hint="eastAsia"/>
                <w:szCs w:val="22"/>
              </w:rPr>
              <w:t>)</w:t>
            </w:r>
          </w:p>
          <w:p w14:paraId="501F5A8F" w14:textId="12E6EBBC" w:rsidR="0040382A" w:rsidRPr="000D73BA" w:rsidRDefault="0040382A" w:rsidP="000708D8">
            <w:pPr>
              <w:pStyle w:val="3"/>
              <w:widowControl/>
              <w:numPr>
                <w:ilvl w:val="0"/>
                <w:numId w:val="11"/>
              </w:numPr>
              <w:spacing w:before="120" w:after="120" w:line="320" w:lineRule="exact"/>
              <w:ind w:left="357" w:hanging="357"/>
              <w:rPr>
                <w:rFonts w:ascii="Times New Roman" w:eastAsia="맑은 고딕" w:hAnsi="Times New Roman" w:hint="eastAsia"/>
              </w:rPr>
            </w:pP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사원총회의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결의로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사원에게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 w:rsidRPr="000D73BA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분배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하며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,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분배의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시기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,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기준일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,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방법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,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금액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및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이에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관한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세부사항은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사원총회에서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 xml:space="preserve"> </w:t>
            </w:r>
            <w:r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정</w:t>
            </w:r>
            <w:r w:rsidR="000708D8">
              <w:rPr>
                <w:rFonts w:ascii="Times New Roman" w:eastAsia="맑은 고딕" w:hAnsi="Times New Roman" w:hint="eastAsia"/>
                <w:w w:val="0"/>
                <w:sz w:val="22"/>
                <w:szCs w:val="22"/>
              </w:rPr>
              <w:t>함</w:t>
            </w:r>
          </w:p>
        </w:tc>
      </w:tr>
      <w:tr w:rsidR="0040382A" w14:paraId="22F2F219" w14:textId="77777777" w:rsidTr="003F0E0E">
        <w:tc>
          <w:tcPr>
            <w:tcW w:w="1980" w:type="dxa"/>
            <w:shd w:val="clear" w:color="auto" w:fill="FAE2D5" w:themeFill="accent2" w:themeFillTint="33"/>
            <w:vAlign w:val="center"/>
          </w:tcPr>
          <w:p w14:paraId="4454C83B" w14:textId="77777777" w:rsidR="0040382A" w:rsidRDefault="0040382A" w:rsidP="003F0E0E">
            <w:pPr>
              <w:jc w:val="both"/>
              <w:rPr>
                <w:rFonts w:ascii="Times New Roman" w:eastAsia="맑은 고딕" w:hAnsi="Times New Roman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4-1. 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차등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</w:p>
          <w:p w14:paraId="03926231" w14:textId="77777777" w:rsidR="0040382A" w:rsidRDefault="0040382A" w:rsidP="003F0E0E">
            <w:pPr>
              <w:jc w:val="both"/>
              <w:rPr>
                <w:rFonts w:ascii="Times New Roman" w:eastAsia="맑은 고딕" w:hAnsi="Times New Roman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정산분배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조항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</w:p>
          <w:p w14:paraId="21CDB4B7" w14:textId="77777777" w:rsidR="0040382A" w:rsidRPr="006C15AA" w:rsidRDefault="0040382A" w:rsidP="003F0E0E">
            <w:pPr>
              <w:jc w:val="both"/>
              <w:rPr>
                <w:rFonts w:ascii="Times New Roman" w:eastAsia="맑은 고딕" w:hAnsi="Times New Roman" w:hint="eastAsia"/>
                <w:b/>
                <w:bCs/>
              </w:rPr>
            </w:pPr>
            <w:r w:rsidRPr="006C15AA">
              <w:rPr>
                <w:rFonts w:ascii="Times New Roman" w:eastAsia="맑은 고딕" w:hAnsi="Times New Roman" w:hint="eastAsia"/>
                <w:b/>
                <w:bCs/>
              </w:rPr>
              <w:t>존재하는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b/>
                <w:bCs/>
              </w:rPr>
              <w:t>경우</w:t>
            </w:r>
          </w:p>
        </w:tc>
        <w:tc>
          <w:tcPr>
            <w:tcW w:w="7036" w:type="dxa"/>
          </w:tcPr>
          <w:p w14:paraId="6B9A8BD2" w14:textId="77777777" w:rsidR="0040382A" w:rsidRPr="006C15AA" w:rsidRDefault="0040382A" w:rsidP="003F0E0E">
            <w:pPr>
              <w:pStyle w:val="3"/>
              <w:widowControl/>
              <w:numPr>
                <w:ilvl w:val="2"/>
                <w:numId w:val="0"/>
              </w:numPr>
              <w:tabs>
                <w:tab w:val="num" w:pos="360"/>
              </w:tabs>
              <w:spacing w:line="460" w:lineRule="atLeast"/>
              <w:rPr>
                <w:rFonts w:ascii="Times New Roman" w:eastAsia="맑은 고딕" w:hAnsi="Times New Roman" w:hint="eastAsia"/>
                <w:w w:val="0"/>
                <w:sz w:val="23"/>
                <w:szCs w:val="23"/>
              </w:rPr>
            </w:pPr>
            <w:r w:rsidRPr="006C15AA">
              <w:rPr>
                <w:rFonts w:ascii="Times New Roman" w:eastAsia="맑은 고딕" w:hAnsi="Times New Roman" w:hint="eastAsia"/>
                <w:w w:val="0"/>
                <w:sz w:val="23"/>
                <w:szCs w:val="23"/>
              </w:rPr>
              <w:t>해당사항</w:t>
            </w:r>
            <w:r w:rsidRPr="006C15AA">
              <w:rPr>
                <w:rFonts w:ascii="Times New Roman" w:eastAsia="맑은 고딕" w:hAnsi="Times New Roman" w:hint="eastAsia"/>
                <w:w w:val="0"/>
                <w:sz w:val="23"/>
                <w:szCs w:val="23"/>
              </w:rPr>
              <w:t xml:space="preserve"> </w:t>
            </w:r>
            <w:r w:rsidRPr="006C15AA">
              <w:rPr>
                <w:rFonts w:ascii="Times New Roman" w:eastAsia="맑은 고딕" w:hAnsi="Times New Roman" w:hint="eastAsia"/>
                <w:w w:val="0"/>
                <w:sz w:val="23"/>
                <w:szCs w:val="23"/>
              </w:rPr>
              <w:t>없음</w:t>
            </w:r>
          </w:p>
        </w:tc>
      </w:tr>
    </w:tbl>
    <w:p w14:paraId="27538B7B" w14:textId="77777777" w:rsidR="0040382A" w:rsidRDefault="0040382A">
      <w:pPr>
        <w:rPr>
          <w:rFonts w:hint="eastAsia"/>
        </w:rPr>
      </w:pPr>
    </w:p>
    <w:sectPr w:rsidR="004038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7"/>
    <w:multiLevelType w:val="multilevel"/>
    <w:tmpl w:val="7AD4BD14"/>
    <w:lvl w:ilvl="0">
      <w:start w:val="1"/>
      <w:numFmt w:val="upperRoman"/>
      <w:suff w:val="nothing"/>
      <w:lvlText w:val="Article %1"/>
      <w:lvlJc w:val="left"/>
      <w:pPr>
        <w:ind w:left="6522" w:firstLine="0"/>
      </w:pPr>
      <w:rPr>
        <w:rFonts w:ascii="Times New Roman" w:hAnsi="Times New Roman" w:hint="eastAsia"/>
        <w:b/>
        <w:i w:val="0"/>
        <w:caps/>
        <w:smallCaps w:val="0"/>
        <w:color w:val="010000"/>
        <w:sz w:val="24"/>
        <w:u w:val="none"/>
      </w:rPr>
    </w:lvl>
    <w:lvl w:ilvl="1">
      <w:start w:val="1"/>
      <w:numFmt w:val="decimal"/>
      <w:lvlText w:val="2.%2조"/>
      <w:lvlJc w:val="left"/>
      <w:pPr>
        <w:tabs>
          <w:tab w:val="num" w:pos="1440"/>
        </w:tabs>
        <w:ind w:left="0" w:firstLine="1440"/>
      </w:pPr>
      <w:rPr>
        <w:rFonts w:hint="eastAsia"/>
        <w:b w:val="0"/>
        <w:i w:val="0"/>
        <w:color w:val="auto"/>
        <w:sz w:val="24"/>
        <w:u w:val="none"/>
      </w:rPr>
    </w:lvl>
    <w:lvl w:ilvl="2">
      <w:start w:val="1"/>
      <w:numFmt w:val="decimal"/>
      <w:lvlText w:val="(%3)"/>
      <w:lvlJc w:val="left"/>
      <w:pPr>
        <w:tabs>
          <w:tab w:val="num" w:pos="2160"/>
        </w:tabs>
        <w:ind w:left="0" w:firstLine="1440"/>
      </w:pPr>
      <w:rPr>
        <w:rFonts w:ascii="Times New Roman" w:hAnsi="Times New Roman" w:cs="Times New Roman" w:hint="default"/>
        <w:b w:val="0"/>
        <w:i w:val="0"/>
        <w:color w:val="010000"/>
        <w:sz w:val="23"/>
        <w:szCs w:val="23"/>
        <w:u w:val="none"/>
      </w:r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0" w:firstLine="1440"/>
      </w:pPr>
      <w:rPr>
        <w:rFonts w:ascii="Times New Roman" w:hAnsi="Times New Roman" w:hint="eastAsia"/>
        <w:b w:val="0"/>
        <w:i w:val="0"/>
        <w:color w:val="010000"/>
        <w:sz w:val="24"/>
        <w:u w:val="none"/>
      </w:rPr>
    </w:lvl>
    <w:lvl w:ilvl="4">
      <w:start w:val="1"/>
      <w:numFmt w:val="upperLetter"/>
      <w:lvlText w:val="(%5)"/>
      <w:lvlJc w:val="left"/>
      <w:pPr>
        <w:tabs>
          <w:tab w:val="num" w:pos="2880"/>
        </w:tabs>
        <w:ind w:left="1440" w:firstLine="720"/>
      </w:pPr>
      <w:rPr>
        <w:rFonts w:hint="eastAsia"/>
        <w:color w:val="010000"/>
        <w:u w:val="none"/>
      </w:rPr>
    </w:lvl>
    <w:lvl w:ilvl="5">
      <w:start w:val="1"/>
      <w:numFmt w:val="decimal"/>
      <w:lvlText w:val="(%6)"/>
      <w:lvlJc w:val="left"/>
      <w:pPr>
        <w:tabs>
          <w:tab w:val="num" w:pos="2880"/>
        </w:tabs>
        <w:ind w:left="1440" w:firstLine="720"/>
      </w:pPr>
      <w:rPr>
        <w:rFonts w:hint="eastAsia"/>
        <w:color w:val="010000"/>
        <w:u w:val="none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2160" w:firstLine="720"/>
      </w:pPr>
      <w:rPr>
        <w:rFonts w:hint="eastAsia"/>
        <w:color w:val="010000"/>
        <w:u w:val="none"/>
      </w:rPr>
    </w:lvl>
    <w:lvl w:ilvl="7">
      <w:start w:val="1"/>
      <w:numFmt w:val="lowerRoman"/>
      <w:lvlText w:val="%8."/>
      <w:lvlJc w:val="left"/>
      <w:pPr>
        <w:tabs>
          <w:tab w:val="num" w:pos="4320"/>
        </w:tabs>
        <w:ind w:left="2880" w:firstLine="720"/>
      </w:pPr>
      <w:rPr>
        <w:rFonts w:hint="eastAsia"/>
        <w:color w:val="010000"/>
        <w:u w:val="none"/>
      </w:rPr>
    </w:lvl>
    <w:lvl w:ilvl="8">
      <w:start w:val="1"/>
      <w:numFmt w:val="decimal"/>
      <w:lvlText w:val="(%9)"/>
      <w:lvlJc w:val="left"/>
      <w:pPr>
        <w:tabs>
          <w:tab w:val="num" w:pos="5040"/>
        </w:tabs>
        <w:ind w:left="3600" w:firstLine="720"/>
      </w:pPr>
      <w:rPr>
        <w:rFonts w:hint="eastAsia"/>
        <w:color w:val="010000"/>
        <w:u w:val="none"/>
      </w:rPr>
    </w:lvl>
  </w:abstractNum>
  <w:abstractNum w:abstractNumId="1" w15:restartNumberingAfterBreak="0">
    <w:nsid w:val="0FD8150F"/>
    <w:multiLevelType w:val="hybridMultilevel"/>
    <w:tmpl w:val="B9F8D58E"/>
    <w:lvl w:ilvl="0" w:tplc="C81ED18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65A3262"/>
    <w:multiLevelType w:val="hybridMultilevel"/>
    <w:tmpl w:val="18D89172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CB71166"/>
    <w:multiLevelType w:val="hybridMultilevel"/>
    <w:tmpl w:val="18D89172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7015B0A"/>
    <w:multiLevelType w:val="hybridMultilevel"/>
    <w:tmpl w:val="18D89172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B2211C6"/>
    <w:multiLevelType w:val="hybridMultilevel"/>
    <w:tmpl w:val="771CFE40"/>
    <w:lvl w:ilvl="0" w:tplc="5D24A5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FF3217"/>
    <w:multiLevelType w:val="hybridMultilevel"/>
    <w:tmpl w:val="D0028888"/>
    <w:lvl w:ilvl="0" w:tplc="34E81F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8004CA3"/>
    <w:multiLevelType w:val="hybridMultilevel"/>
    <w:tmpl w:val="18D89172"/>
    <w:lvl w:ilvl="0" w:tplc="13A62BD6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6AC2F12"/>
    <w:multiLevelType w:val="hybridMultilevel"/>
    <w:tmpl w:val="3AE4C04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A1902CC"/>
    <w:multiLevelType w:val="hybridMultilevel"/>
    <w:tmpl w:val="3AE4C040"/>
    <w:lvl w:ilvl="0" w:tplc="5D24A5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6141EBD"/>
    <w:multiLevelType w:val="hybridMultilevel"/>
    <w:tmpl w:val="18D89172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39354904">
    <w:abstractNumId w:val="9"/>
  </w:num>
  <w:num w:numId="2" w16cid:durableId="1399551951">
    <w:abstractNumId w:val="7"/>
  </w:num>
  <w:num w:numId="3" w16cid:durableId="1884053050">
    <w:abstractNumId w:val="6"/>
  </w:num>
  <w:num w:numId="4" w16cid:durableId="1035085648">
    <w:abstractNumId w:val="1"/>
  </w:num>
  <w:num w:numId="5" w16cid:durableId="581262256">
    <w:abstractNumId w:val="3"/>
  </w:num>
  <w:num w:numId="6" w16cid:durableId="1929608997">
    <w:abstractNumId w:val="8"/>
  </w:num>
  <w:num w:numId="7" w16cid:durableId="723875101">
    <w:abstractNumId w:val="5"/>
  </w:num>
  <w:num w:numId="8" w16cid:durableId="1850245091">
    <w:abstractNumId w:val="10"/>
  </w:num>
  <w:num w:numId="9" w16cid:durableId="13330261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65799312">
    <w:abstractNumId w:val="4"/>
  </w:num>
  <w:num w:numId="11" w16cid:durableId="45321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E3"/>
    <w:rsid w:val="000708D8"/>
    <w:rsid w:val="000D1DCE"/>
    <w:rsid w:val="000D73BA"/>
    <w:rsid w:val="0040382A"/>
    <w:rsid w:val="00555550"/>
    <w:rsid w:val="005A1701"/>
    <w:rsid w:val="006C15AA"/>
    <w:rsid w:val="00787D26"/>
    <w:rsid w:val="00827975"/>
    <w:rsid w:val="009808FE"/>
    <w:rsid w:val="00A71DE1"/>
    <w:rsid w:val="00B844D3"/>
    <w:rsid w:val="00D351E3"/>
    <w:rsid w:val="00D56447"/>
    <w:rsid w:val="00F0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89A65CC"/>
  <w15:chartTrackingRefBased/>
  <w15:docId w15:val="{9A08E490-529B-401E-A3CB-F87F4130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51E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5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aliases w:val="h3,3,H3,JAIN HEADING 3,Style 38,Style 47"/>
    <w:basedOn w:val="a"/>
    <w:next w:val="a"/>
    <w:link w:val="3Char"/>
    <w:uiPriority w:val="9"/>
    <w:unhideWhenUsed/>
    <w:qFormat/>
    <w:rsid w:val="00D351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aliases w:val="h4,H4,Style 39,Style 48"/>
    <w:basedOn w:val="a"/>
    <w:next w:val="a"/>
    <w:link w:val="4Char"/>
    <w:uiPriority w:val="9"/>
    <w:unhideWhenUsed/>
    <w:qFormat/>
    <w:rsid w:val="00D351E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aliases w:val="h5,H5,Style 49"/>
    <w:basedOn w:val="a"/>
    <w:next w:val="a"/>
    <w:link w:val="5Char"/>
    <w:uiPriority w:val="9"/>
    <w:unhideWhenUsed/>
    <w:qFormat/>
    <w:rsid w:val="00D351E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aliases w:val="h6,H6,Style 50"/>
    <w:basedOn w:val="a"/>
    <w:next w:val="a"/>
    <w:link w:val="6Char"/>
    <w:uiPriority w:val="9"/>
    <w:unhideWhenUsed/>
    <w:qFormat/>
    <w:rsid w:val="00D351E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aliases w:val="h7,H7,Style 51"/>
    <w:basedOn w:val="a"/>
    <w:next w:val="a"/>
    <w:link w:val="7Char"/>
    <w:uiPriority w:val="9"/>
    <w:unhideWhenUsed/>
    <w:qFormat/>
    <w:rsid w:val="00D351E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aliases w:val="h8,H8,Style 52"/>
    <w:basedOn w:val="a"/>
    <w:next w:val="a"/>
    <w:link w:val="8Char"/>
    <w:uiPriority w:val="9"/>
    <w:unhideWhenUsed/>
    <w:qFormat/>
    <w:rsid w:val="00D351E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aliases w:val="h9,H9,Style 53"/>
    <w:basedOn w:val="a"/>
    <w:next w:val="a"/>
    <w:link w:val="9Char"/>
    <w:uiPriority w:val="9"/>
    <w:unhideWhenUsed/>
    <w:qFormat/>
    <w:rsid w:val="00D351E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51E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51E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aliases w:val="h3 Char,3 Char,H3 Char,JAIN HEADING 3 Char,Style 38 Char,Style 47 Char"/>
    <w:basedOn w:val="a0"/>
    <w:link w:val="3"/>
    <w:uiPriority w:val="9"/>
    <w:rsid w:val="00D351E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5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5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5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5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51E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51E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51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5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51E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51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5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51E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51E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51E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5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51E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51E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279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qFormat/>
    <w:rsid w:val="00827975"/>
    <w:pPr>
      <w:keepNext w:val="0"/>
      <w:wordWrap/>
      <w:adjustRightInd w:val="0"/>
      <w:spacing w:before="0" w:after="240"/>
      <w:ind w:left="6522"/>
      <w:jc w:val="center"/>
      <w:outlineLvl w:val="9"/>
    </w:pPr>
    <w:rPr>
      <w:rFonts w:ascii="Times New Roman Bold" w:eastAsiaTheme="minorEastAsia" w:hAnsi="Times New Roman Bold" w:cs="Times New Roman"/>
      <w:b/>
      <w:caps/>
      <w:color w:val="auto"/>
      <w:kern w:val="0"/>
      <w:sz w:val="24"/>
      <w:szCs w:val="28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우수영</dc:creator>
  <cp:keywords/>
  <dc:description/>
  <cp:lastModifiedBy>우수영</cp:lastModifiedBy>
  <cp:revision>2</cp:revision>
  <dcterms:created xsi:type="dcterms:W3CDTF">2024-10-25T05:33:00Z</dcterms:created>
  <dcterms:modified xsi:type="dcterms:W3CDTF">2024-10-25T05:33:00Z</dcterms:modified>
</cp:coreProperties>
</file>