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Supplementary Material S1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Representative MARG Benchmark Queries for SHM Lifecycle Memory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Signal-Driven Lifecycle Memory for SHM Digital Twins: A MARG Framework with Physics-Informed Prediction and Multi-Infrastructure Validation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color w:val="444444"/>
          <w:sz w:val="18"/>
          <w:szCs w:val="18"/>
        </w:rPr>
        <w:t xml:space="preserve">Dong-Wook Kim  |  DL E&amp;C Co., Ltd., Seoul  |  clearup7@nate.com  |  ORCID: 0000-0002-0721-5114</w:t>
      </w:r>
    </w:p>
    <w:p>
      <w:pPr>
        <w:spacing w:after="100" w:before="0" w:line="240"/>
        <w:jc w:val="left"/>
      </w:pPr>
      <w:r>
        <w:rPr>
          <w:sz w:val="18"/>
          <w:szCs w:val="18"/>
          <w:rFonts w:ascii="Times New Roman" w:hAnsi="Times New Roman" w:cs="Times New Roman"/>
        </w:rPr>
        <w:t xml:space="preserve">Purpose. This Supplementary Material provides 40 representative benchmark queries drawn from the held-out test set (320 queries, 80 per memory type) used to evaluate MARG retrieval performance in the main manuscript (Section 5.5, Table 8). These 40 queries constitute a representative reproducibility subset supporting inspection and partial verification of the retrieval evaluation protocol reported in the main manuscript. The full test set (κ = 0.83 inter-rater agreement) is available from the corresponding author upon reasonable request.</w:t>
      </w:r>
    </w:p>
    <w:p>
      <w:pPr>
        <w:spacing w:after="100" w:before="0" w:line="240"/>
        <w:jc w:val="left"/>
      </w:pPr>
      <w:r>
        <w:rPr>
          <w:sz w:val="18"/>
          <w:szCs w:val="18"/>
          <w:rFonts w:ascii="Times New Roman" w:hAnsi="Times New Roman" w:cs="Times New Roman"/>
        </w:rPr>
        <w:t xml:space="preserve">Query Structure. Each query record includes: (1) Query ID (format Q-[MemType]-[nn]), (2) case study identifier (A = Railway viaduct, B = Expressway, C = PSC bridge), (3) natural-language maintenance query, (4) memory type required, (5) required evidence types, (6) relevant record IDs from the LTCM Knowledge Graph (anonymised), and (7) ground-truth answer established by three senior maintenance engineers (κ = 0.83 inter-rater agreement).</w:t>
      </w:r>
    </w:p>
    <w:p>
      <w:pPr>
        <w:spacing w:after="16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Query Distribution.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10 Episodic (E), 10 Semantic (S), 10 Procedural (PR), 10 Predictive (PD). Case A: 14 queries; Case B: 12 queries; Case C: 14 queries. Multi-hop queries requiring joint retrieval from ≥2 memory types are marked in the Query column with an asterisk (*) in the full test set; this subset includes representative examples from each type.</w:t>
      </w:r>
    </w:p>
    <w:p>
      <w:pPr>
        <w:spacing w:after="240" w:before="0" w:line="240"/>
        <w:jc w:val="left"/>
      </w:pPr>
      <w:r>
        <w:rPr>
          <w:sz w:val="18"/>
          <w:szCs w:val="18"/>
          <w:rFonts w:ascii="Times New Roman" w:hAnsi="Times New Roman" w:cs="Times New Roman"/>
        </w:rPr>
        <w:t xml:space="preserve">Note on Record IDs. Record IDs follow the LTCM naming convention [Case]-[Type]-[Year]-[Location]. Full Knowledge Graph (321,700 RDF triples) and IFC 4.3-to-RDF mapping are documented in Appendix A of the main manuscript. Where necessary for anonymisation, case-specific operational identifiers have been normalised while preserving the decision logic used in the evaluation. Design code thresholds (KR C-14020, KDS 24 10 20, MOLIT specifications) are cited from the referenced Korean standards.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Table S1.  Representative MARG Benchmark Queries — 40 Queries across 4 Memory Types and 3 Infrastructure Case Studies.</w:t>
      </w:r>
    </w:p>
    <w:tbl>
      <w:tblPr>
        <w:tblW w:type="dxa" w:w="16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"/>
        <w:gridCol w:w="2900"/>
        <w:gridCol w:w="780"/>
        <w:gridCol w:w="2100"/>
        <w:gridCol w:w="2100"/>
        <w:gridCol w:w="7218"/>
      </w:tblGrid>
      <w:tr>
        <w:trPr>
          <w:tblHeader/>
          <w:cantSplit w:val="1"/>
        </w:trPr>
        <w:tc>
          <w:tcPr>
            <w:tcW w:type="dxa" w:w="600"/>
            <w:tcBorders>
              <w:top w:val="single" w:color="1F3864" w:sz="6"/>
              <w:left w:val="single" w:color="FFFFFF" w:sz="2"/>
              <w:bottom w:val="single" w:color="1F3864" w:sz="6"/>
              <w:right w:val="single" w:color="FFFFFF" w:sz="2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Query ID</w:t>
            </w:r>
          </w:p>
        </w:tc>
        <w:tc>
          <w:tcPr>
            <w:tcW w:type="dxa" w:w="340"/>
            <w:tcBorders>
              <w:top w:val="single" w:color="1F3864" w:sz="6"/>
              <w:left w:val="single" w:color="FFFFFF" w:sz="2"/>
              <w:bottom w:val="single" w:color="1F3864" w:sz="6"/>
              <w:right w:val="single" w:color="FFFFFF" w:sz="2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Case</w:t>
            </w:r>
          </w:p>
        </w:tc>
        <w:tc>
          <w:tcPr>
            <w:tcW w:type="dxa" w:w="2900"/>
            <w:tcBorders>
              <w:top w:val="single" w:color="1F3864" w:sz="6"/>
              <w:left w:val="single" w:color="FFFFFF" w:sz="2"/>
              <w:bottom w:val="single" w:color="1F3864" w:sz="6"/>
              <w:right w:val="single" w:color="FFFFFF" w:sz="2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Query</w:t>
            </w:r>
          </w:p>
        </w:tc>
        <w:tc>
          <w:tcPr>
            <w:tcW w:type="dxa" w:w="780"/>
            <w:tcBorders>
              <w:top w:val="single" w:color="1F3864" w:sz="6"/>
              <w:left w:val="single" w:color="FFFFFF" w:sz="2"/>
              <w:bottom w:val="single" w:color="1F3864" w:sz="6"/>
              <w:right w:val="single" w:color="FFFFFF" w:sz="2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Memory
Type</w:t>
            </w:r>
          </w:p>
        </w:tc>
        <w:tc>
          <w:tcPr>
            <w:tcW w:type="dxa" w:w="2100"/>
            <w:tcBorders>
              <w:top w:val="single" w:color="1F3864" w:sz="6"/>
              <w:left w:val="single" w:color="FFFFFF" w:sz="2"/>
              <w:bottom w:val="single" w:color="1F3864" w:sz="6"/>
              <w:right w:val="single" w:color="FFFFFF" w:sz="2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Required Evidence</w:t>
            </w:r>
          </w:p>
        </w:tc>
        <w:tc>
          <w:tcPr>
            <w:tcW w:type="dxa" w:w="2100"/>
            <w:tcBorders>
              <w:top w:val="single" w:color="1F3864" w:sz="6"/>
              <w:left w:val="single" w:color="FFFFFF" w:sz="2"/>
              <w:bottom w:val="single" w:color="1F3864" w:sz="6"/>
              <w:right w:val="single" w:color="FFFFFF" w:sz="2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Relevant Record IDs</w:t>
            </w:r>
          </w:p>
        </w:tc>
        <w:tc>
          <w:tcPr>
            <w:tcW w:type="dxa" w:w="7218"/>
            <w:tcBorders>
              <w:top w:val="single" w:color="1F3864" w:sz="6"/>
              <w:left w:val="single" w:color="FFFFFF" w:sz="2"/>
              <w:bottom w:val="single" w:color="1F3864" w:sz="6"/>
              <w:right w:val="single" w:color="FFFFFF" w:sz="2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Ground Truth</w:t>
            </w:r>
          </w:p>
        </w:tc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Q-E-01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What were the peak track settlement measurements on Span 7 between 2018 and 2021?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6"/>
                <w:szCs w:val="16"/>
              </w:rPr>
              <w:t xml:space="preserve">Episodic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Bi-annual geometric survey records; settlement sensor logs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A-GEO-2018-S7, A-GEO-2019-S7, A-GEO-2020-S7, A-GEO-2021-S7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Settlement increased from 6.2 mm (2018) to 11.4 mm (2021); rate 1.73 mm/yr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Q-E-02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List all emergency maintenance events on the railway viaduct from 2012 to 2024.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6"/>
                <w:szCs w:val="16"/>
              </w:rPr>
              <w:t xml:space="preserve">Episodic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Work order database; maintenance log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A-WO-2014-EMG, A-WO-2016-EMG, A-WO-2019-EMG×3, A-WO-2021-EMG×2 (6 records)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 emergency closures; 2019 cluster (3 events) triggered by differential settlement &gt;3 mm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Q-E-03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Which IoT sensors on Span 9 recorded anomalies exceeding 2σ threshold in 2022?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6"/>
                <w:szCs w:val="16"/>
              </w:rPr>
              <w:t xml:space="preserve">Episodic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IoT anomaly records; sensor metadata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A-IOT-2022-S9-ACC03, A-IOT-2022-S9-STR07, A-IOT-2022-S9-SET02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 sensors; accelerometer ACC03 (vertical vibration), strain gauge STR07, settlement sensor SET02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Q-E-04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What repair interventions were performed on Track Sections 3–6 after the 2021 inspection?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6"/>
                <w:szCs w:val="16"/>
              </w:rPr>
              <w:t xml:space="preserve">Episodic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Work order records; inspection reports post-2021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A-WO-2021-SEC3, A-WO-2022-SEC4, A-WO-2022-SEC5, A-WO-2022-SEC6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Tamping (Sec 3, Nov 2021), rail grinding (Sec 4–5, Mar 2022), ballast renewal (Sec 6, Jul 2022)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Q-E-05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Retrieve all pothole repair records on Section 4 expressway from 2020 to 2023.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6"/>
                <w:szCs w:val="16"/>
              </w:rPr>
              <w:t xml:space="preserve">Episodic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Road maintenance database; GPS-tagged repair records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B-REP-2020-S4×14, B-REP-2021-S4×28, B-REP-2022-S4×19, B-REP-2023-S4×11 (72 records)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72 events; highest density in 2021 (28 events); km 14.3–16.7 hotspot cluster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Q-E-06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What was the PCI score trend for km 10–15 on the expressway from 2016 to 2022?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6"/>
                <w:szCs w:val="16"/>
              </w:rPr>
              <w:t xml:space="preserve">Episodic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Profilometer survey records; FWD data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B-PCI-2016-KM10-15, B-PCI-2018-KM10-15, B-PCI-2020-KM10-15, B-PCI-2022-KM10-15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PCI: 84 (2016) → 78 (2018) → 69 (2020) → 58 (2022); avg degradation 4.3 PCI/yr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Q-E-07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Show the complete bearing replacement history for Span 2 of the PSC bridge.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6"/>
                <w:szCs w:val="16"/>
              </w:rPr>
              <w:t xml:space="preserve">Episodic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Bearing replacement log; cost database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C-BR-1998-SP2A, C-BR-2003-SP2B, C-BR-2009-SP2A, C-BR-2017-SP2B, C-BR-2022-SP2A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 replacements (1998–2022); avg service life 12.4 yr; cost trend: 7.2M → 9.8M → 12.1M → 14.3M → 16.7M KRW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Q-E-08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Find all Grade-D corrosion inspection findings on the PSC bridge from 2010 to 2020.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6"/>
                <w:szCs w:val="16"/>
              </w:rPr>
              <w:t xml:space="preserve">Episodic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Visual inspection reports; corrosion grade records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C-INS-2012-GD, C-INS-2015-GD×2, C-INS-2018-GD×3, C-INS-2020-GD×2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 Grade-D findings across Spans 1–4; cluster in 2018 (3 findings on Spans 2–4)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Q-E-09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What were the load cell readings for Span 4 bearing 4B during the 2019 inspection?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6"/>
                <w:szCs w:val="16"/>
              </w:rPr>
              <w:t xml:space="preserve">Episodic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Load cell measurement records; inspection metadata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C-LC-2019-SP4B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Vertical load: 2,847 kN (92% of design capacity); horizontal eccentricity: +3.2 cm (exceeds ±2 cm limit)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Q-E-10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Retrieve the three most recent anomaly events on Spans 7–12 sorted by severity.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6"/>
                <w:szCs w:val="16"/>
              </w:rPr>
              <w:t xml:space="preserve">Episodic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IoT anomaly records; severity scores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A-IOT-2023-S09-SET (sev=0.82), A-IOT-2023-S11-ACC (sev=0.74), A-IOT-2022-S07-STR (sev=0.68)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Top-3: Span 9 settlement (2023, sev=0.82), Span 11 acceleration (2023, sev=0.74), Span 7 strain (2022, sev=0.68)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Q-S-01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What is the KR C-14020 threshold for absolute track settlement and differential settlement?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6"/>
                <w:szCs w:val="16"/>
              </w:rPr>
              <w:t xml:space="preserve">Semantic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Korean railway design code ontology node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S-KR-C14020-SETTLE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Absolute: 15 mm; Differential (adjacent spans): 3 mm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Q-S-02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What are the material properties of PSC track slab concrete used in this viaduct?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6"/>
                <w:szCs w:val="16"/>
              </w:rPr>
              <w:t xml:space="preserve">Semantic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Material specification ontology; design specification records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S-MAT-PSCCONC-C60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Concrete grade C60; f'c=60 MPa; Ec=38.2 GPa; carbonation rate k=0.31 mm/yr^0.5 (KR exposure class XC3)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Q-S-03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What degradation model governs pavement PCI decay for flexible pavement under ESAL loading?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6"/>
                <w:szCs w:val="16"/>
              </w:rPr>
              <w:t xml:space="preserve">Semantic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Pavement degradation ontology; KPAVE model node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S-DEG-PCI-ESAL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ΔPCI = f(ESAL, layer stiffness moduli); empirical Pavement ME Design model; layer moduli from FWD backcalculation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Q-S-04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What inspection frequency does MOLIT require for expressway pavement PCI below 60?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6"/>
                <w:szCs w:val="16"/>
              </w:rPr>
              <w:t xml:space="preserve">Semantic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MOLIT road management specification ontology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S-MOLIT-PCI-INSP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PCI 50–60: semi-annual profilometer survey + annual FWD; PCI &lt;50: quarterly + immediate structural review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Q-S-05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What is the KDS 24 10 20 specification for bridge bearing service life and replacement criteria?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6"/>
                <w:szCs w:val="16"/>
              </w:rPr>
              <w:t xml:space="preserve">Semantic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Korean bridge design standard ontology node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S-KDS-241020-BEAR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Design service life: 20 ± 3 yr; replacement criteria: corrosion Grade D + vertical deformation &gt;10% of design height; coastal exposure: service life multiplied by 0.71 (factor 1/1.4)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Q-S-06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What failure mode ontology class covers PTFE sliding layer wear in elastomeric bearings?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6"/>
                <w:szCs w:val="16"/>
              </w:rPr>
              <w:t xml:space="preserve">Semantic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LTCM Infrastructure O&amp;M Ontology; failure mode class hierarchy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S-FM-BEAR-PTFE-WEAR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Class: ltcm:SlidingLayerWear (subclass of ltcm:BearingWear); Archard wear law governs; triggers: load ×velocity; detection: displacement sensor + visual inspection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Q-S-07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What is the relationship between Sato–Odaka parameters α and β for ballasted track?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6"/>
                <w:szCs w:val="16"/>
              </w:rPr>
              <w:t xml:space="preserve">Semantic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Track geometry degradation ontology; Sato-Odaka parameter node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S-DEG-SATOODAKA-PARAM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Typical ranges: α ∈ [0.9, 1.5] mm/cycle^β; β ∈ [0.68, 0.75]; α correlates with axle load, β with ballast gradation. Case A fitted: α=1.21, β=0.72.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Q-S-08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What are the sub-base failure mode categories in the LTCM road infrastructure ontology?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6"/>
                <w:szCs w:val="16"/>
              </w:rPr>
              <w:t xml:space="preserve">Semantic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Road infrastructure ontology; failure mode hierarchy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S-FM-ROAD-SUBBASE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 categories: (1) moisture ingress (softening), (2) differential frost heave, (3) fatigue cracking from ESAL. Section 4 primary mode: moisture ingress (GPR-confirmed 2020).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Q-S-09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What corrosion mechanism governs steel anchor bolt failure in bridge bearings?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6"/>
                <w:szCs w:val="16"/>
              </w:rPr>
              <w:t xml:space="preserve">Semantic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Steel corrosion ontology; anchor bolt failure mode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S-FM-BEAR-ANCHORSTEEL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Electrochemical corrosion under marine exposure; chloride penetration depth governs; depassivation threshold: [Cl⁻] &gt; 0.4% by cement weight. Coastal factor ×1.4 per KDS 14 31 20.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Q-S-10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What sensor types are classified under structural deformation monitoring in the LTCM ontology?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16"/>
                <w:szCs w:val="16"/>
              </w:rPr>
              <w:t xml:space="preserve">Semantic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Sensor classification ontology; structural monitoring class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S-SENSOR-DEFORM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 types: (1) LVDT displacement, (2) inclinometer, (3) GPS settlement, (4) fibre-optic strain. Case A uses types 2, 3, 4 (312 sensor nodes).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Q-PR-01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What is the standard inspection procedure for track settlement exceeding 12 mm on a PSC viaduct?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833C00"/>
                <w:sz w:val="16"/>
                <w:szCs w:val="16"/>
              </w:rPr>
              <w:t xml:space="preserve">Procedural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KR C-14020 inspection procedure graph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PR-KR-SETTLE-L1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Step 1: Bi-axial levelling survey within 7 days. Step 2: FEM update with measured settlements. Step 3: Traffic restriction if differential &gt;2 mm. Step 4: Tamping works within 30 days. Step 5: Re-survey within 14 days post-intervention.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Q-PR-02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What emergency protocol applies when IoT sensors detect differential settlement exceeding 3 mm in real time?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833C00"/>
                <w:sz w:val="16"/>
                <w:szCs w:val="16"/>
              </w:rPr>
              <w:t xml:space="preserve">Procedural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Emergency response protocol graph; track safety SOP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PR-KR-EMGSETTLE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Trigger: Δsettlement &gt; 3 mm between adjacent spans. Action: (1) Immediate speed restriction 25 km/h, (2) Operations centre alert within 15 min, (3) On-site inspection within 2 hr, (4) Closure decision within 4 hr.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Q-PR-03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What is the standard pavement overlay selection procedure when PCI falls below 55?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833C00"/>
                <w:sz w:val="16"/>
                <w:szCs w:val="16"/>
              </w:rPr>
              <w:t xml:space="preserve">Procedural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MOLIT pavement management procedure graph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PR-MOLIT-OVERLAY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Step 1: Core sampling (3 per 500 m). Step 2: FWD structural assessment. Step 3: If structural number OK → microsurfacing; if SN deficient → mill-and-fill; if sub-base failure → full-depth reclamation. Step 4: Traffic control plan. Step 5: Post-overlay PCI survey within 30 days.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Q-PR-04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What documentation is required before initiating a full-depth pavement reclamation on an expressway?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833C00"/>
                <w:sz w:val="16"/>
                <w:szCs w:val="16"/>
              </w:rPr>
              <w:t xml:space="preserve">Procedural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Expressway construction procedure; regulatory submission checklist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PR-EXPY-FDR-DOC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Required: (1) Traffic management plan approved by MOLIT, (2) Environmental impact notice (&gt;5,000 m²), (3) Core sampling report, (4) Mix design specification, (5) Lane closure schedule with 14-day public notice.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Q-PR-05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What is the planned bearing replacement procedure for Grade-D corrosion on an in-service bridge?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833C00"/>
                <w:sz w:val="16"/>
                <w:szCs w:val="16"/>
              </w:rPr>
              <w:t xml:space="preserve">Procedural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KDS 24 10 20 bearing replacement procedure; bridge closure protocol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PR-KDS-BEAR-REPLACE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Step 1: Temporary shoring design and approval. Step 2: Lane closure — alternating half-width. Step 3: Hydraulic jack installation. Step 4: Bearing removal, surface preparation, new bearing installation. Step 5: Load redistribution verification. Step 6: Progressive load testing before full reopening.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Q-PR-06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What inspection protocol applies when a bridge bearing shows sudden load transfer without prior warning?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833C00"/>
                <w:sz w:val="16"/>
                <w:szCs w:val="16"/>
              </w:rPr>
              <w:t xml:space="preserve">Procedural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Bridge emergency inspection SOP; structural safety protocol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PR-BRIDGE-EMGBEAR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Classify as Level-3 emergency. Step 1: Immediate bridge closure. Step 2: Structural engineer on site within 1 hr. Step 3: Temporary shoring within 4 hr. Step 4: Cause investigation and FEM analysis within 48 hr. Step 5: Repair or closure decision within 72 hr.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Q-PR-07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What are the steps for encoding a new anomaly event into the LTCM Episodic Memory?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833C00"/>
                <w:sz w:val="16"/>
                <w:szCs w:val="16"/>
              </w:rPr>
              <w:t xml:space="preserve">Procedural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LTCM memory generation SOP; CLS-LTCM consolidation algorithm procedure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PR-LTCM-ENCODE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Step 1: Classify event by type (anomaly/inspection/work order). Step 2: Assign IFC 4.3 element GUID. Step 3: Extract signal metadata (timestamp, sensor ID, value, severity score). Step 4: CLS-LTCM significance scoring S(m). Step 5: If S(m)≥τ → retain as Episodic; else → consolidate into Semantic.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Q-PR-08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What quality control checks are required after GPR sub-base assessment on the expressway?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833C00"/>
                <w:sz w:val="16"/>
                <w:szCs w:val="16"/>
              </w:rPr>
              <w:t xml:space="preserve">Procedural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GPR QC procedure; MOLIT road inspection SOP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PR-GPR-QC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Step 1: Verify antenna frequency calibration (1 GHz for sub-base, 2 GHz for surface). Step 2: Validate against minimum 3 core samples per 1 km. Step 3: Check layer depth accuracy (tolerance: ±5 mm). Step 4: Generate layer thickness map. Step 5: Flag anomalies where measured depth deviates &gt;20% from design.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Q-PR-09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What maintenance procedure applies to an elastomeric bearing with PTFE sliding layer wear rate exceeding design limits?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833C00"/>
                <w:sz w:val="16"/>
                <w:szCs w:val="16"/>
              </w:rPr>
              <w:t xml:space="preserve">Procedural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PTFE bearing maintenance procedure; KDS 24 10 20 wear limit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PR-BEAR-PTFE-02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Step 1: Quantify wear depth (profilometry or thickness gauge). Step 2: If wear &gt;30% of design thickness → scheduled replacement within 12 months. Step 3: If wear &gt;50% → emergency replacement within 3 months. Step 4: Log replacement in episodic memory with grade, load, and cost.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Q-PR-10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What is the re-inspection protocol after tamping works on a settlement-affected viaduct span?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833C00"/>
                <w:sz w:val="16"/>
                <w:szCs w:val="16"/>
              </w:rPr>
              <w:t xml:space="preserve">Procedural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Post-tamping inspection SOP; KR C-14020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PR-KR-TAMP-REINSP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Re-inspection at 7, 30, and 90 days post-tamping. If settlement recurrence &gt;5 mm within 90 days → full ballast renewal. Effectiveness threshold: settlement rate &lt;0.5 mm/month within 90-day monitoring period.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Q-PD-01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What is the PINN-predicted probability that Span 9 settlement will exceed 15 mm within 18 months?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030A0"/>
                <w:sz w:val="16"/>
                <w:szCs w:val="16"/>
              </w:rPr>
              <w:t xml:space="preserve">Predictive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PINN Sato-Odaka forecast model; current settlement record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PD-A-S09-SETTLE-2024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P(settlement ≥ 15 mm | 18 months) = 0.81; 95% CI: [0.69, 0.91]; Sato-Odaka: α=1.38, β=0.71; projected exceedance: 2025-Q2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Q-PD-02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Which spans of the railway viaduct are predicted to require tamping within the next 24 months?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030A0"/>
                <w:sz w:val="16"/>
                <w:szCs w:val="16"/>
              </w:rPr>
              <w:t xml:space="preserve">Predictive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Multi-span PINN settlement forecast; maintenance planning model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PD-A-MULTISPAN-2024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Priority 1 (0–12 months): Spans 9, 11. Priority 2 (12–24 months): Spans 7, 12. Spans 1–6, 8, 10, 13–18: no action needed.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Q-PD-03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How does the PINN-predicted settlement rate change if axle load is increased from 25 t to 30 t?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030A0"/>
                <w:sz w:val="16"/>
                <w:szCs w:val="16"/>
              </w:rPr>
              <w:t xml:space="preserve">Predictive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Sato-Odaka sensitivity analysis model; load-parameter relationship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PD-A-LOAD-SENS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Settlement rate increases 23% (Sato-Odaka α scales as α ∝ P^0.65); Span 9 threshold exceedance advanced from 2025-Q2 to 2024-Q4 under 30t loading.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Q-PD-04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What is the predicted PCI for km 10–15 expressway in 2026 and 2028 under current maintenance?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030A0"/>
                <w:sz w:val="16"/>
                <w:szCs w:val="16"/>
              </w:rPr>
              <w:t xml:space="preserve">Predictive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PCI degradation PINN forecast; maintenance scenario model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PD-B-PCI-FC2026-2028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Under current maintenance: 2026 PCI = 49 (critical); 2028 PCI = 38 (failure range). Under proactive overlay (2025): 2026 PCI = 72; 2028 PCI = 64.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Q-PD-05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Forecast remaining service life of the expressway sub-base on Section 4 without intervention.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030A0"/>
                <w:sz w:val="16"/>
                <w:szCs w:val="16"/>
              </w:rPr>
              <w:t xml:space="preserve">Predictive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Sub-base structural degradation model; FWD structural number trend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PD-B-SUBBASE-RSL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Remaining service life: 3.2 years (95% CI: 2.1–4.4 yr); structural number will fall below minimum (SN=3.5) by 2027-Q1 based on FWD trend (ΔSN = −0.31/yr).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Q-PD-06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What is the predicted remaining service life of Span 1A bearing based on the power-law corrosion model?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030A0"/>
                <w:sz w:val="16"/>
                <w:szCs w:val="16"/>
              </w:rPr>
              <w:t xml:space="preserve">Predictive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Power-law bearing degradation PINN; Span 1A load cell history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PD-C-SP1A-BEAR-RSL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Remaining service life: 4.8 yr (95% CI: 3.2–6.4 yr); mass loss rate k=0.041 kg/yr, n=1.18; KDS design life not yet exceeded but coastal factor shortens projection.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Q-PD-07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Rank all 10 bridge bearings by predicted remaining service life and recommended replacement year.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030A0"/>
                <w:sz w:val="16"/>
                <w:szCs w:val="16"/>
              </w:rPr>
              <w:t xml:space="preserve">Predictive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Multi-bearing PINN forecast; bearing inventory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PD-C-ALLBEAR-RANK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Rank 1: SP2A (RSL 2.1 yr → replace 2026). Rank 2: SP4B (RSL 2.8 yr → replace 2026). Rank 3: SP3B (RSL 3.5 yr → replace 2027). Remaining 7: RSL &gt;4 yr.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Q-PD-08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How does PINN prediction accuracy change as the bearing episodic corpus grows from 5 to 14 events?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030A0"/>
                <w:sz w:val="16"/>
                <w:szCs w:val="16"/>
              </w:rPr>
              <w:t xml:space="preserve">Predictive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PINN corpus-size sensitivity; prediction RMSE trend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PD-C-CORPUS-SENS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sz w:val="16"/>
                <w:szCs w:val="16"/>
                <w:rFonts w:ascii="Times New Roman" w:hAnsi="Times New Roman" w:cs="Times New Roman"/>
              </w:rPr>
              <w:t xml:space="preserve">RMSE trend: 5 events = 3.8 yr; 8 events = 2.4 yr; 11 events = 1.8 yr; 14 events = 1.4 yr. Diminishing returns after 10 events; 63.2% RMSE reduction from 5 to 14 events.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Q-PD-09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Generate a 5-year predictive maintenance plan for the railway viaduct based on PINN settlement forecasts.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030A0"/>
                <w:sz w:val="16"/>
                <w:szCs w:val="16"/>
              </w:rPr>
              <w:t xml:space="preserve">Predictive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Multi-span settlement PINN; maintenance cost model; KR C-14020 thresholds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PD-A-5YR-PLAN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Year 1: Spans 9, 11 tamping (KRW 34M). Year 2: Spans 7, 12 tamping (KRW 28M). Year 3: Span 9 second tamping (KRW 18M). Year 4: Spans 14, 15 monitoring only. Year 5: Full section assessment. Total 5-yr cost: KRW 80M (vs. reactive scenario KRW 124M).</w:t>
            </w:r>
          </w:p>
        </w:tc>
        <w:trPr>
          <w:cantSplit w:val="1"/>
        </w:trPr>
      </w:tr>
      <w:t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Q-PD-10</w:t>
            </w:r>
          </w:p>
        </w:tc>
        <w:tc>
          <w:tcPr>
            <w:tcW w:type="dxa" w:w="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What confidence interval does the PINN model assign to bearing replacement prediction for Span 2A in 2026?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030A0"/>
                <w:sz w:val="16"/>
                <w:szCs w:val="16"/>
              </w:rPr>
              <w:t xml:space="preserve">Predictive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PINN power-law model; Monte Carlo Dropout uncertainty quantification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PD-C-SP2A-2026-CI</w:t>
            </w:r>
          </w:p>
        </w:tc>
        <w:tc>
          <w:tcPr>
            <w:tcW w:type="dxa" w:w="7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P(replacement needed by 2026) = 0.87; 95% CI from MC Dropout (T=100): [0.79, 0.93]; model uncertainty σ=0.031; main uncertainty source: corrosion rate k estimation (CV=18%).</w:t>
            </w:r>
          </w:p>
        </w:tc>
        <w:trPr>
          <w:cantSplit w:val="1"/>
        </w:trPr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Abbreviations: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E = Episodic Memory; S = Semantic Memory; PR = Procedural Memory; PD = Predictive Memory. Case A = Railway viaduct (4.2 km, 18 PSC spans); Case B = Expressway Section 4 (23 km); Case C = PSC bridge (210 m, 32-year record). PINN = Physics-Informed Neural Network; KG = Knowledge Graph; KDS = Korean Design Standard; KR = Korean Railway Standard; MOLIT = Ministry of Land, Infrastructure and Transport; PCI = Pavement Condition Index; ESAL = Equivalent Standard Axle Load; FWD = Falling Weight Deflectometer; GPR = Ground Penetrating Radar; RMSE = Root Mean Square Error; CI = Confidence Interval; RSL = Remaining Service Life.</w:t>
      </w:r>
    </w:p>
    <w:sectPr>
      <w:headerReference w:type="default" r:id="rId7"/>
      <w:footerReference w:type="default" r:id="rId8"/>
      <w:pgSz w:w="16838" w:h="11906" w:orient="landscape"/>
      <w:pgMar w:top="500" w:right="400" w:bottom="500" w:left="400" w:header="284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/>
      </w:pBdr>
      <w:spacing w:after="0" w:before="80"/>
      <w:jc w:val="center"/>
    </w:pPr>
    <w:r>
      <w:rPr>
        <w:rFonts w:ascii="Times New Roman" w:cs="Times New Roman" w:eastAsia="Times New Roman" w:hAnsi="Times New Roman"/>
        <w:color w:val="666666"/>
        <w:sz w:val="16"/>
        <w:szCs w:val="16"/>
      </w:rPr>
      <w:t xml:space="preserve">Page </w:t>
    </w:r>
    <w:r>
      <w:rPr>
        <w:rFonts w:ascii="Times New Roman" w:cs="Times New Roman" w:eastAsia="Times New Roman" w:hAnsi="Times New Roman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666666"/>
        <w:sz w:val="16"/>
        <w:szCs w:val="16"/>
      </w:rPr>
      <w:t xml:space="preserve"> of </w:t>
    </w:r>
    <w:r>
      <w:rPr>
        <w:rFonts w:ascii="Times New Roman" w:cs="Times New Roman" w:eastAsia="Times New Roman" w:hAnsi="Times New Roman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3"/>
      </w:pBdr>
      <w:spacing w:after="80" w:before="0"/>
    </w:pPr>
    <w:r>
      <w:rPr>
        <w:rFonts w:ascii="Times New Roman" w:cs="Times New Roman" w:eastAsia="Times New Roman" w:hAnsi="Times New Roman"/>
        <w:i/>
        <w:iCs/>
        <w:color w:val="777777"/>
        <w:sz w:val="16"/>
        <w:szCs w:val="16"/>
      </w:rPr>
      <w:t xml:space="preserve">Supplementary Material S1 — LTCM/MARG Benchmark Queries  |  Signal-Driven Lifecycle Memory for SHM Digital Twins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2026-09-06T22:30:27.131Z</dcterms:created>
  <dcterms:modified xsi:type="dcterms:W3CDTF">2026-09-06T22:30:27.142Z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