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65D"/>
          <w:sz w:val="68"/>
        </w:rPr>
        <w:t>BIKE SALES</w:t>
      </w:r>
    </w:p>
    <w:p>
      <w:pPr>
        <w:spacing w:after="80"/>
        <w:jc w:val="center"/>
      </w:pPr>
      <w:r>
        <w:rPr>
          <w:rFonts w:ascii="Aptos Display" w:hAnsi="Aptos Display"/>
          <w:b/>
          <w:color w:val="176B87"/>
          <w:sz w:val="50"/>
        </w:rPr>
        <w:t>DATA ANALYSIS REPORT</w:t>
      </w:r>
    </w:p>
    <w:p>
      <w:pPr>
        <w:jc w:val="center"/>
      </w:pPr>
      <w:r>
        <w:rPr>
          <w:rFonts w:ascii="Aptos" w:hAnsi="Aptos"/>
          <w:color w:val="666666"/>
          <w:sz w:val="26"/>
        </w:rPr>
        <w:t>Analytical Questions, Pivot Table Results &amp; Business Insights</w:t>
      </w:r>
    </w:p>
    <w:p/>
    <w:tbl>
      <w:tblPr>
        <w:tblW w:type="auto" w:w="0"/>
        <w:jc w:val="center"/>
        <w:tblLook w:firstColumn="1" w:firstRow="1" w:lastColumn="0" w:lastRow="0" w:noHBand="0" w:noVBand="1" w:val="04A0"/>
        <w:tblBorders>
          <w:top w:val="single" w:sz="6" w:space="0" w:color="C9DCE3"/>
          <w:left w:val="single" w:sz="6" w:space="0" w:color="C9DCE3"/>
          <w:bottom w:val="single" w:sz="6" w:space="0" w:color="C9DCE3"/>
          <w:right w:val="single" w:sz="6" w:space="0" w:color="C9DCE3"/>
          <w:insideH w:val="single" w:sz="6" w:space="0" w:color="C9DCE3"/>
          <w:insideV w:val="single" w:sz="6" w:space="0" w:color="C9DCE3"/>
        </w:tblBorders>
      </w:tblPr>
      <w:tblGrid>
        <w:gridCol w:w="5112"/>
        <w:gridCol w:w="5112"/>
      </w:tblGrid>
      <w:tr>
        <w:tc>
          <w:tcPr>
            <w:tcW w:type="dxa" w:w="5112"/>
            <w:shd w:fill="17365D"/>
            <w:vAlign w:val="center"/>
          </w:tcPr>
          <w:p>
            <w:pPr>
              <w:jc w:val="center"/>
            </w:pPr>
            <w:r/>
            <w:r>
              <w:rPr>
                <w:rFonts w:ascii="Aptos" w:hAnsi="Aptos"/>
                <w:b/>
                <w:color w:val="FFFFFF"/>
                <w:sz w:val="20"/>
              </w:rPr>
              <w:t>Prepared by</w:t>
            </w:r>
          </w:p>
        </w:tc>
        <w:tc>
          <w:tcPr>
            <w:tcW w:type="dxa" w:w="5112"/>
            <w:shd w:fill="EAF2F5"/>
            <w:vAlign w:val="center"/>
          </w:tcPr>
          <w:p>
            <w:pPr>
              <w:jc w:val="center"/>
            </w:pPr>
            <w:r/>
            <w:r>
              <w:rPr>
                <w:rFonts w:ascii="Aptos" w:hAnsi="Aptos"/>
                <w:b w:val="0"/>
                <w:color w:val="222222"/>
                <w:sz w:val="20"/>
              </w:rPr>
              <w:t>Donia Khaled Ahmed</w:t>
            </w:r>
          </w:p>
        </w:tc>
      </w:tr>
      <w:tr>
        <w:tc>
          <w:tcPr>
            <w:tcW w:type="dxa" w:w="5112"/>
            <w:shd w:fill="17365D"/>
            <w:vAlign w:val="center"/>
          </w:tcPr>
          <w:p>
            <w:pPr>
              <w:jc w:val="center"/>
            </w:pPr>
            <w:r/>
            <w:r>
              <w:rPr>
                <w:rFonts w:ascii="Aptos" w:hAnsi="Aptos"/>
                <w:b/>
                <w:color w:val="FFFFFF"/>
                <w:sz w:val="20"/>
              </w:rPr>
              <w:t>Tools Used</w:t>
            </w:r>
          </w:p>
        </w:tc>
        <w:tc>
          <w:tcPr>
            <w:tcW w:type="dxa" w:w="5112"/>
            <w:shd w:fill="EAF2F5"/>
            <w:vAlign w:val="center"/>
          </w:tcPr>
          <w:p>
            <w:pPr>
              <w:jc w:val="center"/>
            </w:pPr>
            <w:r/>
            <w:r>
              <w:rPr>
                <w:rFonts w:ascii="Aptos" w:hAnsi="Aptos"/>
                <w:b w:val="0"/>
                <w:color w:val="222222"/>
                <w:sz w:val="20"/>
              </w:rPr>
              <w:t>Microsoft Excel • Pivot Tables</w:t>
            </w:r>
          </w:p>
        </w:tc>
      </w:tr>
      <w:tr>
        <w:tc>
          <w:tcPr>
            <w:tcW w:type="dxa" w:w="5112"/>
            <w:shd w:fill="17365D"/>
            <w:vAlign w:val="center"/>
          </w:tcPr>
          <w:p>
            <w:pPr>
              <w:jc w:val="center"/>
            </w:pPr>
            <w:r/>
            <w:r>
              <w:rPr>
                <w:rFonts w:ascii="Aptos" w:hAnsi="Aptos"/>
                <w:b/>
                <w:color w:val="FFFFFF"/>
                <w:sz w:val="20"/>
              </w:rPr>
              <w:t>Dataset</w:t>
            </w:r>
          </w:p>
        </w:tc>
        <w:tc>
          <w:tcPr>
            <w:tcW w:type="dxa" w:w="5112"/>
            <w:shd w:fill="EAF2F5"/>
            <w:vAlign w:val="center"/>
          </w:tcPr>
          <w:p>
            <w:pPr>
              <w:jc w:val="center"/>
            </w:pPr>
            <w:r/>
            <w:r>
              <w:rPr>
                <w:rFonts w:ascii="Aptos" w:hAnsi="Aptos"/>
                <w:b w:val="0"/>
                <w:color w:val="222222"/>
                <w:sz w:val="20"/>
              </w:rPr>
              <w:t>Bike Sales Data</w:t>
            </w:r>
          </w:p>
        </w:tc>
      </w:tr>
      <w:tr>
        <w:tc>
          <w:tcPr>
            <w:tcW w:type="dxa" w:w="5112"/>
            <w:shd w:fill="17365D"/>
            <w:vAlign w:val="center"/>
          </w:tcPr>
          <w:p>
            <w:pPr>
              <w:jc w:val="center"/>
            </w:pPr>
            <w:r/>
            <w:r>
              <w:rPr>
                <w:rFonts w:ascii="Aptos" w:hAnsi="Aptos"/>
                <w:b/>
                <w:color w:val="FFFFFF"/>
                <w:sz w:val="20"/>
              </w:rPr>
              <w:t>Report Scope</w:t>
            </w:r>
          </w:p>
        </w:tc>
        <w:tc>
          <w:tcPr>
            <w:tcW w:type="dxa" w:w="5112"/>
            <w:shd w:fill="EAF2F5"/>
            <w:vAlign w:val="center"/>
          </w:tcPr>
          <w:p>
            <w:pPr>
              <w:jc w:val="center"/>
            </w:pPr>
            <w:r/>
            <w:r>
              <w:rPr>
                <w:rFonts w:ascii="Aptos" w:hAnsi="Aptos"/>
                <w:b w:val="0"/>
                <w:color w:val="222222"/>
                <w:sz w:val="20"/>
              </w:rPr>
              <w:t>Sales • Customers • Products • Time • Geography</w:t>
            </w:r>
          </w:p>
        </w:tc>
      </w:tr>
    </w:tbl>
    <w:p/>
    <w:p>
      <w:pPr>
        <w:jc w:val="center"/>
      </w:pPr>
      <w:r>
        <w:rPr>
          <w:rFonts w:ascii="Aptos" w:hAnsi="Aptos"/>
          <w:i/>
          <w:color w:val="666666"/>
          <w:sz w:val="19"/>
        </w:rPr>
        <w:t>Submission-ready report based on the existing Excel Pivot Tables.</w:t>
      </w:r>
    </w:p>
    <w:p>
      <w:r>
        <w:br w:type="page"/>
      </w:r>
    </w:p>
    <w:p>
      <w:pPr>
        <w:spacing w:before="200" w:after="100"/>
      </w:pPr>
      <w:r>
        <w:rPr>
          <w:rFonts w:ascii="Aptos Display" w:hAnsi="Aptos Display"/>
          <w:b/>
          <w:color w:val="17365D"/>
          <w:sz w:val="32"/>
        </w:rPr>
        <w:t>1. Executive Summary</w:t>
      </w:r>
    </w:p>
    <w:p>
      <w:pPr>
        <w:spacing w:after="100" w:line="259" w:lineRule="auto"/>
      </w:pPr>
      <w:r>
        <w:rPr>
          <w:rFonts w:ascii="Aptos" w:hAnsi="Aptos"/>
          <w:color w:val="222222"/>
          <w:sz w:val="21"/>
        </w:rPr>
        <w:t>This report presents ten analytical questions developed from the Bike Sales dataset and answered using the Pivot Tables already prepared in Excel. The analysis covers geographic performance, product demand, customer segments, gender behavior, order quantity, bike color, monthly demand, weekly activity, price levels, and state-level transaction concentration.</w:t>
      </w:r>
    </w:p>
    <w:tbl>
      <w:tblPr>
        <w:tblW w:type="auto" w:w="0"/>
        <w:jc w:val="center"/>
        <w:tblLayout w:type="autofit"/>
        <w:tblLook w:firstColumn="1" w:firstRow="1" w:lastColumn="0" w:lastRow="0" w:noHBand="0" w:noVBand="1" w:val="04A0"/>
        <w:tblBorders>
          <w:top w:val="single" w:sz="6" w:space="0" w:color="B7C7CF"/>
          <w:left w:val="single" w:sz="6" w:space="0" w:color="B7C7CF"/>
          <w:bottom w:val="single" w:sz="6" w:space="0" w:color="B7C7CF"/>
          <w:right w:val="single" w:sz="6" w:space="0" w:color="B7C7CF"/>
          <w:insideH w:val="single" w:sz="6" w:space="0" w:color="B7C7CF"/>
          <w:insideV w:val="single" w:sz="6" w:space="0" w:color="B7C7CF"/>
        </w:tblBorders>
      </w:tblPr>
      <w:tblGrid>
        <w:gridCol w:w="5112"/>
        <w:gridCol w:w="5112"/>
      </w:tblGrid>
      <w:tr>
        <w:tc>
          <w:tcPr>
            <w:tcW w:type="dxa" w:w="5112"/>
            <w:shd w:fill="17365D"/>
            <w:vAlign w:val="center"/>
          </w:tcPr>
          <w:p>
            <w:pPr>
              <w:jc w:val="center"/>
            </w:pPr>
            <w:r/>
            <w:r>
              <w:rPr>
                <w:rFonts w:ascii="Aptos" w:hAnsi="Aptos"/>
                <w:b/>
                <w:color w:val="FFFFFF"/>
                <w:sz w:val="19"/>
              </w:rPr>
              <w:t>Metric</w:t>
            </w:r>
          </w:p>
        </w:tc>
        <w:tc>
          <w:tcPr>
            <w:tcW w:type="dxa" w:w="5112"/>
            <w:shd w:fill="17365D"/>
            <w:vAlign w:val="center"/>
          </w:tcPr>
          <w:p>
            <w:pPr>
              <w:jc w:val="center"/>
            </w:pPr>
            <w:r/>
            <w:r>
              <w:rPr>
                <w:rFonts w:ascii="Aptos" w:hAnsi="Aptos"/>
                <w:b/>
                <w:color w:val="FFFFFF"/>
                <w:sz w:val="19"/>
              </w:rPr>
              <w:t>Result</w:t>
            </w:r>
          </w:p>
        </w:tc>
      </w:tr>
      <w:tr>
        <w:tc>
          <w:tcPr>
            <w:tcW w:type="dxa" w:w="5112"/>
            <w:shd w:fill="F5F8FA"/>
            <w:vAlign w:val="center"/>
          </w:tcPr>
          <w:p>
            <w:pPr>
              <w:jc w:val="left"/>
            </w:pPr>
            <w:r/>
            <w:r>
              <w:rPr>
                <w:rFonts w:ascii="Aptos" w:hAnsi="Aptos"/>
                <w:b w:val="0"/>
                <w:color w:val="222222"/>
                <w:sz w:val="19"/>
              </w:rPr>
              <w:t>Total Sales</w:t>
            </w:r>
          </w:p>
        </w:tc>
        <w:tc>
          <w:tcPr>
            <w:tcW w:type="dxa" w:w="5112"/>
            <w:shd w:fill="F5F8FA"/>
            <w:vAlign w:val="center"/>
          </w:tcPr>
          <w:p>
            <w:pPr>
              <w:jc w:val="center"/>
            </w:pPr>
            <w:r/>
            <w:r>
              <w:rPr>
                <w:rFonts w:ascii="Aptos" w:hAnsi="Aptos"/>
                <w:b w:val="0"/>
                <w:color w:val="222222"/>
                <w:sz w:val="19"/>
              </w:rPr>
              <w:t>1,085,290</w:t>
            </w:r>
          </w:p>
        </w:tc>
      </w:tr>
      <w:tr>
        <w:tc>
          <w:tcPr>
            <w:tcW w:type="dxa" w:w="5112"/>
            <w:vAlign w:val="center"/>
          </w:tcPr>
          <w:p>
            <w:pPr>
              <w:jc w:val="left"/>
            </w:pPr>
            <w:r/>
            <w:r>
              <w:rPr>
                <w:rFonts w:ascii="Aptos" w:hAnsi="Aptos"/>
                <w:b w:val="0"/>
                <w:color w:val="222222"/>
                <w:sz w:val="19"/>
              </w:rPr>
              <w:t>Total Profit</w:t>
            </w:r>
          </w:p>
        </w:tc>
        <w:tc>
          <w:tcPr>
            <w:tcW w:type="dxa" w:w="5112"/>
            <w:vAlign w:val="center"/>
          </w:tcPr>
          <w:p>
            <w:pPr>
              <w:jc w:val="center"/>
            </w:pPr>
            <w:r/>
            <w:r>
              <w:rPr>
                <w:rFonts w:ascii="Aptos" w:hAnsi="Aptos"/>
                <w:b w:val="0"/>
                <w:color w:val="222222"/>
                <w:sz w:val="19"/>
              </w:rPr>
              <w:t>395,390</w:t>
            </w:r>
          </w:p>
        </w:tc>
      </w:tr>
      <w:tr>
        <w:tc>
          <w:tcPr>
            <w:tcW w:type="dxa" w:w="5112"/>
            <w:shd w:fill="F5F8FA"/>
            <w:vAlign w:val="center"/>
          </w:tcPr>
          <w:p>
            <w:pPr>
              <w:jc w:val="left"/>
            </w:pPr>
            <w:r/>
            <w:r>
              <w:rPr>
                <w:rFonts w:ascii="Aptos" w:hAnsi="Aptos"/>
                <w:b w:val="0"/>
                <w:color w:val="222222"/>
                <w:sz w:val="19"/>
              </w:rPr>
              <w:t>Transactions</w:t>
            </w:r>
          </w:p>
        </w:tc>
        <w:tc>
          <w:tcPr>
            <w:tcW w:type="dxa" w:w="5112"/>
            <w:shd w:fill="F5F8FA"/>
            <w:vAlign w:val="center"/>
          </w:tcPr>
          <w:p>
            <w:pPr>
              <w:jc w:val="center"/>
            </w:pPr>
            <w:r/>
            <w:r>
              <w:rPr>
                <w:rFonts w:ascii="Aptos" w:hAnsi="Aptos"/>
                <w:b w:val="0"/>
                <w:color w:val="222222"/>
                <w:sz w:val="19"/>
              </w:rPr>
              <w:t>752</w:t>
            </w:r>
          </w:p>
        </w:tc>
      </w:tr>
      <w:tr>
        <w:tc>
          <w:tcPr>
            <w:tcW w:type="dxa" w:w="5112"/>
            <w:vAlign w:val="center"/>
          </w:tcPr>
          <w:p>
            <w:pPr>
              <w:jc w:val="left"/>
            </w:pPr>
            <w:r/>
            <w:r>
              <w:rPr>
                <w:rFonts w:ascii="Aptos" w:hAnsi="Aptos"/>
                <w:b w:val="0"/>
                <w:color w:val="222222"/>
                <w:sz w:val="19"/>
              </w:rPr>
              <w:t>Units Sold</w:t>
            </w:r>
          </w:p>
        </w:tc>
        <w:tc>
          <w:tcPr>
            <w:tcW w:type="dxa" w:w="5112"/>
            <w:vAlign w:val="center"/>
          </w:tcPr>
          <w:p>
            <w:pPr>
              <w:jc w:val="center"/>
            </w:pPr>
            <w:r/>
            <w:r>
              <w:rPr>
                <w:rFonts w:ascii="Aptos" w:hAnsi="Aptos"/>
                <w:b w:val="0"/>
                <w:color w:val="222222"/>
                <w:sz w:val="19"/>
              </w:rPr>
              <w:t>1,483</w:t>
            </w:r>
          </w:p>
        </w:tc>
      </w:tr>
    </w:tbl>
    <w:p>
      <w:pPr>
        <w:spacing w:after="40"/>
      </w:pPr>
    </w:p>
    <w:p>
      <w:pPr>
        <w:spacing w:after="100" w:line="259" w:lineRule="auto"/>
      </w:pPr>
      <w:r>
        <w:rPr>
          <w:rFonts w:ascii="Aptos" w:hAnsi="Aptos"/>
          <w:color w:val="222222"/>
          <w:sz w:val="21"/>
        </w:rPr>
        <w:t>Overall, the existing Pivot Table results indicate that Australia is the strongest-performing country in the current country analysis, Road Bikes lead both orders and units sold, the 25–34 age group records the highest number of orders, and December has the highest unit demand among the analyzed months.</w:t>
      </w:r>
    </w:p>
    <w:p>
      <w:pPr>
        <w:spacing w:before="200" w:after="100"/>
      </w:pPr>
      <w:r>
        <w:rPr>
          <w:rFonts w:ascii="Aptos Display" w:hAnsi="Aptos Display"/>
          <w:b/>
          <w:color w:val="17365D"/>
          <w:sz w:val="32"/>
        </w:rPr>
        <w:t>2. Dataset &amp; Analysis Scope</w:t>
      </w:r>
    </w:p>
    <w:p>
      <w:pPr>
        <w:spacing w:after="100" w:line="259" w:lineRule="auto"/>
      </w:pPr>
      <w:r>
        <w:rPr>
          <w:rFonts w:ascii="Aptos" w:hAnsi="Aptos"/>
          <w:color w:val="222222"/>
          <w:sz w:val="21"/>
        </w:rPr>
        <w:t>The analysis is based on the Sales Data sheet and uses the fields already prepared for the Pivot Table analysis, including Date, Customer Age, Customer Gender, Country, State, Sub-Category, Bike Color, Product, Order Quantity, Unit Cost, Unit Price, Total Sales, Total Cost, Profit, Profit Margin, Month, Day, and Age Group.</w:t>
      </w:r>
    </w:p>
    <w:p>
      <w:pPr>
        <w:spacing w:after="100" w:line="259" w:lineRule="auto"/>
      </w:pPr>
      <w:r>
        <w:rPr>
          <w:rFonts w:ascii="Aptos" w:hAnsi="Aptos"/>
          <w:color w:val="222222"/>
          <w:sz w:val="21"/>
        </w:rPr>
        <w:t>No additional analytical model is introduced in this report. The questions and answers below are aligned with the existing Pivot Tables used in the Excel submission.</w:t>
      </w:r>
    </w:p>
    <w:p>
      <w:pPr>
        <w:spacing w:before="200" w:after="100"/>
      </w:pPr>
      <w:r>
        <w:rPr>
          <w:rFonts w:ascii="Aptos Display" w:hAnsi="Aptos Display"/>
          <w:b/>
          <w:color w:val="17365D"/>
          <w:sz w:val="32"/>
        </w:rPr>
        <w:t>3. Analytical Questions &amp; Results</w:t>
      </w:r>
    </w:p>
    <w:tbl>
      <w:tblPr>
        <w:tblW w:type="auto" w:w="0"/>
        <w:jc w:val="center"/>
        <w:tblLook w:firstColumn="1" w:firstRow="1" w:lastColumn="0" w:lastRow="0" w:noHBand="0" w:noVBand="1" w:val="04A0"/>
        <w:tblBorders>
          <w:top w:val="single" w:sz="6" w:space="0" w:color="C9DCE3"/>
          <w:left w:val="single" w:sz="6" w:space="0" w:color="C9DCE3"/>
          <w:bottom w:val="single" w:sz="6" w:space="0" w:color="C9DCE3"/>
          <w:right w:val="single" w:sz="6" w:space="0" w:color="C9DCE3"/>
          <w:insideH w:val="single" w:sz="6" w:space="0" w:color="C9DCE3"/>
          <w:insideV w:val="single" w:sz="6" w:space="0" w:color="C9DCE3"/>
        </w:tblBorders>
      </w:tblPr>
      <w:tblGrid>
        <w:gridCol w:w="10224"/>
      </w:tblGrid>
      <w:tr>
        <w:tc>
          <w:tcPr>
            <w:tcW w:type="dxa" w:w="10224"/>
            <w:shd w:fill="EAF2F5"/>
          </w:tcPr>
          <w:p>
            <w:pPr>
              <w:spacing w:after="40"/>
            </w:pPr>
            <w:r>
              <w:rPr>
                <w:rFonts w:ascii="Aptos Display" w:hAnsi="Aptos Display"/>
                <w:b/>
                <w:color w:val="17365D"/>
                <w:sz w:val="25"/>
              </w:rPr>
              <w:t>Q1. How does sales and profit performance compare across the countries shown in the Country Pivot Table?</w:t>
            </w:r>
          </w:p>
          <w:p>
            <w:pPr>
              <w:spacing w:after="0"/>
            </w:pPr>
            <w:r>
              <w:rPr>
                <w:b/>
                <w:color w:val="176B87"/>
              </w:rPr>
              <w:t xml:space="preserve">Analytical purpose: </w:t>
            </w:r>
            <w:r>
              <w:rPr>
                <w:rFonts w:ascii="Aptos" w:hAnsi="Aptos"/>
                <w:color w:val="222222"/>
                <w:sz w:val="19"/>
              </w:rPr>
              <w:t>Evaluate geographic performance using both revenue and profit rather than relying on a single measure.</w:t>
            </w:r>
          </w:p>
        </w:tc>
      </w:tr>
    </w:tbl>
    <w:p>
      <w:pPr>
        <w:spacing w:after="20"/>
      </w:pPr>
    </w:p>
    <w:tbl>
      <w:tblPr>
        <w:tblW w:type="auto" w:w="0"/>
        <w:jc w:val="center"/>
        <w:tblLayout w:type="autofit"/>
        <w:tblLook w:firstColumn="1" w:firstRow="1" w:lastColumn="0" w:lastRow="0" w:noHBand="0" w:noVBand="1" w:val="04A0"/>
        <w:tblBorders>
          <w:top w:val="single" w:sz="6" w:space="0" w:color="B7C7CF"/>
          <w:left w:val="single" w:sz="6" w:space="0" w:color="B7C7CF"/>
          <w:bottom w:val="single" w:sz="6" w:space="0" w:color="B7C7CF"/>
          <w:right w:val="single" w:sz="6" w:space="0" w:color="B7C7CF"/>
          <w:insideH w:val="single" w:sz="6" w:space="0" w:color="B7C7CF"/>
          <w:insideV w:val="single" w:sz="6" w:space="0" w:color="B7C7CF"/>
        </w:tblBorders>
      </w:tblPr>
      <w:tblGrid>
        <w:gridCol w:w="3408"/>
        <w:gridCol w:w="3408"/>
        <w:gridCol w:w="3408"/>
      </w:tblGrid>
      <w:tr>
        <w:tc>
          <w:tcPr>
            <w:tcW w:type="dxa" w:w="3408"/>
            <w:shd w:fill="17365D"/>
            <w:vAlign w:val="center"/>
          </w:tcPr>
          <w:p>
            <w:pPr>
              <w:jc w:val="center"/>
            </w:pPr>
            <w:r/>
            <w:r>
              <w:rPr>
                <w:rFonts w:ascii="Aptos" w:hAnsi="Aptos"/>
                <w:b/>
                <w:color w:val="FFFFFF"/>
                <w:sz w:val="19"/>
              </w:rPr>
              <w:t>Country</w:t>
            </w:r>
          </w:p>
        </w:tc>
        <w:tc>
          <w:tcPr>
            <w:tcW w:type="dxa" w:w="3408"/>
            <w:shd w:fill="17365D"/>
            <w:vAlign w:val="center"/>
          </w:tcPr>
          <w:p>
            <w:pPr>
              <w:jc w:val="center"/>
            </w:pPr>
            <w:r/>
            <w:r>
              <w:rPr>
                <w:rFonts w:ascii="Aptos" w:hAnsi="Aptos"/>
                <w:b/>
                <w:color w:val="FFFFFF"/>
                <w:sz w:val="19"/>
              </w:rPr>
              <w:t>Total Sales</w:t>
            </w:r>
          </w:p>
        </w:tc>
        <w:tc>
          <w:tcPr>
            <w:tcW w:type="dxa" w:w="3408"/>
            <w:shd w:fill="17365D"/>
            <w:vAlign w:val="center"/>
          </w:tcPr>
          <w:p>
            <w:pPr>
              <w:jc w:val="center"/>
            </w:pPr>
            <w:r/>
            <w:r>
              <w:rPr>
                <w:rFonts w:ascii="Aptos" w:hAnsi="Aptos"/>
                <w:b/>
                <w:color w:val="FFFFFF"/>
                <w:sz w:val="19"/>
              </w:rPr>
              <w:t>Profit</w:t>
            </w:r>
          </w:p>
        </w:tc>
      </w:tr>
      <w:tr>
        <w:tc>
          <w:tcPr>
            <w:tcW w:type="dxa" w:w="3408"/>
            <w:shd w:fill="F5F8FA"/>
            <w:vAlign w:val="center"/>
          </w:tcPr>
          <w:p>
            <w:pPr>
              <w:jc w:val="left"/>
            </w:pPr>
            <w:r/>
            <w:r>
              <w:rPr>
                <w:rFonts w:ascii="Aptos" w:hAnsi="Aptos"/>
                <w:b w:val="0"/>
                <w:color w:val="222222"/>
                <w:sz w:val="19"/>
              </w:rPr>
              <w:t>Australia</w:t>
            </w:r>
          </w:p>
        </w:tc>
        <w:tc>
          <w:tcPr>
            <w:tcW w:type="dxa" w:w="3408"/>
            <w:shd w:fill="F5F8FA"/>
            <w:vAlign w:val="center"/>
          </w:tcPr>
          <w:p>
            <w:pPr>
              <w:jc w:val="center"/>
            </w:pPr>
            <w:r/>
            <w:r>
              <w:rPr>
                <w:rFonts w:ascii="Aptos" w:hAnsi="Aptos"/>
                <w:b w:val="0"/>
                <w:color w:val="222222"/>
                <w:sz w:val="19"/>
              </w:rPr>
              <w:t>511,050</w:t>
            </w:r>
          </w:p>
        </w:tc>
        <w:tc>
          <w:tcPr>
            <w:tcW w:type="dxa" w:w="3408"/>
            <w:shd w:fill="F5F8FA"/>
            <w:vAlign w:val="center"/>
          </w:tcPr>
          <w:p>
            <w:pPr>
              <w:jc w:val="center"/>
            </w:pPr>
            <w:r/>
            <w:r>
              <w:rPr>
                <w:rFonts w:ascii="Aptos" w:hAnsi="Aptos"/>
                <w:b w:val="0"/>
                <w:color w:val="222222"/>
                <w:sz w:val="19"/>
              </w:rPr>
              <w:t>186,410</w:t>
            </w:r>
          </w:p>
        </w:tc>
      </w:tr>
      <w:tr>
        <w:tc>
          <w:tcPr>
            <w:tcW w:type="dxa" w:w="3408"/>
            <w:vAlign w:val="center"/>
          </w:tcPr>
          <w:p>
            <w:pPr>
              <w:jc w:val="left"/>
            </w:pPr>
            <w:r/>
            <w:r>
              <w:rPr>
                <w:rFonts w:ascii="Aptos" w:hAnsi="Aptos"/>
                <w:b w:val="0"/>
                <w:color w:val="222222"/>
                <w:sz w:val="19"/>
              </w:rPr>
              <w:t>Canada</w:t>
            </w:r>
          </w:p>
        </w:tc>
        <w:tc>
          <w:tcPr>
            <w:tcW w:type="dxa" w:w="3408"/>
            <w:vAlign w:val="center"/>
          </w:tcPr>
          <w:p>
            <w:pPr>
              <w:jc w:val="center"/>
            </w:pPr>
            <w:r/>
            <w:r>
              <w:rPr>
                <w:rFonts w:ascii="Aptos" w:hAnsi="Aptos"/>
                <w:b w:val="0"/>
                <w:color w:val="222222"/>
                <w:sz w:val="19"/>
              </w:rPr>
              <w:t>71,100</w:t>
            </w:r>
          </w:p>
        </w:tc>
        <w:tc>
          <w:tcPr>
            <w:tcW w:type="dxa" w:w="3408"/>
            <w:vAlign w:val="center"/>
          </w:tcPr>
          <w:p>
            <w:pPr>
              <w:jc w:val="center"/>
            </w:pPr>
            <w:r/>
            <w:r>
              <w:rPr>
                <w:rFonts w:ascii="Aptos" w:hAnsi="Aptos"/>
                <w:b w:val="0"/>
                <w:color w:val="222222"/>
                <w:sz w:val="19"/>
              </w:rPr>
              <w:t>25,920</w:t>
            </w:r>
          </w:p>
        </w:tc>
      </w:tr>
      <w:tr>
        <w:tc>
          <w:tcPr>
            <w:tcW w:type="dxa" w:w="3408"/>
            <w:shd w:fill="F5F8FA"/>
            <w:vAlign w:val="center"/>
          </w:tcPr>
          <w:p>
            <w:pPr>
              <w:jc w:val="left"/>
            </w:pPr>
            <w:r/>
            <w:r>
              <w:rPr>
                <w:rFonts w:ascii="Aptos" w:hAnsi="Aptos"/>
                <w:b w:val="0"/>
                <w:color w:val="222222"/>
                <w:sz w:val="19"/>
              </w:rPr>
              <w:t>United Kingdom</w:t>
            </w:r>
          </w:p>
        </w:tc>
        <w:tc>
          <w:tcPr>
            <w:tcW w:type="dxa" w:w="3408"/>
            <w:shd w:fill="F5F8FA"/>
            <w:vAlign w:val="center"/>
          </w:tcPr>
          <w:p>
            <w:pPr>
              <w:jc w:val="center"/>
            </w:pPr>
            <w:r/>
            <w:r>
              <w:rPr>
                <w:rFonts w:ascii="Aptos" w:hAnsi="Aptos"/>
                <w:b w:val="0"/>
                <w:color w:val="222222"/>
                <w:sz w:val="19"/>
              </w:rPr>
              <w:t>172,060</w:t>
            </w:r>
          </w:p>
        </w:tc>
        <w:tc>
          <w:tcPr>
            <w:tcW w:type="dxa" w:w="3408"/>
            <w:shd w:fill="F5F8FA"/>
            <w:vAlign w:val="center"/>
          </w:tcPr>
          <w:p>
            <w:pPr>
              <w:jc w:val="center"/>
            </w:pPr>
            <w:r/>
            <w:r>
              <w:rPr>
                <w:rFonts w:ascii="Aptos" w:hAnsi="Aptos"/>
                <w:b w:val="0"/>
                <w:color w:val="222222"/>
                <w:sz w:val="19"/>
              </w:rPr>
              <w:t>62,640</w:t>
            </w:r>
          </w:p>
        </w:tc>
      </w:tr>
      <w:tr>
        <w:tc>
          <w:tcPr>
            <w:tcW w:type="dxa" w:w="3408"/>
            <w:vAlign w:val="center"/>
          </w:tcPr>
          <w:p>
            <w:pPr>
              <w:jc w:val="left"/>
            </w:pPr>
            <w:r/>
            <w:r>
              <w:rPr>
                <w:rFonts w:ascii="Aptos" w:hAnsi="Aptos"/>
                <w:b w:val="0"/>
                <w:color w:val="222222"/>
                <w:sz w:val="19"/>
              </w:rPr>
              <w:t>United States</w:t>
            </w:r>
          </w:p>
        </w:tc>
        <w:tc>
          <w:tcPr>
            <w:tcW w:type="dxa" w:w="3408"/>
            <w:vAlign w:val="center"/>
          </w:tcPr>
          <w:p>
            <w:pPr>
              <w:jc w:val="center"/>
            </w:pPr>
            <w:r/>
            <w:r>
              <w:rPr>
                <w:rFonts w:ascii="Aptos" w:hAnsi="Aptos"/>
                <w:b w:val="0"/>
                <w:color w:val="222222"/>
                <w:sz w:val="19"/>
              </w:rPr>
              <w:t>331,080</w:t>
            </w:r>
          </w:p>
        </w:tc>
        <w:tc>
          <w:tcPr>
            <w:tcW w:type="dxa" w:w="3408"/>
            <w:vAlign w:val="center"/>
          </w:tcPr>
          <w:p>
            <w:pPr>
              <w:jc w:val="center"/>
            </w:pPr>
            <w:r/>
            <w:r>
              <w:rPr>
                <w:rFonts w:ascii="Aptos" w:hAnsi="Aptos"/>
                <w:b w:val="0"/>
                <w:color w:val="222222"/>
                <w:sz w:val="19"/>
              </w:rPr>
              <w:t>120,420</w:t>
            </w:r>
          </w:p>
        </w:tc>
      </w:tr>
      <w:tr>
        <w:tc>
          <w:tcPr>
            <w:tcW w:type="dxa" w:w="3408"/>
            <w:shd w:fill="F5F8FA"/>
            <w:vAlign w:val="center"/>
          </w:tcPr>
          <w:p>
            <w:pPr>
              <w:jc w:val="left"/>
            </w:pPr>
            <w:r/>
            <w:r>
              <w:rPr>
                <w:rFonts w:ascii="Aptos" w:hAnsi="Aptos"/>
                <w:b w:val="0"/>
                <w:color w:val="222222"/>
                <w:sz w:val="19"/>
              </w:rPr>
              <w:t>Grand Total</w:t>
            </w:r>
          </w:p>
        </w:tc>
        <w:tc>
          <w:tcPr>
            <w:tcW w:type="dxa" w:w="3408"/>
            <w:shd w:fill="F5F8FA"/>
            <w:vAlign w:val="center"/>
          </w:tcPr>
          <w:p>
            <w:pPr>
              <w:jc w:val="center"/>
            </w:pPr>
            <w:r/>
            <w:r>
              <w:rPr>
                <w:rFonts w:ascii="Aptos" w:hAnsi="Aptos"/>
                <w:b w:val="0"/>
                <w:color w:val="222222"/>
                <w:sz w:val="19"/>
              </w:rPr>
              <w:t>1,085,290</w:t>
            </w:r>
          </w:p>
        </w:tc>
        <w:tc>
          <w:tcPr>
            <w:tcW w:type="dxa" w:w="3408"/>
            <w:shd w:fill="F5F8FA"/>
            <w:vAlign w:val="center"/>
          </w:tcPr>
          <w:p>
            <w:pPr>
              <w:jc w:val="center"/>
            </w:pPr>
            <w:r/>
            <w:r>
              <w:rPr>
                <w:rFonts w:ascii="Aptos" w:hAnsi="Aptos"/>
                <w:b w:val="0"/>
                <w:color w:val="222222"/>
                <w:sz w:val="19"/>
              </w:rPr>
              <w:t>395,390</w:t>
            </w:r>
          </w:p>
        </w:tc>
      </w:tr>
    </w:tbl>
    <w:p>
      <w:pPr>
        <w:spacing w:after="40"/>
      </w:pPr>
    </w:p>
    <w:p>
      <w:pPr>
        <w:spacing w:after="160"/>
      </w:pPr>
      <w:r>
        <w:rPr>
          <w:rFonts w:ascii="Aptos" w:hAnsi="Aptos"/>
          <w:b/>
          <w:color w:val="E67E22"/>
          <w:sz w:val="21"/>
        </w:rPr>
        <w:t xml:space="preserve">Answer / Insight: </w:t>
      </w:r>
      <w:r>
        <w:rPr>
          <w:rFonts w:ascii="Aptos" w:hAnsi="Aptos"/>
          <w:color w:val="222222"/>
          <w:sz w:val="21"/>
        </w:rPr>
        <w:t>Australia records the highest Total Sales (511,050) and Profit (186,410) among the countries shown, making it the strongest-performing market in this Pivot Table.</w:t>
      </w:r>
    </w:p>
    <w:tbl>
      <w:tblPr>
        <w:tblW w:type="auto" w:w="0"/>
        <w:jc w:val="center"/>
        <w:tblLook w:firstColumn="1" w:firstRow="1" w:lastColumn="0" w:lastRow="0" w:noHBand="0" w:noVBand="1" w:val="04A0"/>
        <w:tblBorders>
          <w:top w:val="single" w:sz="6" w:space="0" w:color="C9DCE3"/>
          <w:left w:val="single" w:sz="6" w:space="0" w:color="C9DCE3"/>
          <w:bottom w:val="single" w:sz="6" w:space="0" w:color="C9DCE3"/>
          <w:right w:val="single" w:sz="6" w:space="0" w:color="C9DCE3"/>
          <w:insideH w:val="single" w:sz="6" w:space="0" w:color="C9DCE3"/>
          <w:insideV w:val="single" w:sz="6" w:space="0" w:color="C9DCE3"/>
        </w:tblBorders>
      </w:tblPr>
      <w:tblGrid>
        <w:gridCol w:w="10224"/>
      </w:tblGrid>
      <w:tr>
        <w:tc>
          <w:tcPr>
            <w:tcW w:type="dxa" w:w="10224"/>
            <w:shd w:fill="EAF2F5"/>
          </w:tcPr>
          <w:p>
            <w:pPr>
              <w:spacing w:after="40"/>
            </w:pPr>
            <w:r>
              <w:rPr>
                <w:rFonts w:ascii="Aptos Display" w:hAnsi="Aptos Display"/>
                <w:b/>
                <w:color w:val="17365D"/>
                <w:sz w:val="25"/>
              </w:rPr>
              <w:t>Q2. Which bike sub-category leads in both order count and units sold?</w:t>
            </w:r>
          </w:p>
          <w:p>
            <w:pPr>
              <w:spacing w:after="0"/>
            </w:pPr>
            <w:r>
              <w:rPr>
                <w:b/>
                <w:color w:val="176B87"/>
              </w:rPr>
              <w:t xml:space="preserve">Analytical purpose: </w:t>
            </w:r>
            <w:r>
              <w:rPr>
                <w:rFonts w:ascii="Aptos" w:hAnsi="Aptos"/>
                <w:color w:val="222222"/>
                <w:sz w:val="19"/>
              </w:rPr>
              <w:t>Compare two indicators of product demand to determine whether the same sub-category leads across both measures.</w:t>
            </w:r>
          </w:p>
        </w:tc>
      </w:tr>
    </w:tbl>
    <w:p>
      <w:pPr>
        <w:spacing w:after="20"/>
      </w:pPr>
    </w:p>
    <w:tbl>
      <w:tblPr>
        <w:tblW w:type="auto" w:w="0"/>
        <w:jc w:val="center"/>
        <w:tblLayout w:type="autofit"/>
        <w:tblLook w:firstColumn="1" w:firstRow="1" w:lastColumn="0" w:lastRow="0" w:noHBand="0" w:noVBand="1" w:val="04A0"/>
        <w:tblBorders>
          <w:top w:val="single" w:sz="6" w:space="0" w:color="B7C7CF"/>
          <w:left w:val="single" w:sz="6" w:space="0" w:color="B7C7CF"/>
          <w:bottom w:val="single" w:sz="6" w:space="0" w:color="B7C7CF"/>
          <w:right w:val="single" w:sz="6" w:space="0" w:color="B7C7CF"/>
          <w:insideH w:val="single" w:sz="6" w:space="0" w:color="B7C7CF"/>
          <w:insideV w:val="single" w:sz="6" w:space="0" w:color="B7C7CF"/>
        </w:tblBorders>
      </w:tblPr>
      <w:tblGrid>
        <w:gridCol w:w="3408"/>
        <w:gridCol w:w="3408"/>
        <w:gridCol w:w="3408"/>
      </w:tblGrid>
      <w:tr>
        <w:tc>
          <w:tcPr>
            <w:tcW w:type="dxa" w:w="3408"/>
            <w:shd w:fill="17365D"/>
            <w:vAlign w:val="center"/>
          </w:tcPr>
          <w:p>
            <w:pPr>
              <w:jc w:val="center"/>
            </w:pPr>
            <w:r/>
            <w:r>
              <w:rPr>
                <w:rFonts w:ascii="Aptos" w:hAnsi="Aptos"/>
                <w:b/>
                <w:color w:val="FFFFFF"/>
                <w:sz w:val="19"/>
              </w:rPr>
              <w:t>Sub-Category</w:t>
            </w:r>
          </w:p>
        </w:tc>
        <w:tc>
          <w:tcPr>
            <w:tcW w:type="dxa" w:w="3408"/>
            <w:shd w:fill="17365D"/>
            <w:vAlign w:val="center"/>
          </w:tcPr>
          <w:p>
            <w:pPr>
              <w:jc w:val="center"/>
            </w:pPr>
            <w:r/>
            <w:r>
              <w:rPr>
                <w:rFonts w:ascii="Aptos" w:hAnsi="Aptos"/>
                <w:b/>
                <w:color w:val="FFFFFF"/>
                <w:sz w:val="19"/>
              </w:rPr>
              <w:t>Units Sold</w:t>
            </w:r>
          </w:p>
        </w:tc>
        <w:tc>
          <w:tcPr>
            <w:tcW w:type="dxa" w:w="3408"/>
            <w:shd w:fill="17365D"/>
            <w:vAlign w:val="center"/>
          </w:tcPr>
          <w:p>
            <w:pPr>
              <w:jc w:val="center"/>
            </w:pPr>
            <w:r/>
            <w:r>
              <w:rPr>
                <w:rFonts w:ascii="Aptos" w:hAnsi="Aptos"/>
                <w:b/>
                <w:color w:val="FFFFFF"/>
                <w:sz w:val="19"/>
              </w:rPr>
              <w:t>Orders</w:t>
            </w:r>
          </w:p>
        </w:tc>
      </w:tr>
      <w:tr>
        <w:tc>
          <w:tcPr>
            <w:tcW w:type="dxa" w:w="3408"/>
            <w:shd w:fill="F5F8FA"/>
            <w:vAlign w:val="center"/>
          </w:tcPr>
          <w:p>
            <w:pPr>
              <w:jc w:val="left"/>
            </w:pPr>
            <w:r/>
            <w:r>
              <w:rPr>
                <w:rFonts w:ascii="Aptos" w:hAnsi="Aptos"/>
                <w:b w:val="0"/>
                <w:color w:val="222222"/>
                <w:sz w:val="19"/>
              </w:rPr>
              <w:t>Road Bikes</w:t>
            </w:r>
          </w:p>
        </w:tc>
        <w:tc>
          <w:tcPr>
            <w:tcW w:type="dxa" w:w="3408"/>
            <w:shd w:fill="F5F8FA"/>
            <w:vAlign w:val="center"/>
          </w:tcPr>
          <w:p>
            <w:pPr>
              <w:jc w:val="center"/>
            </w:pPr>
            <w:r/>
            <w:r>
              <w:rPr>
                <w:rFonts w:ascii="Aptos" w:hAnsi="Aptos"/>
                <w:b w:val="0"/>
                <w:color w:val="222222"/>
                <w:sz w:val="19"/>
              </w:rPr>
              <w:t>1,018</w:t>
            </w:r>
          </w:p>
        </w:tc>
        <w:tc>
          <w:tcPr>
            <w:tcW w:type="dxa" w:w="3408"/>
            <w:shd w:fill="F5F8FA"/>
            <w:vAlign w:val="center"/>
          </w:tcPr>
          <w:p>
            <w:pPr>
              <w:jc w:val="center"/>
            </w:pPr>
            <w:r/>
            <w:r>
              <w:rPr>
                <w:rFonts w:ascii="Aptos" w:hAnsi="Aptos"/>
                <w:b w:val="0"/>
                <w:color w:val="222222"/>
                <w:sz w:val="19"/>
              </w:rPr>
              <w:t>520</w:t>
            </w:r>
          </w:p>
        </w:tc>
      </w:tr>
      <w:tr>
        <w:tc>
          <w:tcPr>
            <w:tcW w:type="dxa" w:w="3408"/>
            <w:vAlign w:val="center"/>
          </w:tcPr>
          <w:p>
            <w:pPr>
              <w:jc w:val="left"/>
            </w:pPr>
            <w:r/>
            <w:r>
              <w:rPr>
                <w:rFonts w:ascii="Aptos" w:hAnsi="Aptos"/>
                <w:b w:val="0"/>
                <w:color w:val="222222"/>
                <w:sz w:val="19"/>
              </w:rPr>
              <w:t>Mountain Bikes</w:t>
            </w:r>
          </w:p>
        </w:tc>
        <w:tc>
          <w:tcPr>
            <w:tcW w:type="dxa" w:w="3408"/>
            <w:vAlign w:val="center"/>
          </w:tcPr>
          <w:p>
            <w:pPr>
              <w:jc w:val="center"/>
            </w:pPr>
            <w:r/>
            <w:r>
              <w:rPr>
                <w:rFonts w:ascii="Aptos" w:hAnsi="Aptos"/>
                <w:b w:val="0"/>
                <w:color w:val="222222"/>
                <w:sz w:val="19"/>
              </w:rPr>
              <w:t>465</w:t>
            </w:r>
          </w:p>
        </w:tc>
        <w:tc>
          <w:tcPr>
            <w:tcW w:type="dxa" w:w="3408"/>
            <w:vAlign w:val="center"/>
          </w:tcPr>
          <w:p>
            <w:pPr>
              <w:jc w:val="center"/>
            </w:pPr>
            <w:r/>
            <w:r>
              <w:rPr>
                <w:rFonts w:ascii="Aptos" w:hAnsi="Aptos"/>
                <w:b w:val="0"/>
                <w:color w:val="222222"/>
                <w:sz w:val="19"/>
              </w:rPr>
              <w:t>232</w:t>
            </w:r>
          </w:p>
        </w:tc>
      </w:tr>
      <w:tr>
        <w:tc>
          <w:tcPr>
            <w:tcW w:type="dxa" w:w="3408"/>
            <w:shd w:fill="F5F8FA"/>
            <w:vAlign w:val="center"/>
          </w:tcPr>
          <w:p>
            <w:pPr>
              <w:jc w:val="left"/>
            </w:pPr>
            <w:r/>
            <w:r>
              <w:rPr>
                <w:rFonts w:ascii="Aptos" w:hAnsi="Aptos"/>
                <w:b w:val="0"/>
                <w:color w:val="222222"/>
                <w:sz w:val="19"/>
              </w:rPr>
              <w:t>Total</w:t>
            </w:r>
          </w:p>
        </w:tc>
        <w:tc>
          <w:tcPr>
            <w:tcW w:type="dxa" w:w="3408"/>
            <w:shd w:fill="F5F8FA"/>
            <w:vAlign w:val="center"/>
          </w:tcPr>
          <w:p>
            <w:pPr>
              <w:jc w:val="center"/>
            </w:pPr>
            <w:r/>
            <w:r>
              <w:rPr>
                <w:rFonts w:ascii="Aptos" w:hAnsi="Aptos"/>
                <w:b w:val="0"/>
                <w:color w:val="222222"/>
                <w:sz w:val="19"/>
              </w:rPr>
              <w:t>1,483</w:t>
            </w:r>
          </w:p>
        </w:tc>
        <w:tc>
          <w:tcPr>
            <w:tcW w:type="dxa" w:w="3408"/>
            <w:shd w:fill="F5F8FA"/>
            <w:vAlign w:val="center"/>
          </w:tcPr>
          <w:p>
            <w:pPr>
              <w:jc w:val="center"/>
            </w:pPr>
            <w:r/>
            <w:r>
              <w:rPr>
                <w:rFonts w:ascii="Aptos" w:hAnsi="Aptos"/>
                <w:b w:val="0"/>
                <w:color w:val="222222"/>
                <w:sz w:val="19"/>
              </w:rPr>
              <w:t>752</w:t>
            </w:r>
          </w:p>
        </w:tc>
      </w:tr>
    </w:tbl>
    <w:p>
      <w:pPr>
        <w:spacing w:after="40"/>
      </w:pPr>
    </w:p>
    <w:p>
      <w:pPr>
        <w:spacing w:after="160"/>
      </w:pPr>
      <w:r>
        <w:rPr>
          <w:rFonts w:ascii="Aptos" w:hAnsi="Aptos"/>
          <w:b/>
          <w:color w:val="E67E22"/>
          <w:sz w:val="21"/>
        </w:rPr>
        <w:t xml:space="preserve">Answer / Insight: </w:t>
      </w:r>
      <w:r>
        <w:rPr>
          <w:rFonts w:ascii="Aptos" w:hAnsi="Aptos"/>
          <w:color w:val="222222"/>
          <w:sz w:val="21"/>
        </w:rPr>
        <w:t>Road Bikes lead on both measures, with 520 orders and 1,018 units sold, compared with 232 orders and 465 units for Mountain Bikes.</w:t>
      </w:r>
    </w:p>
    <w:tbl>
      <w:tblPr>
        <w:tblW w:type="auto" w:w="0"/>
        <w:jc w:val="center"/>
        <w:tblLook w:firstColumn="1" w:firstRow="1" w:lastColumn="0" w:lastRow="0" w:noHBand="0" w:noVBand="1" w:val="04A0"/>
        <w:tblBorders>
          <w:top w:val="single" w:sz="6" w:space="0" w:color="C9DCE3"/>
          <w:left w:val="single" w:sz="6" w:space="0" w:color="C9DCE3"/>
          <w:bottom w:val="single" w:sz="6" w:space="0" w:color="C9DCE3"/>
          <w:right w:val="single" w:sz="6" w:space="0" w:color="C9DCE3"/>
          <w:insideH w:val="single" w:sz="6" w:space="0" w:color="C9DCE3"/>
          <w:insideV w:val="single" w:sz="6" w:space="0" w:color="C9DCE3"/>
        </w:tblBorders>
      </w:tblPr>
      <w:tblGrid>
        <w:gridCol w:w="10224"/>
      </w:tblGrid>
      <w:tr>
        <w:tc>
          <w:tcPr>
            <w:tcW w:type="dxa" w:w="10224"/>
            <w:shd w:fill="EAF2F5"/>
          </w:tcPr>
          <w:p>
            <w:pPr>
              <w:spacing w:after="40"/>
            </w:pPr>
            <w:r>
              <w:rPr>
                <w:rFonts w:ascii="Aptos Display" w:hAnsi="Aptos Display"/>
                <w:b/>
                <w:color w:val="17365D"/>
                <w:sz w:val="25"/>
              </w:rPr>
              <w:t>Q3. Which customer age group records the highest number of orders?</w:t>
            </w:r>
          </w:p>
          <w:p>
            <w:pPr>
              <w:spacing w:after="0"/>
            </w:pPr>
            <w:r>
              <w:rPr>
                <w:b/>
                <w:color w:val="176B87"/>
              </w:rPr>
              <w:t xml:space="preserve">Analytical purpose: </w:t>
            </w:r>
            <w:r>
              <w:rPr>
                <w:rFonts w:ascii="Aptos" w:hAnsi="Aptos"/>
                <w:color w:val="222222"/>
                <w:sz w:val="19"/>
              </w:rPr>
              <w:t>Identify the strongest customer segment by ordering activity.</w:t>
            </w:r>
          </w:p>
        </w:tc>
      </w:tr>
    </w:tbl>
    <w:p>
      <w:pPr>
        <w:spacing w:after="20"/>
      </w:pPr>
    </w:p>
    <w:tbl>
      <w:tblPr>
        <w:tblW w:type="auto" w:w="0"/>
        <w:jc w:val="center"/>
        <w:tblLayout w:type="autofit"/>
        <w:tblLook w:firstColumn="1" w:firstRow="1" w:lastColumn="0" w:lastRow="0" w:noHBand="0" w:noVBand="1" w:val="04A0"/>
        <w:tblBorders>
          <w:top w:val="single" w:sz="6" w:space="0" w:color="B7C7CF"/>
          <w:left w:val="single" w:sz="6" w:space="0" w:color="B7C7CF"/>
          <w:bottom w:val="single" w:sz="6" w:space="0" w:color="B7C7CF"/>
          <w:right w:val="single" w:sz="6" w:space="0" w:color="B7C7CF"/>
          <w:insideH w:val="single" w:sz="6" w:space="0" w:color="B7C7CF"/>
          <w:insideV w:val="single" w:sz="6" w:space="0" w:color="B7C7CF"/>
        </w:tblBorders>
      </w:tblPr>
      <w:tblGrid>
        <w:gridCol w:w="5112"/>
        <w:gridCol w:w="5112"/>
      </w:tblGrid>
      <w:tr>
        <w:tc>
          <w:tcPr>
            <w:tcW w:type="dxa" w:w="5112"/>
            <w:shd w:fill="17365D"/>
            <w:vAlign w:val="center"/>
          </w:tcPr>
          <w:p>
            <w:pPr>
              <w:jc w:val="center"/>
            </w:pPr>
            <w:r/>
            <w:r>
              <w:rPr>
                <w:rFonts w:ascii="Aptos" w:hAnsi="Aptos"/>
                <w:b/>
                <w:color w:val="FFFFFF"/>
                <w:sz w:val="19"/>
              </w:rPr>
              <w:t>Age Group</w:t>
            </w:r>
          </w:p>
        </w:tc>
        <w:tc>
          <w:tcPr>
            <w:tcW w:type="dxa" w:w="5112"/>
            <w:shd w:fill="17365D"/>
            <w:vAlign w:val="center"/>
          </w:tcPr>
          <w:p>
            <w:pPr>
              <w:jc w:val="center"/>
            </w:pPr>
            <w:r/>
            <w:r>
              <w:rPr>
                <w:rFonts w:ascii="Aptos" w:hAnsi="Aptos"/>
                <w:b/>
                <w:color w:val="FFFFFF"/>
                <w:sz w:val="19"/>
              </w:rPr>
              <w:t>Number of Orders</w:t>
            </w:r>
          </w:p>
        </w:tc>
      </w:tr>
      <w:tr>
        <w:tc>
          <w:tcPr>
            <w:tcW w:type="dxa" w:w="5112"/>
            <w:shd w:fill="F5F8FA"/>
            <w:vAlign w:val="center"/>
          </w:tcPr>
          <w:p>
            <w:pPr>
              <w:jc w:val="left"/>
            </w:pPr>
            <w:r/>
            <w:r>
              <w:rPr>
                <w:rFonts w:ascii="Aptos" w:hAnsi="Aptos"/>
                <w:b w:val="0"/>
                <w:color w:val="222222"/>
                <w:sz w:val="19"/>
              </w:rPr>
              <w:t>25–34</w:t>
            </w:r>
          </w:p>
        </w:tc>
        <w:tc>
          <w:tcPr>
            <w:tcW w:type="dxa" w:w="5112"/>
            <w:shd w:fill="F5F8FA"/>
            <w:vAlign w:val="center"/>
          </w:tcPr>
          <w:p>
            <w:pPr>
              <w:jc w:val="center"/>
            </w:pPr>
            <w:r/>
            <w:r>
              <w:rPr>
                <w:rFonts w:ascii="Aptos" w:hAnsi="Aptos"/>
                <w:b w:val="0"/>
                <w:color w:val="222222"/>
                <w:sz w:val="19"/>
              </w:rPr>
              <w:t>278</w:t>
            </w:r>
          </w:p>
        </w:tc>
      </w:tr>
      <w:tr>
        <w:tc>
          <w:tcPr>
            <w:tcW w:type="dxa" w:w="5112"/>
            <w:vAlign w:val="center"/>
          </w:tcPr>
          <w:p>
            <w:pPr>
              <w:jc w:val="left"/>
            </w:pPr>
            <w:r/>
            <w:r>
              <w:rPr>
                <w:rFonts w:ascii="Aptos" w:hAnsi="Aptos"/>
                <w:b w:val="0"/>
                <w:color w:val="222222"/>
                <w:sz w:val="19"/>
              </w:rPr>
              <w:t>35–44</w:t>
            </w:r>
          </w:p>
        </w:tc>
        <w:tc>
          <w:tcPr>
            <w:tcW w:type="dxa" w:w="5112"/>
            <w:vAlign w:val="center"/>
          </w:tcPr>
          <w:p>
            <w:pPr>
              <w:jc w:val="center"/>
            </w:pPr>
            <w:r/>
            <w:r>
              <w:rPr>
                <w:rFonts w:ascii="Aptos" w:hAnsi="Aptos"/>
                <w:b w:val="0"/>
                <w:color w:val="222222"/>
                <w:sz w:val="19"/>
              </w:rPr>
              <w:t>228</w:t>
            </w:r>
          </w:p>
        </w:tc>
      </w:tr>
      <w:tr>
        <w:tc>
          <w:tcPr>
            <w:tcW w:type="dxa" w:w="5112"/>
            <w:shd w:fill="F5F8FA"/>
            <w:vAlign w:val="center"/>
          </w:tcPr>
          <w:p>
            <w:pPr>
              <w:jc w:val="left"/>
            </w:pPr>
            <w:r/>
            <w:r>
              <w:rPr>
                <w:rFonts w:ascii="Aptos" w:hAnsi="Aptos"/>
                <w:b w:val="0"/>
                <w:color w:val="222222"/>
                <w:sz w:val="19"/>
              </w:rPr>
              <w:t>Under 25</w:t>
            </w:r>
          </w:p>
        </w:tc>
        <w:tc>
          <w:tcPr>
            <w:tcW w:type="dxa" w:w="5112"/>
            <w:shd w:fill="F5F8FA"/>
            <w:vAlign w:val="center"/>
          </w:tcPr>
          <w:p>
            <w:pPr>
              <w:jc w:val="center"/>
            </w:pPr>
            <w:r/>
            <w:r>
              <w:rPr>
                <w:rFonts w:ascii="Aptos" w:hAnsi="Aptos"/>
                <w:b w:val="0"/>
                <w:color w:val="222222"/>
                <w:sz w:val="19"/>
              </w:rPr>
              <w:t>110</w:t>
            </w:r>
          </w:p>
        </w:tc>
      </w:tr>
      <w:tr>
        <w:tc>
          <w:tcPr>
            <w:tcW w:type="dxa" w:w="5112"/>
            <w:vAlign w:val="center"/>
          </w:tcPr>
          <w:p>
            <w:pPr>
              <w:jc w:val="left"/>
            </w:pPr>
            <w:r/>
            <w:r>
              <w:rPr>
                <w:rFonts w:ascii="Aptos" w:hAnsi="Aptos"/>
                <w:b w:val="0"/>
                <w:color w:val="222222"/>
                <w:sz w:val="19"/>
              </w:rPr>
              <w:t>45–54</w:t>
            </w:r>
          </w:p>
        </w:tc>
        <w:tc>
          <w:tcPr>
            <w:tcW w:type="dxa" w:w="5112"/>
            <w:vAlign w:val="center"/>
          </w:tcPr>
          <w:p>
            <w:pPr>
              <w:jc w:val="center"/>
            </w:pPr>
            <w:r/>
            <w:r>
              <w:rPr>
                <w:rFonts w:ascii="Aptos" w:hAnsi="Aptos"/>
                <w:b w:val="0"/>
                <w:color w:val="222222"/>
                <w:sz w:val="19"/>
              </w:rPr>
              <w:t>101</w:t>
            </w:r>
          </w:p>
        </w:tc>
      </w:tr>
      <w:tr>
        <w:tc>
          <w:tcPr>
            <w:tcW w:type="dxa" w:w="5112"/>
            <w:shd w:fill="F5F8FA"/>
            <w:vAlign w:val="center"/>
          </w:tcPr>
          <w:p>
            <w:pPr>
              <w:jc w:val="left"/>
            </w:pPr>
            <w:r/>
            <w:r>
              <w:rPr>
                <w:rFonts w:ascii="Aptos" w:hAnsi="Aptos"/>
                <w:b w:val="0"/>
                <w:color w:val="222222"/>
                <w:sz w:val="19"/>
              </w:rPr>
              <w:t>55+</w:t>
            </w:r>
          </w:p>
        </w:tc>
        <w:tc>
          <w:tcPr>
            <w:tcW w:type="dxa" w:w="5112"/>
            <w:shd w:fill="F5F8FA"/>
            <w:vAlign w:val="center"/>
          </w:tcPr>
          <w:p>
            <w:pPr>
              <w:jc w:val="center"/>
            </w:pPr>
            <w:r/>
            <w:r>
              <w:rPr>
                <w:rFonts w:ascii="Aptos" w:hAnsi="Aptos"/>
                <w:b w:val="0"/>
                <w:color w:val="222222"/>
                <w:sz w:val="19"/>
              </w:rPr>
              <w:t>35</w:t>
            </w:r>
          </w:p>
        </w:tc>
      </w:tr>
    </w:tbl>
    <w:p>
      <w:pPr>
        <w:spacing w:after="40"/>
      </w:pPr>
    </w:p>
    <w:p>
      <w:pPr>
        <w:spacing w:after="160"/>
      </w:pPr>
      <w:r>
        <w:rPr>
          <w:rFonts w:ascii="Aptos" w:hAnsi="Aptos"/>
          <w:b/>
          <w:color w:val="E67E22"/>
          <w:sz w:val="21"/>
        </w:rPr>
        <w:t xml:space="preserve">Answer / Insight: </w:t>
      </w:r>
      <w:r>
        <w:rPr>
          <w:rFonts w:ascii="Aptos" w:hAnsi="Aptos"/>
          <w:color w:val="222222"/>
          <w:sz w:val="21"/>
        </w:rPr>
        <w:t>The 25–34 age group records the highest number of orders, with 278 transactions, followed by the 35–44 group with 228.</w:t>
      </w:r>
    </w:p>
    <w:tbl>
      <w:tblPr>
        <w:tblW w:type="auto" w:w="0"/>
        <w:jc w:val="center"/>
        <w:tblLook w:firstColumn="1" w:firstRow="1" w:lastColumn="0" w:lastRow="0" w:noHBand="0" w:noVBand="1" w:val="04A0"/>
        <w:tblBorders>
          <w:top w:val="single" w:sz="6" w:space="0" w:color="C9DCE3"/>
          <w:left w:val="single" w:sz="6" w:space="0" w:color="C9DCE3"/>
          <w:bottom w:val="single" w:sz="6" w:space="0" w:color="C9DCE3"/>
          <w:right w:val="single" w:sz="6" w:space="0" w:color="C9DCE3"/>
          <w:insideH w:val="single" w:sz="6" w:space="0" w:color="C9DCE3"/>
          <w:insideV w:val="single" w:sz="6" w:space="0" w:color="C9DCE3"/>
        </w:tblBorders>
      </w:tblPr>
      <w:tblGrid>
        <w:gridCol w:w="10224"/>
      </w:tblGrid>
      <w:tr>
        <w:tc>
          <w:tcPr>
            <w:tcW w:type="dxa" w:w="10224"/>
            <w:shd w:fill="EAF2F5"/>
          </w:tcPr>
          <w:p>
            <w:pPr>
              <w:spacing w:after="40"/>
            </w:pPr>
            <w:r>
              <w:rPr>
                <w:rFonts w:ascii="Aptos Display" w:hAnsi="Aptos Display"/>
                <w:b/>
                <w:color w:val="17365D"/>
                <w:sz w:val="25"/>
              </w:rPr>
              <w:t>Q4. How does purchasing behavior differ between female and male customers in terms of orders, units sold, and average quantity per order?</w:t>
            </w:r>
          </w:p>
          <w:p>
            <w:pPr>
              <w:spacing w:after="0"/>
            </w:pPr>
            <w:r>
              <w:rPr>
                <w:b/>
                <w:color w:val="176B87"/>
              </w:rPr>
              <w:t xml:space="preserve">Analytical purpose: </w:t>
            </w:r>
            <w:r>
              <w:rPr>
                <w:rFonts w:ascii="Aptos" w:hAnsi="Aptos"/>
                <w:color w:val="222222"/>
                <w:sz w:val="19"/>
              </w:rPr>
              <w:t>Compare customer groups across multiple purchasing measures rather than looking only at order count.</w:t>
            </w:r>
          </w:p>
        </w:tc>
      </w:tr>
    </w:tbl>
    <w:p>
      <w:pPr>
        <w:spacing w:after="20"/>
      </w:pPr>
    </w:p>
    <w:tbl>
      <w:tblPr>
        <w:tblW w:type="auto" w:w="0"/>
        <w:jc w:val="center"/>
        <w:tblLayout w:type="autofit"/>
        <w:tblLook w:firstColumn="1" w:firstRow="1" w:lastColumn="0" w:lastRow="0" w:noHBand="0" w:noVBand="1" w:val="04A0"/>
        <w:tblBorders>
          <w:top w:val="single" w:sz="6" w:space="0" w:color="B7C7CF"/>
          <w:left w:val="single" w:sz="6" w:space="0" w:color="B7C7CF"/>
          <w:bottom w:val="single" w:sz="6" w:space="0" w:color="B7C7CF"/>
          <w:right w:val="single" w:sz="6" w:space="0" w:color="B7C7CF"/>
          <w:insideH w:val="single" w:sz="6" w:space="0" w:color="B7C7CF"/>
          <w:insideV w:val="single" w:sz="6" w:space="0" w:color="B7C7CF"/>
        </w:tblBorders>
      </w:tblPr>
      <w:tblGrid>
        <w:gridCol w:w="2556"/>
        <w:gridCol w:w="2556"/>
        <w:gridCol w:w="2556"/>
        <w:gridCol w:w="2556"/>
      </w:tblGrid>
      <w:tr>
        <w:tc>
          <w:tcPr>
            <w:tcW w:type="dxa" w:w="2556"/>
            <w:shd w:fill="17365D"/>
            <w:vAlign w:val="center"/>
          </w:tcPr>
          <w:p>
            <w:pPr>
              <w:jc w:val="center"/>
            </w:pPr>
            <w:r/>
            <w:r>
              <w:rPr>
                <w:rFonts w:ascii="Aptos" w:hAnsi="Aptos"/>
                <w:b/>
                <w:color w:val="FFFFFF"/>
                <w:sz w:val="19"/>
              </w:rPr>
              <w:t>Gender</w:t>
            </w:r>
          </w:p>
        </w:tc>
        <w:tc>
          <w:tcPr>
            <w:tcW w:type="dxa" w:w="2556"/>
            <w:shd w:fill="17365D"/>
            <w:vAlign w:val="center"/>
          </w:tcPr>
          <w:p>
            <w:pPr>
              <w:jc w:val="center"/>
            </w:pPr>
            <w:r/>
            <w:r>
              <w:rPr>
                <w:rFonts w:ascii="Aptos" w:hAnsi="Aptos"/>
                <w:b/>
                <w:color w:val="FFFFFF"/>
                <w:sz w:val="19"/>
              </w:rPr>
              <w:t>Orders</w:t>
            </w:r>
          </w:p>
        </w:tc>
        <w:tc>
          <w:tcPr>
            <w:tcW w:type="dxa" w:w="2556"/>
            <w:shd w:fill="17365D"/>
            <w:vAlign w:val="center"/>
          </w:tcPr>
          <w:p>
            <w:pPr>
              <w:jc w:val="center"/>
            </w:pPr>
            <w:r/>
            <w:r>
              <w:rPr>
                <w:rFonts w:ascii="Aptos" w:hAnsi="Aptos"/>
                <w:b/>
                <w:color w:val="FFFFFF"/>
                <w:sz w:val="19"/>
              </w:rPr>
              <w:t>Units Sold</w:t>
            </w:r>
          </w:p>
        </w:tc>
        <w:tc>
          <w:tcPr>
            <w:tcW w:type="dxa" w:w="2556"/>
            <w:shd w:fill="17365D"/>
            <w:vAlign w:val="center"/>
          </w:tcPr>
          <w:p>
            <w:pPr>
              <w:jc w:val="center"/>
            </w:pPr>
            <w:r/>
            <w:r>
              <w:rPr>
                <w:rFonts w:ascii="Aptos" w:hAnsi="Aptos"/>
                <w:b/>
                <w:color w:val="FFFFFF"/>
                <w:sz w:val="19"/>
              </w:rPr>
              <w:t>Avg. Quantity / Order</w:t>
            </w:r>
          </w:p>
        </w:tc>
      </w:tr>
      <w:tr>
        <w:tc>
          <w:tcPr>
            <w:tcW w:type="dxa" w:w="2556"/>
            <w:shd w:fill="F5F8FA"/>
            <w:vAlign w:val="center"/>
          </w:tcPr>
          <w:p>
            <w:pPr>
              <w:jc w:val="left"/>
            </w:pPr>
            <w:r/>
            <w:r>
              <w:rPr>
                <w:rFonts w:ascii="Aptos" w:hAnsi="Aptos"/>
                <w:b w:val="0"/>
                <w:color w:val="222222"/>
                <w:sz w:val="19"/>
              </w:rPr>
              <w:t>Female</w:t>
            </w:r>
          </w:p>
        </w:tc>
        <w:tc>
          <w:tcPr>
            <w:tcW w:type="dxa" w:w="2556"/>
            <w:shd w:fill="F5F8FA"/>
            <w:vAlign w:val="center"/>
          </w:tcPr>
          <w:p>
            <w:pPr>
              <w:jc w:val="center"/>
            </w:pPr>
            <w:r/>
            <w:r>
              <w:rPr>
                <w:rFonts w:ascii="Aptos" w:hAnsi="Aptos"/>
                <w:b w:val="0"/>
                <w:color w:val="222222"/>
                <w:sz w:val="19"/>
              </w:rPr>
              <w:t>386</w:t>
            </w:r>
          </w:p>
        </w:tc>
        <w:tc>
          <w:tcPr>
            <w:tcW w:type="dxa" w:w="2556"/>
            <w:shd w:fill="F5F8FA"/>
            <w:vAlign w:val="center"/>
          </w:tcPr>
          <w:p>
            <w:pPr>
              <w:jc w:val="center"/>
            </w:pPr>
            <w:r/>
            <w:r>
              <w:rPr>
                <w:rFonts w:ascii="Aptos" w:hAnsi="Aptos"/>
                <w:b w:val="0"/>
                <w:color w:val="222222"/>
                <w:sz w:val="19"/>
              </w:rPr>
              <w:t>762</w:t>
            </w:r>
          </w:p>
        </w:tc>
        <w:tc>
          <w:tcPr>
            <w:tcW w:type="dxa" w:w="2556"/>
            <w:shd w:fill="F5F8FA"/>
            <w:vAlign w:val="center"/>
          </w:tcPr>
          <w:p>
            <w:pPr>
              <w:jc w:val="center"/>
            </w:pPr>
            <w:r/>
            <w:r>
              <w:rPr>
                <w:rFonts w:ascii="Aptos" w:hAnsi="Aptos"/>
                <w:b w:val="0"/>
                <w:color w:val="222222"/>
                <w:sz w:val="19"/>
              </w:rPr>
              <w:t>1.97</w:t>
            </w:r>
          </w:p>
        </w:tc>
      </w:tr>
      <w:tr>
        <w:tc>
          <w:tcPr>
            <w:tcW w:type="dxa" w:w="2556"/>
            <w:vAlign w:val="center"/>
          </w:tcPr>
          <w:p>
            <w:pPr>
              <w:jc w:val="left"/>
            </w:pPr>
            <w:r/>
            <w:r>
              <w:rPr>
                <w:rFonts w:ascii="Aptos" w:hAnsi="Aptos"/>
                <w:b w:val="0"/>
                <w:color w:val="222222"/>
                <w:sz w:val="19"/>
              </w:rPr>
              <w:t>Male</w:t>
            </w:r>
          </w:p>
        </w:tc>
        <w:tc>
          <w:tcPr>
            <w:tcW w:type="dxa" w:w="2556"/>
            <w:vAlign w:val="center"/>
          </w:tcPr>
          <w:p>
            <w:pPr>
              <w:jc w:val="center"/>
            </w:pPr>
            <w:r/>
            <w:r>
              <w:rPr>
                <w:rFonts w:ascii="Aptos" w:hAnsi="Aptos"/>
                <w:b w:val="0"/>
                <w:color w:val="222222"/>
                <w:sz w:val="19"/>
              </w:rPr>
              <w:t>366</w:t>
            </w:r>
          </w:p>
        </w:tc>
        <w:tc>
          <w:tcPr>
            <w:tcW w:type="dxa" w:w="2556"/>
            <w:vAlign w:val="center"/>
          </w:tcPr>
          <w:p>
            <w:pPr>
              <w:jc w:val="center"/>
            </w:pPr>
            <w:r/>
            <w:r>
              <w:rPr>
                <w:rFonts w:ascii="Aptos" w:hAnsi="Aptos"/>
                <w:b w:val="0"/>
                <w:color w:val="222222"/>
                <w:sz w:val="19"/>
              </w:rPr>
              <w:t>721</w:t>
            </w:r>
          </w:p>
        </w:tc>
        <w:tc>
          <w:tcPr>
            <w:tcW w:type="dxa" w:w="2556"/>
            <w:vAlign w:val="center"/>
          </w:tcPr>
          <w:p>
            <w:pPr>
              <w:jc w:val="center"/>
            </w:pPr>
            <w:r/>
            <w:r>
              <w:rPr>
                <w:rFonts w:ascii="Aptos" w:hAnsi="Aptos"/>
                <w:b w:val="0"/>
                <w:color w:val="222222"/>
                <w:sz w:val="19"/>
              </w:rPr>
              <w:t>1.97</w:t>
            </w:r>
          </w:p>
        </w:tc>
      </w:tr>
      <w:tr>
        <w:tc>
          <w:tcPr>
            <w:tcW w:type="dxa" w:w="2556"/>
            <w:shd w:fill="F5F8FA"/>
            <w:vAlign w:val="center"/>
          </w:tcPr>
          <w:p>
            <w:pPr>
              <w:jc w:val="left"/>
            </w:pPr>
            <w:r/>
            <w:r>
              <w:rPr>
                <w:rFonts w:ascii="Aptos" w:hAnsi="Aptos"/>
                <w:b w:val="0"/>
                <w:color w:val="222222"/>
                <w:sz w:val="19"/>
              </w:rPr>
              <w:t>Total</w:t>
            </w:r>
          </w:p>
        </w:tc>
        <w:tc>
          <w:tcPr>
            <w:tcW w:type="dxa" w:w="2556"/>
            <w:shd w:fill="F5F8FA"/>
            <w:vAlign w:val="center"/>
          </w:tcPr>
          <w:p>
            <w:pPr>
              <w:jc w:val="center"/>
            </w:pPr>
            <w:r/>
            <w:r>
              <w:rPr>
                <w:rFonts w:ascii="Aptos" w:hAnsi="Aptos"/>
                <w:b w:val="0"/>
                <w:color w:val="222222"/>
                <w:sz w:val="19"/>
              </w:rPr>
              <w:t>752</w:t>
            </w:r>
          </w:p>
        </w:tc>
        <w:tc>
          <w:tcPr>
            <w:tcW w:type="dxa" w:w="2556"/>
            <w:shd w:fill="F5F8FA"/>
            <w:vAlign w:val="center"/>
          </w:tcPr>
          <w:p>
            <w:pPr>
              <w:jc w:val="center"/>
            </w:pPr>
            <w:r/>
            <w:r>
              <w:rPr>
                <w:rFonts w:ascii="Aptos" w:hAnsi="Aptos"/>
                <w:b w:val="0"/>
                <w:color w:val="222222"/>
                <w:sz w:val="19"/>
              </w:rPr>
              <w:t>1,483</w:t>
            </w:r>
          </w:p>
        </w:tc>
        <w:tc>
          <w:tcPr>
            <w:tcW w:type="dxa" w:w="2556"/>
            <w:shd w:fill="F5F8FA"/>
            <w:vAlign w:val="center"/>
          </w:tcPr>
          <w:p>
            <w:pPr>
              <w:jc w:val="center"/>
            </w:pPr>
            <w:r/>
            <w:r>
              <w:rPr>
                <w:rFonts w:ascii="Aptos" w:hAnsi="Aptos"/>
                <w:b w:val="0"/>
                <w:color w:val="222222"/>
                <w:sz w:val="19"/>
              </w:rPr>
              <w:t>1.97</w:t>
            </w:r>
          </w:p>
        </w:tc>
      </w:tr>
    </w:tbl>
    <w:p>
      <w:pPr>
        <w:spacing w:after="40"/>
      </w:pPr>
    </w:p>
    <w:p>
      <w:pPr>
        <w:spacing w:after="160"/>
      </w:pPr>
      <w:r>
        <w:rPr>
          <w:rFonts w:ascii="Aptos" w:hAnsi="Aptos"/>
          <w:b/>
          <w:color w:val="E67E22"/>
          <w:sz w:val="21"/>
        </w:rPr>
        <w:t xml:space="preserve">Answer / Insight: </w:t>
      </w:r>
      <w:r>
        <w:rPr>
          <w:rFonts w:ascii="Aptos" w:hAnsi="Aptos"/>
          <w:color w:val="222222"/>
          <w:sz w:val="21"/>
        </w:rPr>
        <w:t>Female customers are slightly ahead in both orders and units sold (386 orders and 762 units), while the average quantity per order is identical at 1.97 for both groups.</w:t>
      </w:r>
    </w:p>
    <w:tbl>
      <w:tblPr>
        <w:tblW w:type="auto" w:w="0"/>
        <w:jc w:val="center"/>
        <w:tblLook w:firstColumn="1" w:firstRow="1" w:lastColumn="0" w:lastRow="0" w:noHBand="0" w:noVBand="1" w:val="04A0"/>
        <w:tblBorders>
          <w:top w:val="single" w:sz="6" w:space="0" w:color="C9DCE3"/>
          <w:left w:val="single" w:sz="6" w:space="0" w:color="C9DCE3"/>
          <w:bottom w:val="single" w:sz="6" w:space="0" w:color="C9DCE3"/>
          <w:right w:val="single" w:sz="6" w:space="0" w:color="C9DCE3"/>
          <w:insideH w:val="single" w:sz="6" w:space="0" w:color="C9DCE3"/>
          <w:insideV w:val="single" w:sz="6" w:space="0" w:color="C9DCE3"/>
        </w:tblBorders>
      </w:tblPr>
      <w:tblGrid>
        <w:gridCol w:w="10224"/>
      </w:tblGrid>
      <w:tr>
        <w:tc>
          <w:tcPr>
            <w:tcW w:type="dxa" w:w="10224"/>
            <w:shd w:fill="EAF2F5"/>
          </w:tcPr>
          <w:p>
            <w:pPr>
              <w:spacing w:after="40"/>
            </w:pPr>
            <w:r>
              <w:rPr>
                <w:rFonts w:ascii="Aptos Display" w:hAnsi="Aptos Display"/>
                <w:b/>
                <w:color w:val="17365D"/>
                <w:sz w:val="25"/>
              </w:rPr>
              <w:t>Q5. Which country has the highest average order quantity per transaction?</w:t>
            </w:r>
          </w:p>
          <w:p>
            <w:pPr>
              <w:spacing w:after="0"/>
            </w:pPr>
            <w:r>
              <w:rPr>
                <w:b/>
                <w:color w:val="176B87"/>
              </w:rPr>
              <w:t xml:space="preserve">Analytical purpose: </w:t>
            </w:r>
            <w:r>
              <w:rPr>
                <w:rFonts w:ascii="Aptos" w:hAnsi="Aptos"/>
                <w:color w:val="222222"/>
                <w:sz w:val="19"/>
              </w:rPr>
              <w:t>Measure purchasing intensity by comparing the average number of units purchased per transaction across countries.</w:t>
            </w:r>
          </w:p>
        </w:tc>
      </w:tr>
    </w:tbl>
    <w:p>
      <w:pPr>
        <w:spacing w:after="20"/>
      </w:pPr>
    </w:p>
    <w:tbl>
      <w:tblPr>
        <w:tblW w:type="auto" w:w="0"/>
        <w:jc w:val="center"/>
        <w:tblLayout w:type="autofit"/>
        <w:tblLook w:firstColumn="1" w:firstRow="1" w:lastColumn="0" w:lastRow="0" w:noHBand="0" w:noVBand="1" w:val="04A0"/>
        <w:tblBorders>
          <w:top w:val="single" w:sz="6" w:space="0" w:color="B7C7CF"/>
          <w:left w:val="single" w:sz="6" w:space="0" w:color="B7C7CF"/>
          <w:bottom w:val="single" w:sz="6" w:space="0" w:color="B7C7CF"/>
          <w:right w:val="single" w:sz="6" w:space="0" w:color="B7C7CF"/>
          <w:insideH w:val="single" w:sz="6" w:space="0" w:color="B7C7CF"/>
          <w:insideV w:val="single" w:sz="6" w:space="0" w:color="B7C7CF"/>
        </w:tblBorders>
      </w:tblPr>
      <w:tblGrid>
        <w:gridCol w:w="5112"/>
        <w:gridCol w:w="5112"/>
      </w:tblGrid>
      <w:tr>
        <w:tc>
          <w:tcPr>
            <w:tcW w:type="dxa" w:w="5112"/>
            <w:shd w:fill="17365D"/>
            <w:vAlign w:val="center"/>
          </w:tcPr>
          <w:p>
            <w:pPr>
              <w:jc w:val="center"/>
            </w:pPr>
            <w:r/>
            <w:r>
              <w:rPr>
                <w:rFonts w:ascii="Aptos" w:hAnsi="Aptos"/>
                <w:b/>
                <w:color w:val="FFFFFF"/>
                <w:sz w:val="19"/>
              </w:rPr>
              <w:t>Country</w:t>
            </w:r>
          </w:p>
        </w:tc>
        <w:tc>
          <w:tcPr>
            <w:tcW w:type="dxa" w:w="5112"/>
            <w:shd w:fill="17365D"/>
            <w:vAlign w:val="center"/>
          </w:tcPr>
          <w:p>
            <w:pPr>
              <w:jc w:val="center"/>
            </w:pPr>
            <w:r/>
            <w:r>
              <w:rPr>
                <w:rFonts w:ascii="Aptos" w:hAnsi="Aptos"/>
                <w:b/>
                <w:color w:val="FFFFFF"/>
                <w:sz w:val="19"/>
              </w:rPr>
              <w:t>Average Order Quantity</w:t>
            </w:r>
          </w:p>
        </w:tc>
      </w:tr>
      <w:tr>
        <w:tc>
          <w:tcPr>
            <w:tcW w:type="dxa" w:w="5112"/>
            <w:shd w:fill="F5F8FA"/>
            <w:vAlign w:val="center"/>
          </w:tcPr>
          <w:p>
            <w:pPr>
              <w:jc w:val="left"/>
            </w:pPr>
            <w:r/>
            <w:r>
              <w:rPr>
                <w:rFonts w:ascii="Aptos" w:hAnsi="Aptos"/>
                <w:b w:val="0"/>
                <w:color w:val="222222"/>
                <w:sz w:val="19"/>
              </w:rPr>
              <w:t>France</w:t>
            </w:r>
          </w:p>
        </w:tc>
        <w:tc>
          <w:tcPr>
            <w:tcW w:type="dxa" w:w="5112"/>
            <w:shd w:fill="F5F8FA"/>
            <w:vAlign w:val="center"/>
          </w:tcPr>
          <w:p>
            <w:pPr>
              <w:jc w:val="center"/>
            </w:pPr>
            <w:r/>
            <w:r>
              <w:rPr>
                <w:rFonts w:ascii="Aptos" w:hAnsi="Aptos"/>
                <w:b w:val="0"/>
                <w:color w:val="222222"/>
                <w:sz w:val="19"/>
              </w:rPr>
              <w:t>2.13</w:t>
            </w:r>
          </w:p>
        </w:tc>
      </w:tr>
      <w:tr>
        <w:tc>
          <w:tcPr>
            <w:tcW w:type="dxa" w:w="5112"/>
            <w:vAlign w:val="center"/>
          </w:tcPr>
          <w:p>
            <w:pPr>
              <w:jc w:val="left"/>
            </w:pPr>
            <w:r/>
            <w:r>
              <w:rPr>
                <w:rFonts w:ascii="Aptos" w:hAnsi="Aptos"/>
                <w:b w:val="0"/>
                <w:color w:val="222222"/>
                <w:sz w:val="19"/>
              </w:rPr>
              <w:t>Australia</w:t>
            </w:r>
          </w:p>
        </w:tc>
        <w:tc>
          <w:tcPr>
            <w:tcW w:type="dxa" w:w="5112"/>
            <w:vAlign w:val="center"/>
          </w:tcPr>
          <w:p>
            <w:pPr>
              <w:jc w:val="center"/>
            </w:pPr>
            <w:r/>
            <w:r>
              <w:rPr>
                <w:rFonts w:ascii="Aptos" w:hAnsi="Aptos"/>
                <w:b w:val="0"/>
                <w:color w:val="222222"/>
                <w:sz w:val="19"/>
              </w:rPr>
              <w:t>2.08</w:t>
            </w:r>
          </w:p>
        </w:tc>
      </w:tr>
      <w:tr>
        <w:tc>
          <w:tcPr>
            <w:tcW w:type="dxa" w:w="5112"/>
            <w:shd w:fill="F5F8FA"/>
            <w:vAlign w:val="center"/>
          </w:tcPr>
          <w:p>
            <w:pPr>
              <w:jc w:val="left"/>
            </w:pPr>
            <w:r/>
            <w:r>
              <w:rPr>
                <w:rFonts w:ascii="Aptos" w:hAnsi="Aptos"/>
                <w:b w:val="0"/>
                <w:color w:val="222222"/>
                <w:sz w:val="19"/>
              </w:rPr>
              <w:t>Germany</w:t>
            </w:r>
          </w:p>
        </w:tc>
        <w:tc>
          <w:tcPr>
            <w:tcW w:type="dxa" w:w="5112"/>
            <w:shd w:fill="F5F8FA"/>
            <w:vAlign w:val="center"/>
          </w:tcPr>
          <w:p>
            <w:pPr>
              <w:jc w:val="center"/>
            </w:pPr>
            <w:r/>
            <w:r>
              <w:rPr>
                <w:rFonts w:ascii="Aptos" w:hAnsi="Aptos"/>
                <w:b w:val="0"/>
                <w:color w:val="222222"/>
                <w:sz w:val="19"/>
              </w:rPr>
              <w:t>1.97</w:t>
            </w:r>
          </w:p>
        </w:tc>
      </w:tr>
      <w:tr>
        <w:tc>
          <w:tcPr>
            <w:tcW w:type="dxa" w:w="5112"/>
            <w:vAlign w:val="center"/>
          </w:tcPr>
          <w:p>
            <w:pPr>
              <w:jc w:val="left"/>
            </w:pPr>
            <w:r/>
            <w:r>
              <w:rPr>
                <w:rFonts w:ascii="Aptos" w:hAnsi="Aptos"/>
                <w:b w:val="0"/>
                <w:color w:val="222222"/>
                <w:sz w:val="19"/>
              </w:rPr>
              <w:t>Canada</w:t>
            </w:r>
          </w:p>
        </w:tc>
        <w:tc>
          <w:tcPr>
            <w:tcW w:type="dxa" w:w="5112"/>
            <w:vAlign w:val="center"/>
          </w:tcPr>
          <w:p>
            <w:pPr>
              <w:jc w:val="center"/>
            </w:pPr>
            <w:r/>
            <w:r>
              <w:rPr>
                <w:rFonts w:ascii="Aptos" w:hAnsi="Aptos"/>
                <w:b w:val="0"/>
                <w:color w:val="222222"/>
                <w:sz w:val="19"/>
              </w:rPr>
              <w:t>1.89</w:t>
            </w:r>
          </w:p>
        </w:tc>
      </w:tr>
      <w:tr>
        <w:tc>
          <w:tcPr>
            <w:tcW w:type="dxa" w:w="5112"/>
            <w:shd w:fill="F5F8FA"/>
            <w:vAlign w:val="center"/>
          </w:tcPr>
          <w:p>
            <w:pPr>
              <w:jc w:val="left"/>
            </w:pPr>
            <w:r/>
            <w:r>
              <w:rPr>
                <w:rFonts w:ascii="Aptos" w:hAnsi="Aptos"/>
                <w:b w:val="0"/>
                <w:color w:val="222222"/>
                <w:sz w:val="19"/>
              </w:rPr>
              <w:t>United Kingdom</w:t>
            </w:r>
          </w:p>
        </w:tc>
        <w:tc>
          <w:tcPr>
            <w:tcW w:type="dxa" w:w="5112"/>
            <w:shd w:fill="F5F8FA"/>
            <w:vAlign w:val="center"/>
          </w:tcPr>
          <w:p>
            <w:pPr>
              <w:jc w:val="center"/>
            </w:pPr>
            <w:r/>
            <w:r>
              <w:rPr>
                <w:rFonts w:ascii="Aptos" w:hAnsi="Aptos"/>
                <w:b w:val="0"/>
                <w:color w:val="222222"/>
                <w:sz w:val="19"/>
              </w:rPr>
              <w:t>1.86</w:t>
            </w:r>
          </w:p>
        </w:tc>
      </w:tr>
      <w:tr>
        <w:tc>
          <w:tcPr>
            <w:tcW w:type="dxa" w:w="5112"/>
            <w:vAlign w:val="center"/>
          </w:tcPr>
          <w:p>
            <w:pPr>
              <w:jc w:val="left"/>
            </w:pPr>
            <w:r/>
            <w:r>
              <w:rPr>
                <w:rFonts w:ascii="Aptos" w:hAnsi="Aptos"/>
                <w:b w:val="0"/>
                <w:color w:val="222222"/>
                <w:sz w:val="19"/>
              </w:rPr>
              <w:t>United States</w:t>
            </w:r>
          </w:p>
        </w:tc>
        <w:tc>
          <w:tcPr>
            <w:tcW w:type="dxa" w:w="5112"/>
            <w:vAlign w:val="center"/>
          </w:tcPr>
          <w:p>
            <w:pPr>
              <w:jc w:val="center"/>
            </w:pPr>
            <w:r/>
            <w:r>
              <w:rPr>
                <w:rFonts w:ascii="Aptos" w:hAnsi="Aptos"/>
                <w:b w:val="0"/>
                <w:color w:val="222222"/>
                <w:sz w:val="19"/>
              </w:rPr>
              <w:t>1.82</w:t>
            </w:r>
          </w:p>
        </w:tc>
      </w:tr>
    </w:tbl>
    <w:p>
      <w:pPr>
        <w:spacing w:after="40"/>
      </w:pPr>
    </w:p>
    <w:p>
      <w:pPr>
        <w:spacing w:after="160"/>
      </w:pPr>
      <w:r>
        <w:rPr>
          <w:rFonts w:ascii="Aptos" w:hAnsi="Aptos"/>
          <w:b/>
          <w:color w:val="E67E22"/>
          <w:sz w:val="21"/>
        </w:rPr>
        <w:t xml:space="preserve">Answer / Insight: </w:t>
      </w:r>
      <w:r>
        <w:rPr>
          <w:rFonts w:ascii="Aptos" w:hAnsi="Aptos"/>
          <w:color w:val="222222"/>
          <w:sz w:val="21"/>
        </w:rPr>
        <w:t>France has the highest average order quantity at 2.13 units per transaction, followed by Australia at 2.08.</w:t>
      </w:r>
    </w:p>
    <w:tbl>
      <w:tblPr>
        <w:tblW w:type="auto" w:w="0"/>
        <w:jc w:val="center"/>
        <w:tblLook w:firstColumn="1" w:firstRow="1" w:lastColumn="0" w:lastRow="0" w:noHBand="0" w:noVBand="1" w:val="04A0"/>
        <w:tblBorders>
          <w:top w:val="single" w:sz="6" w:space="0" w:color="C9DCE3"/>
          <w:left w:val="single" w:sz="6" w:space="0" w:color="C9DCE3"/>
          <w:bottom w:val="single" w:sz="6" w:space="0" w:color="C9DCE3"/>
          <w:right w:val="single" w:sz="6" w:space="0" w:color="C9DCE3"/>
          <w:insideH w:val="single" w:sz="6" w:space="0" w:color="C9DCE3"/>
          <w:insideV w:val="single" w:sz="6" w:space="0" w:color="C9DCE3"/>
        </w:tblBorders>
      </w:tblPr>
      <w:tblGrid>
        <w:gridCol w:w="10224"/>
      </w:tblGrid>
      <w:tr>
        <w:tc>
          <w:tcPr>
            <w:tcW w:type="dxa" w:w="10224"/>
            <w:shd w:fill="EAF2F5"/>
          </w:tcPr>
          <w:p>
            <w:pPr>
              <w:spacing w:after="40"/>
            </w:pPr>
            <w:r>
              <w:rPr>
                <w:rFonts w:ascii="Aptos Display" w:hAnsi="Aptos Display"/>
                <w:b/>
                <w:color w:val="17365D"/>
                <w:sz w:val="25"/>
              </w:rPr>
              <w:t>Q6. How is unit demand distributed across the available bike colors?</w:t>
            </w:r>
          </w:p>
          <w:p>
            <w:pPr>
              <w:spacing w:after="0"/>
            </w:pPr>
            <w:r>
              <w:rPr>
                <w:b/>
                <w:color w:val="176B87"/>
              </w:rPr>
              <w:t xml:space="preserve">Analytical purpose: </w:t>
            </w:r>
            <w:r>
              <w:rPr>
                <w:rFonts w:ascii="Aptos" w:hAnsi="Aptos"/>
                <w:color w:val="222222"/>
                <w:sz w:val="19"/>
              </w:rPr>
              <w:t>Compare product color demand using units sold to identify the leading customer preference.</w:t>
            </w:r>
          </w:p>
        </w:tc>
      </w:tr>
    </w:tbl>
    <w:p>
      <w:pPr>
        <w:spacing w:after="20"/>
      </w:pPr>
    </w:p>
    <w:tbl>
      <w:tblPr>
        <w:tblW w:type="auto" w:w="0"/>
        <w:jc w:val="center"/>
        <w:tblLayout w:type="autofit"/>
        <w:tblLook w:firstColumn="1" w:firstRow="1" w:lastColumn="0" w:lastRow="0" w:noHBand="0" w:noVBand="1" w:val="04A0"/>
        <w:tblBorders>
          <w:top w:val="single" w:sz="6" w:space="0" w:color="B7C7CF"/>
          <w:left w:val="single" w:sz="6" w:space="0" w:color="B7C7CF"/>
          <w:bottom w:val="single" w:sz="6" w:space="0" w:color="B7C7CF"/>
          <w:right w:val="single" w:sz="6" w:space="0" w:color="B7C7CF"/>
          <w:insideH w:val="single" w:sz="6" w:space="0" w:color="B7C7CF"/>
          <w:insideV w:val="single" w:sz="6" w:space="0" w:color="B7C7CF"/>
        </w:tblBorders>
      </w:tblPr>
      <w:tblGrid>
        <w:gridCol w:w="5112"/>
        <w:gridCol w:w="5112"/>
      </w:tblGrid>
      <w:tr>
        <w:tc>
          <w:tcPr>
            <w:tcW w:type="dxa" w:w="5112"/>
            <w:shd w:fill="17365D"/>
            <w:vAlign w:val="center"/>
          </w:tcPr>
          <w:p>
            <w:pPr>
              <w:jc w:val="center"/>
            </w:pPr>
            <w:r/>
            <w:r>
              <w:rPr>
                <w:rFonts w:ascii="Aptos" w:hAnsi="Aptos"/>
                <w:b/>
                <w:color w:val="FFFFFF"/>
                <w:sz w:val="19"/>
              </w:rPr>
              <w:t>Bike Color</w:t>
            </w:r>
          </w:p>
        </w:tc>
        <w:tc>
          <w:tcPr>
            <w:tcW w:type="dxa" w:w="5112"/>
            <w:shd w:fill="17365D"/>
            <w:vAlign w:val="center"/>
          </w:tcPr>
          <w:p>
            <w:pPr>
              <w:jc w:val="center"/>
            </w:pPr>
            <w:r/>
            <w:r>
              <w:rPr>
                <w:rFonts w:ascii="Aptos" w:hAnsi="Aptos"/>
                <w:b/>
                <w:color w:val="FFFFFF"/>
                <w:sz w:val="19"/>
              </w:rPr>
              <w:t>Units Sold</w:t>
            </w:r>
          </w:p>
        </w:tc>
      </w:tr>
      <w:tr>
        <w:tc>
          <w:tcPr>
            <w:tcW w:type="dxa" w:w="5112"/>
            <w:shd w:fill="F5F8FA"/>
            <w:vAlign w:val="center"/>
          </w:tcPr>
          <w:p>
            <w:pPr>
              <w:jc w:val="left"/>
            </w:pPr>
            <w:r/>
            <w:r>
              <w:rPr>
                <w:rFonts w:ascii="Aptos" w:hAnsi="Aptos"/>
                <w:b w:val="0"/>
                <w:color w:val="222222"/>
                <w:sz w:val="19"/>
              </w:rPr>
              <w:t>Black</w:t>
            </w:r>
          </w:p>
        </w:tc>
        <w:tc>
          <w:tcPr>
            <w:tcW w:type="dxa" w:w="5112"/>
            <w:shd w:fill="F5F8FA"/>
            <w:vAlign w:val="center"/>
          </w:tcPr>
          <w:p>
            <w:pPr>
              <w:jc w:val="center"/>
            </w:pPr>
            <w:r/>
            <w:r>
              <w:rPr>
                <w:rFonts w:ascii="Aptos" w:hAnsi="Aptos"/>
                <w:b w:val="0"/>
                <w:color w:val="222222"/>
                <w:sz w:val="19"/>
              </w:rPr>
              <w:t>610</w:t>
            </w:r>
          </w:p>
        </w:tc>
      </w:tr>
      <w:tr>
        <w:tc>
          <w:tcPr>
            <w:tcW w:type="dxa" w:w="5112"/>
            <w:vAlign w:val="center"/>
          </w:tcPr>
          <w:p>
            <w:pPr>
              <w:jc w:val="left"/>
            </w:pPr>
            <w:r/>
            <w:r>
              <w:rPr>
                <w:rFonts w:ascii="Aptos" w:hAnsi="Aptos"/>
                <w:b w:val="0"/>
                <w:color w:val="222222"/>
                <w:sz w:val="19"/>
              </w:rPr>
              <w:t>Red</w:t>
            </w:r>
          </w:p>
        </w:tc>
        <w:tc>
          <w:tcPr>
            <w:tcW w:type="dxa" w:w="5112"/>
            <w:vAlign w:val="center"/>
          </w:tcPr>
          <w:p>
            <w:pPr>
              <w:jc w:val="center"/>
            </w:pPr>
            <w:r/>
            <w:r>
              <w:rPr>
                <w:rFonts w:ascii="Aptos" w:hAnsi="Aptos"/>
                <w:b w:val="0"/>
                <w:color w:val="222222"/>
                <w:sz w:val="19"/>
              </w:rPr>
              <w:t>319</w:t>
            </w:r>
          </w:p>
        </w:tc>
      </w:tr>
      <w:tr>
        <w:tc>
          <w:tcPr>
            <w:tcW w:type="dxa" w:w="5112"/>
            <w:shd w:fill="F5F8FA"/>
            <w:vAlign w:val="center"/>
          </w:tcPr>
          <w:p>
            <w:pPr>
              <w:jc w:val="left"/>
            </w:pPr>
            <w:r/>
            <w:r>
              <w:rPr>
                <w:rFonts w:ascii="Aptos" w:hAnsi="Aptos"/>
                <w:b w:val="0"/>
                <w:color w:val="222222"/>
                <w:sz w:val="19"/>
              </w:rPr>
              <w:t>Yellow</w:t>
            </w:r>
          </w:p>
        </w:tc>
        <w:tc>
          <w:tcPr>
            <w:tcW w:type="dxa" w:w="5112"/>
            <w:shd w:fill="F5F8FA"/>
            <w:vAlign w:val="center"/>
          </w:tcPr>
          <w:p>
            <w:pPr>
              <w:jc w:val="center"/>
            </w:pPr>
            <w:r/>
            <w:r>
              <w:rPr>
                <w:rFonts w:ascii="Aptos" w:hAnsi="Aptos"/>
                <w:b w:val="0"/>
                <w:color w:val="222222"/>
                <w:sz w:val="19"/>
              </w:rPr>
              <w:t>317</w:t>
            </w:r>
          </w:p>
        </w:tc>
      </w:tr>
      <w:tr>
        <w:tc>
          <w:tcPr>
            <w:tcW w:type="dxa" w:w="5112"/>
            <w:vAlign w:val="center"/>
          </w:tcPr>
          <w:p>
            <w:pPr>
              <w:jc w:val="left"/>
            </w:pPr>
            <w:r/>
            <w:r>
              <w:rPr>
                <w:rFonts w:ascii="Aptos" w:hAnsi="Aptos"/>
                <w:b w:val="0"/>
                <w:color w:val="222222"/>
                <w:sz w:val="19"/>
              </w:rPr>
              <w:t>Silver</w:t>
            </w:r>
          </w:p>
        </w:tc>
        <w:tc>
          <w:tcPr>
            <w:tcW w:type="dxa" w:w="5112"/>
            <w:vAlign w:val="center"/>
          </w:tcPr>
          <w:p>
            <w:pPr>
              <w:jc w:val="center"/>
            </w:pPr>
            <w:r/>
            <w:r>
              <w:rPr>
                <w:rFonts w:ascii="Aptos" w:hAnsi="Aptos"/>
                <w:b w:val="0"/>
                <w:color w:val="222222"/>
                <w:sz w:val="19"/>
              </w:rPr>
              <w:t>237</w:t>
            </w:r>
          </w:p>
        </w:tc>
      </w:tr>
    </w:tbl>
    <w:p>
      <w:pPr>
        <w:spacing w:after="40"/>
      </w:pPr>
    </w:p>
    <w:p>
      <w:pPr>
        <w:spacing w:after="160"/>
      </w:pPr>
      <w:r>
        <w:rPr>
          <w:rFonts w:ascii="Aptos" w:hAnsi="Aptos"/>
          <w:b/>
          <w:color w:val="E67E22"/>
          <w:sz w:val="21"/>
        </w:rPr>
        <w:t xml:space="preserve">Answer / Insight: </w:t>
      </w:r>
      <w:r>
        <w:rPr>
          <w:rFonts w:ascii="Aptos" w:hAnsi="Aptos"/>
          <w:color w:val="222222"/>
          <w:sz w:val="21"/>
        </w:rPr>
        <w:t>Black is the leading bike color with 610 units sold. Red and Yellow are close to each other at 319 and 317 units respectively, while Silver records 237 units.</w:t>
      </w:r>
    </w:p>
    <w:tbl>
      <w:tblPr>
        <w:tblW w:type="auto" w:w="0"/>
        <w:jc w:val="center"/>
        <w:tblLook w:firstColumn="1" w:firstRow="1" w:lastColumn="0" w:lastRow="0" w:noHBand="0" w:noVBand="1" w:val="04A0"/>
        <w:tblBorders>
          <w:top w:val="single" w:sz="6" w:space="0" w:color="C9DCE3"/>
          <w:left w:val="single" w:sz="6" w:space="0" w:color="C9DCE3"/>
          <w:bottom w:val="single" w:sz="6" w:space="0" w:color="C9DCE3"/>
          <w:right w:val="single" w:sz="6" w:space="0" w:color="C9DCE3"/>
          <w:insideH w:val="single" w:sz="6" w:space="0" w:color="C9DCE3"/>
          <w:insideV w:val="single" w:sz="6" w:space="0" w:color="C9DCE3"/>
        </w:tblBorders>
      </w:tblPr>
      <w:tblGrid>
        <w:gridCol w:w="10224"/>
      </w:tblGrid>
      <w:tr>
        <w:tc>
          <w:tcPr>
            <w:tcW w:type="dxa" w:w="10224"/>
            <w:shd w:fill="EAF2F5"/>
          </w:tcPr>
          <w:p>
            <w:pPr>
              <w:spacing w:after="40"/>
            </w:pPr>
            <w:r>
              <w:rPr>
                <w:rFonts w:ascii="Aptos Display" w:hAnsi="Aptos Display"/>
                <w:b/>
                <w:color w:val="17365D"/>
                <w:sz w:val="25"/>
              </w:rPr>
              <w:t>Q7. How does unit demand change across October, November, and December?</w:t>
            </w:r>
          </w:p>
          <w:p>
            <w:pPr>
              <w:spacing w:after="0"/>
            </w:pPr>
            <w:r>
              <w:rPr>
                <w:b/>
                <w:color w:val="176B87"/>
              </w:rPr>
              <w:t xml:space="preserve">Analytical purpose: </w:t>
            </w:r>
            <w:r>
              <w:rPr>
                <w:rFonts w:ascii="Aptos" w:hAnsi="Aptos"/>
                <w:color w:val="222222"/>
                <w:sz w:val="19"/>
              </w:rPr>
              <w:t>Examine the monthly pattern to identify increases, decreases, and the strongest period in the analyzed timeframe.</w:t>
            </w:r>
          </w:p>
        </w:tc>
      </w:tr>
    </w:tbl>
    <w:p>
      <w:pPr>
        <w:spacing w:after="20"/>
      </w:pPr>
    </w:p>
    <w:tbl>
      <w:tblPr>
        <w:tblW w:type="auto" w:w="0"/>
        <w:jc w:val="center"/>
        <w:tblLayout w:type="autofit"/>
        <w:tblLook w:firstColumn="1" w:firstRow="1" w:lastColumn="0" w:lastRow="0" w:noHBand="0" w:noVBand="1" w:val="04A0"/>
        <w:tblBorders>
          <w:top w:val="single" w:sz="6" w:space="0" w:color="B7C7CF"/>
          <w:left w:val="single" w:sz="6" w:space="0" w:color="B7C7CF"/>
          <w:bottom w:val="single" w:sz="6" w:space="0" w:color="B7C7CF"/>
          <w:right w:val="single" w:sz="6" w:space="0" w:color="B7C7CF"/>
          <w:insideH w:val="single" w:sz="6" w:space="0" w:color="B7C7CF"/>
          <w:insideV w:val="single" w:sz="6" w:space="0" w:color="B7C7CF"/>
        </w:tblBorders>
      </w:tblPr>
      <w:tblGrid>
        <w:gridCol w:w="5112"/>
        <w:gridCol w:w="5112"/>
      </w:tblGrid>
      <w:tr>
        <w:tc>
          <w:tcPr>
            <w:tcW w:type="dxa" w:w="5112"/>
            <w:shd w:fill="17365D"/>
            <w:vAlign w:val="center"/>
          </w:tcPr>
          <w:p>
            <w:pPr>
              <w:jc w:val="center"/>
            </w:pPr>
            <w:r/>
            <w:r>
              <w:rPr>
                <w:rFonts w:ascii="Aptos" w:hAnsi="Aptos"/>
                <w:b/>
                <w:color w:val="FFFFFF"/>
                <w:sz w:val="19"/>
              </w:rPr>
              <w:t>Month</w:t>
            </w:r>
          </w:p>
        </w:tc>
        <w:tc>
          <w:tcPr>
            <w:tcW w:type="dxa" w:w="5112"/>
            <w:shd w:fill="17365D"/>
            <w:vAlign w:val="center"/>
          </w:tcPr>
          <w:p>
            <w:pPr>
              <w:jc w:val="center"/>
            </w:pPr>
            <w:r/>
            <w:r>
              <w:rPr>
                <w:rFonts w:ascii="Aptos" w:hAnsi="Aptos"/>
                <w:b/>
                <w:color w:val="FFFFFF"/>
                <w:sz w:val="19"/>
              </w:rPr>
              <w:t>Units Sold</w:t>
            </w:r>
          </w:p>
        </w:tc>
      </w:tr>
      <w:tr>
        <w:tc>
          <w:tcPr>
            <w:tcW w:type="dxa" w:w="5112"/>
            <w:shd w:fill="F5F8FA"/>
            <w:vAlign w:val="center"/>
          </w:tcPr>
          <w:p>
            <w:pPr>
              <w:jc w:val="left"/>
            </w:pPr>
            <w:r/>
            <w:r>
              <w:rPr>
                <w:rFonts w:ascii="Aptos" w:hAnsi="Aptos"/>
                <w:b w:val="0"/>
                <w:color w:val="222222"/>
                <w:sz w:val="19"/>
              </w:rPr>
              <w:t>October</w:t>
            </w:r>
          </w:p>
        </w:tc>
        <w:tc>
          <w:tcPr>
            <w:tcW w:type="dxa" w:w="5112"/>
            <w:shd w:fill="F5F8FA"/>
            <w:vAlign w:val="center"/>
          </w:tcPr>
          <w:p>
            <w:pPr>
              <w:jc w:val="center"/>
            </w:pPr>
            <w:r/>
            <w:r>
              <w:rPr>
                <w:rFonts w:ascii="Aptos" w:hAnsi="Aptos"/>
                <w:b w:val="0"/>
                <w:color w:val="222222"/>
                <w:sz w:val="19"/>
              </w:rPr>
              <w:t>452</w:t>
            </w:r>
          </w:p>
        </w:tc>
      </w:tr>
      <w:tr>
        <w:tc>
          <w:tcPr>
            <w:tcW w:type="dxa" w:w="5112"/>
            <w:vAlign w:val="center"/>
          </w:tcPr>
          <w:p>
            <w:pPr>
              <w:jc w:val="left"/>
            </w:pPr>
            <w:r/>
            <w:r>
              <w:rPr>
                <w:rFonts w:ascii="Aptos" w:hAnsi="Aptos"/>
                <w:b w:val="0"/>
                <w:color w:val="222222"/>
                <w:sz w:val="19"/>
              </w:rPr>
              <w:t>November</w:t>
            </w:r>
          </w:p>
        </w:tc>
        <w:tc>
          <w:tcPr>
            <w:tcW w:type="dxa" w:w="5112"/>
            <w:vAlign w:val="center"/>
          </w:tcPr>
          <w:p>
            <w:pPr>
              <w:jc w:val="center"/>
            </w:pPr>
            <w:r/>
            <w:r>
              <w:rPr>
                <w:rFonts w:ascii="Aptos" w:hAnsi="Aptos"/>
                <w:b w:val="0"/>
                <w:color w:val="222222"/>
                <w:sz w:val="19"/>
              </w:rPr>
              <w:t>367</w:t>
            </w:r>
          </w:p>
        </w:tc>
      </w:tr>
      <w:tr>
        <w:tc>
          <w:tcPr>
            <w:tcW w:type="dxa" w:w="5112"/>
            <w:shd w:fill="F5F8FA"/>
            <w:vAlign w:val="center"/>
          </w:tcPr>
          <w:p>
            <w:pPr>
              <w:jc w:val="left"/>
            </w:pPr>
            <w:r/>
            <w:r>
              <w:rPr>
                <w:rFonts w:ascii="Aptos" w:hAnsi="Aptos"/>
                <w:b w:val="0"/>
                <w:color w:val="222222"/>
                <w:sz w:val="19"/>
              </w:rPr>
              <w:t>December</w:t>
            </w:r>
          </w:p>
        </w:tc>
        <w:tc>
          <w:tcPr>
            <w:tcW w:type="dxa" w:w="5112"/>
            <w:shd w:fill="F5F8FA"/>
            <w:vAlign w:val="center"/>
          </w:tcPr>
          <w:p>
            <w:pPr>
              <w:jc w:val="center"/>
            </w:pPr>
            <w:r/>
            <w:r>
              <w:rPr>
                <w:rFonts w:ascii="Aptos" w:hAnsi="Aptos"/>
                <w:b w:val="0"/>
                <w:color w:val="222222"/>
                <w:sz w:val="19"/>
              </w:rPr>
              <w:t>664</w:t>
            </w:r>
          </w:p>
        </w:tc>
      </w:tr>
    </w:tbl>
    <w:p>
      <w:pPr>
        <w:spacing w:after="40"/>
      </w:pPr>
    </w:p>
    <w:p>
      <w:pPr>
        <w:spacing w:after="160"/>
      </w:pPr>
      <w:r>
        <w:rPr>
          <w:rFonts w:ascii="Aptos" w:hAnsi="Aptos"/>
          <w:b/>
          <w:color w:val="E67E22"/>
          <w:sz w:val="21"/>
        </w:rPr>
        <w:t xml:space="preserve">Answer / Insight: </w:t>
      </w:r>
      <w:r>
        <w:rPr>
          <w:rFonts w:ascii="Aptos" w:hAnsi="Aptos"/>
          <w:color w:val="222222"/>
          <w:sz w:val="21"/>
        </w:rPr>
        <w:t>Demand falls from 452 units in October to 367 in November, then rises sharply to 664 units in December. December is therefore the strongest month in the analyzed period.</w:t>
      </w:r>
    </w:p>
    <w:tbl>
      <w:tblPr>
        <w:tblW w:type="auto" w:w="0"/>
        <w:jc w:val="center"/>
        <w:tblLook w:firstColumn="1" w:firstRow="1" w:lastColumn="0" w:lastRow="0" w:noHBand="0" w:noVBand="1" w:val="04A0"/>
        <w:tblBorders>
          <w:top w:val="single" w:sz="6" w:space="0" w:color="C9DCE3"/>
          <w:left w:val="single" w:sz="6" w:space="0" w:color="C9DCE3"/>
          <w:bottom w:val="single" w:sz="6" w:space="0" w:color="C9DCE3"/>
          <w:right w:val="single" w:sz="6" w:space="0" w:color="C9DCE3"/>
          <w:insideH w:val="single" w:sz="6" w:space="0" w:color="C9DCE3"/>
          <w:insideV w:val="single" w:sz="6" w:space="0" w:color="C9DCE3"/>
        </w:tblBorders>
      </w:tblPr>
      <w:tblGrid>
        <w:gridCol w:w="10224"/>
      </w:tblGrid>
      <w:tr>
        <w:tc>
          <w:tcPr>
            <w:tcW w:type="dxa" w:w="10224"/>
            <w:shd w:fill="EAF2F5"/>
          </w:tcPr>
          <w:p>
            <w:pPr>
              <w:spacing w:after="40"/>
            </w:pPr>
            <w:r>
              <w:rPr>
                <w:rFonts w:ascii="Aptos Display" w:hAnsi="Aptos Display"/>
                <w:b/>
                <w:color w:val="17365D"/>
                <w:sz w:val="25"/>
              </w:rPr>
              <w:t>Q8. How are sales transactions distributed across the days of the week, and which day records the highest activity?</w:t>
            </w:r>
          </w:p>
          <w:p>
            <w:pPr>
              <w:spacing w:after="0"/>
            </w:pPr>
            <w:r>
              <w:rPr>
                <w:b/>
                <w:color w:val="176B87"/>
              </w:rPr>
              <w:t xml:space="preserve">Analytical purpose: </w:t>
            </w:r>
            <w:r>
              <w:rPr>
                <w:rFonts w:ascii="Aptos" w:hAnsi="Aptos"/>
                <w:color w:val="222222"/>
                <w:sz w:val="19"/>
              </w:rPr>
              <w:t>Identify weekly transaction patterns and the day with the highest observed activity.</w:t>
            </w:r>
          </w:p>
        </w:tc>
      </w:tr>
    </w:tbl>
    <w:p>
      <w:pPr>
        <w:spacing w:after="20"/>
      </w:pPr>
    </w:p>
    <w:tbl>
      <w:tblPr>
        <w:tblW w:type="auto" w:w="0"/>
        <w:jc w:val="center"/>
        <w:tblLayout w:type="autofit"/>
        <w:tblLook w:firstColumn="1" w:firstRow="1" w:lastColumn="0" w:lastRow="0" w:noHBand="0" w:noVBand="1" w:val="04A0"/>
        <w:tblBorders>
          <w:top w:val="single" w:sz="6" w:space="0" w:color="B7C7CF"/>
          <w:left w:val="single" w:sz="6" w:space="0" w:color="B7C7CF"/>
          <w:bottom w:val="single" w:sz="6" w:space="0" w:color="B7C7CF"/>
          <w:right w:val="single" w:sz="6" w:space="0" w:color="B7C7CF"/>
          <w:insideH w:val="single" w:sz="6" w:space="0" w:color="B7C7CF"/>
          <w:insideV w:val="single" w:sz="6" w:space="0" w:color="B7C7CF"/>
        </w:tblBorders>
      </w:tblPr>
      <w:tblGrid>
        <w:gridCol w:w="5112"/>
        <w:gridCol w:w="5112"/>
      </w:tblGrid>
      <w:tr>
        <w:tc>
          <w:tcPr>
            <w:tcW w:type="dxa" w:w="5112"/>
            <w:shd w:fill="17365D"/>
            <w:vAlign w:val="center"/>
          </w:tcPr>
          <w:p>
            <w:pPr>
              <w:jc w:val="center"/>
            </w:pPr>
            <w:r/>
            <w:r>
              <w:rPr>
                <w:rFonts w:ascii="Aptos" w:hAnsi="Aptos"/>
                <w:b/>
                <w:color w:val="FFFFFF"/>
                <w:sz w:val="19"/>
              </w:rPr>
              <w:t>Day</w:t>
            </w:r>
          </w:p>
        </w:tc>
        <w:tc>
          <w:tcPr>
            <w:tcW w:type="dxa" w:w="5112"/>
            <w:shd w:fill="17365D"/>
            <w:vAlign w:val="center"/>
          </w:tcPr>
          <w:p>
            <w:pPr>
              <w:jc w:val="center"/>
            </w:pPr>
            <w:r/>
            <w:r>
              <w:rPr>
                <w:rFonts w:ascii="Aptos" w:hAnsi="Aptos"/>
                <w:b/>
                <w:color w:val="FFFFFF"/>
                <w:sz w:val="19"/>
              </w:rPr>
              <w:t>Transactions</w:t>
            </w:r>
          </w:p>
        </w:tc>
      </w:tr>
      <w:tr>
        <w:tc>
          <w:tcPr>
            <w:tcW w:type="dxa" w:w="5112"/>
            <w:shd w:fill="F5F8FA"/>
            <w:vAlign w:val="center"/>
          </w:tcPr>
          <w:p>
            <w:pPr>
              <w:jc w:val="left"/>
            </w:pPr>
            <w:r/>
            <w:r>
              <w:rPr>
                <w:rFonts w:ascii="Aptos" w:hAnsi="Aptos"/>
                <w:b w:val="0"/>
                <w:color w:val="222222"/>
                <w:sz w:val="19"/>
              </w:rPr>
              <w:t>Wednesday</w:t>
            </w:r>
          </w:p>
        </w:tc>
        <w:tc>
          <w:tcPr>
            <w:tcW w:type="dxa" w:w="5112"/>
            <w:shd w:fill="F5F8FA"/>
            <w:vAlign w:val="center"/>
          </w:tcPr>
          <w:p>
            <w:pPr>
              <w:jc w:val="center"/>
            </w:pPr>
            <w:r/>
            <w:r>
              <w:rPr>
                <w:rFonts w:ascii="Aptos" w:hAnsi="Aptos"/>
                <w:b w:val="0"/>
                <w:color w:val="222222"/>
                <w:sz w:val="19"/>
              </w:rPr>
              <w:t>114</w:t>
            </w:r>
          </w:p>
        </w:tc>
      </w:tr>
      <w:tr>
        <w:tc>
          <w:tcPr>
            <w:tcW w:type="dxa" w:w="5112"/>
            <w:vAlign w:val="center"/>
          </w:tcPr>
          <w:p>
            <w:pPr>
              <w:jc w:val="left"/>
            </w:pPr>
            <w:r/>
            <w:r>
              <w:rPr>
                <w:rFonts w:ascii="Aptos" w:hAnsi="Aptos"/>
                <w:b w:val="0"/>
                <w:color w:val="222222"/>
                <w:sz w:val="19"/>
              </w:rPr>
              <w:t>Friday</w:t>
            </w:r>
          </w:p>
        </w:tc>
        <w:tc>
          <w:tcPr>
            <w:tcW w:type="dxa" w:w="5112"/>
            <w:vAlign w:val="center"/>
          </w:tcPr>
          <w:p>
            <w:pPr>
              <w:jc w:val="center"/>
            </w:pPr>
            <w:r/>
            <w:r>
              <w:rPr>
                <w:rFonts w:ascii="Aptos" w:hAnsi="Aptos"/>
                <w:b w:val="0"/>
                <w:color w:val="222222"/>
                <w:sz w:val="19"/>
              </w:rPr>
              <w:t>113</w:t>
            </w:r>
          </w:p>
        </w:tc>
      </w:tr>
      <w:tr>
        <w:tc>
          <w:tcPr>
            <w:tcW w:type="dxa" w:w="5112"/>
            <w:shd w:fill="F5F8FA"/>
            <w:vAlign w:val="center"/>
          </w:tcPr>
          <w:p>
            <w:pPr>
              <w:jc w:val="left"/>
            </w:pPr>
            <w:r/>
            <w:r>
              <w:rPr>
                <w:rFonts w:ascii="Aptos" w:hAnsi="Aptos"/>
                <w:b w:val="0"/>
                <w:color w:val="222222"/>
                <w:sz w:val="19"/>
              </w:rPr>
              <w:t>Saturday</w:t>
            </w:r>
          </w:p>
        </w:tc>
        <w:tc>
          <w:tcPr>
            <w:tcW w:type="dxa" w:w="5112"/>
            <w:shd w:fill="F5F8FA"/>
            <w:vAlign w:val="center"/>
          </w:tcPr>
          <w:p>
            <w:pPr>
              <w:jc w:val="center"/>
            </w:pPr>
            <w:r/>
            <w:r>
              <w:rPr>
                <w:rFonts w:ascii="Aptos" w:hAnsi="Aptos"/>
                <w:b w:val="0"/>
                <w:color w:val="222222"/>
                <w:sz w:val="19"/>
              </w:rPr>
              <w:t>110</w:t>
            </w:r>
          </w:p>
        </w:tc>
      </w:tr>
      <w:tr>
        <w:tc>
          <w:tcPr>
            <w:tcW w:type="dxa" w:w="5112"/>
            <w:vAlign w:val="center"/>
          </w:tcPr>
          <w:p>
            <w:pPr>
              <w:jc w:val="left"/>
            </w:pPr>
            <w:r/>
            <w:r>
              <w:rPr>
                <w:rFonts w:ascii="Aptos" w:hAnsi="Aptos"/>
                <w:b w:val="0"/>
                <w:color w:val="222222"/>
                <w:sz w:val="19"/>
              </w:rPr>
              <w:t>Sunday</w:t>
            </w:r>
          </w:p>
        </w:tc>
        <w:tc>
          <w:tcPr>
            <w:tcW w:type="dxa" w:w="5112"/>
            <w:vAlign w:val="center"/>
          </w:tcPr>
          <w:p>
            <w:pPr>
              <w:jc w:val="center"/>
            </w:pPr>
            <w:r/>
            <w:r>
              <w:rPr>
                <w:rFonts w:ascii="Aptos" w:hAnsi="Aptos"/>
                <w:b w:val="0"/>
                <w:color w:val="222222"/>
                <w:sz w:val="19"/>
              </w:rPr>
              <w:t>106</w:t>
            </w:r>
          </w:p>
        </w:tc>
      </w:tr>
      <w:tr>
        <w:tc>
          <w:tcPr>
            <w:tcW w:type="dxa" w:w="5112"/>
            <w:shd w:fill="F5F8FA"/>
            <w:vAlign w:val="center"/>
          </w:tcPr>
          <w:p>
            <w:pPr>
              <w:jc w:val="left"/>
            </w:pPr>
            <w:r/>
            <w:r>
              <w:rPr>
                <w:rFonts w:ascii="Aptos" w:hAnsi="Aptos"/>
                <w:b w:val="0"/>
                <w:color w:val="222222"/>
                <w:sz w:val="19"/>
              </w:rPr>
              <w:t>Thursday</w:t>
            </w:r>
          </w:p>
        </w:tc>
        <w:tc>
          <w:tcPr>
            <w:tcW w:type="dxa" w:w="5112"/>
            <w:shd w:fill="F5F8FA"/>
            <w:vAlign w:val="center"/>
          </w:tcPr>
          <w:p>
            <w:pPr>
              <w:jc w:val="center"/>
            </w:pPr>
            <w:r/>
            <w:r>
              <w:rPr>
                <w:rFonts w:ascii="Aptos" w:hAnsi="Aptos"/>
                <w:b w:val="0"/>
                <w:color w:val="222222"/>
                <w:sz w:val="19"/>
              </w:rPr>
              <w:t>102</w:t>
            </w:r>
          </w:p>
        </w:tc>
      </w:tr>
      <w:tr>
        <w:tc>
          <w:tcPr>
            <w:tcW w:type="dxa" w:w="5112"/>
            <w:vAlign w:val="center"/>
          </w:tcPr>
          <w:p>
            <w:pPr>
              <w:jc w:val="left"/>
            </w:pPr>
            <w:r/>
            <w:r>
              <w:rPr>
                <w:rFonts w:ascii="Aptos" w:hAnsi="Aptos"/>
                <w:b w:val="0"/>
                <w:color w:val="222222"/>
                <w:sz w:val="19"/>
              </w:rPr>
              <w:t>Monday</w:t>
            </w:r>
          </w:p>
        </w:tc>
        <w:tc>
          <w:tcPr>
            <w:tcW w:type="dxa" w:w="5112"/>
            <w:vAlign w:val="center"/>
          </w:tcPr>
          <w:p>
            <w:pPr>
              <w:jc w:val="center"/>
            </w:pPr>
            <w:r/>
            <w:r>
              <w:rPr>
                <w:rFonts w:ascii="Aptos" w:hAnsi="Aptos"/>
                <w:b w:val="0"/>
                <w:color w:val="222222"/>
                <w:sz w:val="19"/>
              </w:rPr>
              <w:t>95</w:t>
            </w:r>
          </w:p>
        </w:tc>
      </w:tr>
      <w:tr>
        <w:tc>
          <w:tcPr>
            <w:tcW w:type="dxa" w:w="5112"/>
            <w:shd w:fill="F5F8FA"/>
            <w:vAlign w:val="center"/>
          </w:tcPr>
          <w:p>
            <w:pPr>
              <w:jc w:val="left"/>
            </w:pPr>
            <w:r/>
            <w:r>
              <w:rPr>
                <w:rFonts w:ascii="Aptos" w:hAnsi="Aptos"/>
                <w:b w:val="0"/>
                <w:color w:val="222222"/>
                <w:sz w:val="19"/>
              </w:rPr>
              <w:t>Tuesday</w:t>
            </w:r>
          </w:p>
        </w:tc>
        <w:tc>
          <w:tcPr>
            <w:tcW w:type="dxa" w:w="5112"/>
            <w:shd w:fill="F5F8FA"/>
            <w:vAlign w:val="center"/>
          </w:tcPr>
          <w:p>
            <w:pPr>
              <w:jc w:val="center"/>
            </w:pPr>
            <w:r/>
            <w:r>
              <w:rPr>
                <w:rFonts w:ascii="Aptos" w:hAnsi="Aptos"/>
                <w:b w:val="0"/>
                <w:color w:val="222222"/>
                <w:sz w:val="19"/>
              </w:rPr>
              <w:t>112</w:t>
            </w:r>
          </w:p>
        </w:tc>
      </w:tr>
    </w:tbl>
    <w:p>
      <w:pPr>
        <w:spacing w:after="40"/>
      </w:pPr>
    </w:p>
    <w:p>
      <w:pPr>
        <w:spacing w:after="160"/>
      </w:pPr>
      <w:r>
        <w:rPr>
          <w:rFonts w:ascii="Aptos" w:hAnsi="Aptos"/>
          <w:b/>
          <w:color w:val="E67E22"/>
          <w:sz w:val="21"/>
        </w:rPr>
        <w:t xml:space="preserve">Answer / Insight: </w:t>
      </w:r>
      <w:r>
        <w:rPr>
          <w:rFonts w:ascii="Aptos" w:hAnsi="Aptos"/>
          <w:color w:val="222222"/>
          <w:sz w:val="21"/>
        </w:rPr>
        <w:t>Wednesday records the highest number of transactions at 114, closely followed by Friday at 113 and Tuesday at 112. Monday records the lowest value at 95.</w:t>
      </w:r>
    </w:p>
    <w:tbl>
      <w:tblPr>
        <w:tblW w:type="auto" w:w="0"/>
        <w:jc w:val="center"/>
        <w:tblLook w:firstColumn="1" w:firstRow="1" w:lastColumn="0" w:lastRow="0" w:noHBand="0" w:noVBand="1" w:val="04A0"/>
        <w:tblBorders>
          <w:top w:val="single" w:sz="6" w:space="0" w:color="C9DCE3"/>
          <w:left w:val="single" w:sz="6" w:space="0" w:color="C9DCE3"/>
          <w:bottom w:val="single" w:sz="6" w:space="0" w:color="C9DCE3"/>
          <w:right w:val="single" w:sz="6" w:space="0" w:color="C9DCE3"/>
          <w:insideH w:val="single" w:sz="6" w:space="0" w:color="C9DCE3"/>
          <w:insideV w:val="single" w:sz="6" w:space="0" w:color="C9DCE3"/>
        </w:tblBorders>
      </w:tblPr>
      <w:tblGrid>
        <w:gridCol w:w="10224"/>
      </w:tblGrid>
      <w:tr>
        <w:tc>
          <w:tcPr>
            <w:tcW w:type="dxa" w:w="10224"/>
            <w:shd w:fill="EAF2F5"/>
          </w:tcPr>
          <w:p>
            <w:pPr>
              <w:spacing w:after="40"/>
            </w:pPr>
            <w:r>
              <w:rPr>
                <w:rFonts w:ascii="Aptos Display" w:hAnsi="Aptos Display"/>
                <w:b/>
                <w:color w:val="17365D"/>
                <w:sz w:val="25"/>
              </w:rPr>
              <w:t>Q9. How does observed demand vary across the different unit-price levels shown in the Pivot Table?</w:t>
            </w:r>
          </w:p>
          <w:p>
            <w:pPr>
              <w:spacing w:after="0"/>
            </w:pPr>
            <w:r>
              <w:rPr>
                <w:b/>
                <w:color w:val="176B87"/>
              </w:rPr>
              <w:t xml:space="preserve">Analytical purpose: </w:t>
            </w:r>
            <w:r>
              <w:rPr>
                <w:rFonts w:ascii="Aptos" w:hAnsi="Aptos"/>
                <w:color w:val="222222"/>
                <w:sz w:val="19"/>
              </w:rPr>
              <w:t>Compare both units sold and transaction count to understand demand at different price points.</w:t>
            </w:r>
          </w:p>
        </w:tc>
      </w:tr>
    </w:tbl>
    <w:p>
      <w:pPr>
        <w:spacing w:after="20"/>
      </w:pPr>
    </w:p>
    <w:tbl>
      <w:tblPr>
        <w:tblW w:type="auto" w:w="0"/>
        <w:jc w:val="center"/>
        <w:tblLayout w:type="autofit"/>
        <w:tblLook w:firstColumn="1" w:firstRow="1" w:lastColumn="0" w:lastRow="0" w:noHBand="0" w:noVBand="1" w:val="04A0"/>
        <w:tblBorders>
          <w:top w:val="single" w:sz="6" w:space="0" w:color="B7C7CF"/>
          <w:left w:val="single" w:sz="6" w:space="0" w:color="B7C7CF"/>
          <w:bottom w:val="single" w:sz="6" w:space="0" w:color="B7C7CF"/>
          <w:right w:val="single" w:sz="6" w:space="0" w:color="B7C7CF"/>
          <w:insideH w:val="single" w:sz="6" w:space="0" w:color="B7C7CF"/>
          <w:insideV w:val="single" w:sz="6" w:space="0" w:color="B7C7CF"/>
        </w:tblBorders>
      </w:tblPr>
      <w:tblGrid>
        <w:gridCol w:w="3408"/>
        <w:gridCol w:w="3408"/>
        <w:gridCol w:w="3408"/>
      </w:tblGrid>
      <w:tr>
        <w:tc>
          <w:tcPr>
            <w:tcW w:type="dxa" w:w="3408"/>
            <w:shd w:fill="17365D"/>
            <w:vAlign w:val="center"/>
          </w:tcPr>
          <w:p>
            <w:pPr>
              <w:jc w:val="center"/>
            </w:pPr>
            <w:r/>
            <w:r>
              <w:rPr>
                <w:rFonts w:ascii="Aptos" w:hAnsi="Aptos"/>
                <w:b/>
                <w:color w:val="FFFFFF"/>
                <w:sz w:val="19"/>
              </w:rPr>
              <w:t>Unit Price</w:t>
            </w:r>
          </w:p>
        </w:tc>
        <w:tc>
          <w:tcPr>
            <w:tcW w:type="dxa" w:w="3408"/>
            <w:shd w:fill="17365D"/>
            <w:vAlign w:val="center"/>
          </w:tcPr>
          <w:p>
            <w:pPr>
              <w:jc w:val="center"/>
            </w:pPr>
            <w:r/>
            <w:r>
              <w:rPr>
                <w:rFonts w:ascii="Aptos" w:hAnsi="Aptos"/>
                <w:b/>
                <w:color w:val="FFFFFF"/>
                <w:sz w:val="19"/>
              </w:rPr>
              <w:t>Units Sold</w:t>
            </w:r>
          </w:p>
        </w:tc>
        <w:tc>
          <w:tcPr>
            <w:tcW w:type="dxa" w:w="3408"/>
            <w:shd w:fill="17365D"/>
            <w:vAlign w:val="center"/>
          </w:tcPr>
          <w:p>
            <w:pPr>
              <w:jc w:val="center"/>
            </w:pPr>
            <w:r/>
            <w:r>
              <w:rPr>
                <w:rFonts w:ascii="Aptos" w:hAnsi="Aptos"/>
                <w:b/>
                <w:color w:val="FFFFFF"/>
                <w:sz w:val="19"/>
              </w:rPr>
              <w:t>Transactions</w:t>
            </w:r>
          </w:p>
        </w:tc>
      </w:tr>
      <w:tr>
        <w:tc>
          <w:tcPr>
            <w:tcW w:type="dxa" w:w="3408"/>
            <w:shd w:fill="F5F8FA"/>
            <w:vAlign w:val="center"/>
          </w:tcPr>
          <w:p>
            <w:pPr>
              <w:jc w:val="left"/>
            </w:pPr>
            <w:r/>
            <w:r>
              <w:rPr>
                <w:rFonts w:ascii="Aptos" w:hAnsi="Aptos"/>
                <w:b w:val="0"/>
                <w:color w:val="222222"/>
                <w:sz w:val="19"/>
              </w:rPr>
              <w:t>850</w:t>
            </w:r>
          </w:p>
        </w:tc>
        <w:tc>
          <w:tcPr>
            <w:tcW w:type="dxa" w:w="3408"/>
            <w:shd w:fill="F5F8FA"/>
            <w:vAlign w:val="center"/>
          </w:tcPr>
          <w:p>
            <w:pPr>
              <w:jc w:val="center"/>
            </w:pPr>
            <w:r/>
            <w:r>
              <w:rPr>
                <w:rFonts w:ascii="Aptos" w:hAnsi="Aptos"/>
                <w:b w:val="0"/>
                <w:color w:val="222222"/>
                <w:sz w:val="19"/>
              </w:rPr>
              <w:t>342</w:t>
            </w:r>
          </w:p>
        </w:tc>
        <w:tc>
          <w:tcPr>
            <w:tcW w:type="dxa" w:w="3408"/>
            <w:shd w:fill="F5F8FA"/>
            <w:vAlign w:val="center"/>
          </w:tcPr>
          <w:p>
            <w:pPr>
              <w:jc w:val="center"/>
            </w:pPr>
            <w:r/>
            <w:r>
              <w:rPr>
                <w:rFonts w:ascii="Aptos" w:hAnsi="Aptos"/>
                <w:b w:val="0"/>
                <w:color w:val="222222"/>
                <w:sz w:val="19"/>
              </w:rPr>
              <w:t>177</w:t>
            </w:r>
          </w:p>
        </w:tc>
      </w:tr>
      <w:tr>
        <w:tc>
          <w:tcPr>
            <w:tcW w:type="dxa" w:w="3408"/>
            <w:vAlign w:val="center"/>
          </w:tcPr>
          <w:p>
            <w:pPr>
              <w:jc w:val="left"/>
            </w:pPr>
            <w:r/>
            <w:r>
              <w:rPr>
                <w:rFonts w:ascii="Aptos" w:hAnsi="Aptos"/>
                <w:b w:val="0"/>
                <w:color w:val="222222"/>
                <w:sz w:val="19"/>
              </w:rPr>
              <w:t>920</w:t>
            </w:r>
          </w:p>
        </w:tc>
        <w:tc>
          <w:tcPr>
            <w:tcW w:type="dxa" w:w="3408"/>
            <w:vAlign w:val="center"/>
          </w:tcPr>
          <w:p>
            <w:pPr>
              <w:jc w:val="center"/>
            </w:pPr>
            <w:r/>
            <w:r>
              <w:rPr>
                <w:rFonts w:ascii="Aptos" w:hAnsi="Aptos"/>
                <w:b w:val="0"/>
                <w:color w:val="222222"/>
                <w:sz w:val="19"/>
              </w:rPr>
              <w:t>235</w:t>
            </w:r>
          </w:p>
        </w:tc>
        <w:tc>
          <w:tcPr>
            <w:tcW w:type="dxa" w:w="3408"/>
            <w:vAlign w:val="center"/>
          </w:tcPr>
          <w:p>
            <w:pPr>
              <w:jc w:val="center"/>
            </w:pPr>
            <w:r/>
            <w:r>
              <w:rPr>
                <w:rFonts w:ascii="Aptos" w:hAnsi="Aptos"/>
                <w:b w:val="0"/>
                <w:color w:val="222222"/>
                <w:sz w:val="19"/>
              </w:rPr>
              <w:t>119</w:t>
            </w:r>
          </w:p>
        </w:tc>
      </w:tr>
      <w:tr>
        <w:tc>
          <w:tcPr>
            <w:tcW w:type="dxa" w:w="3408"/>
            <w:shd w:fill="F5F8FA"/>
            <w:vAlign w:val="center"/>
          </w:tcPr>
          <w:p>
            <w:pPr>
              <w:jc w:val="left"/>
            </w:pPr>
            <w:r/>
            <w:r>
              <w:rPr>
                <w:rFonts w:ascii="Aptos" w:hAnsi="Aptos"/>
                <w:b w:val="0"/>
                <w:color w:val="222222"/>
                <w:sz w:val="19"/>
              </w:rPr>
              <w:t>1,100</w:t>
            </w:r>
          </w:p>
        </w:tc>
        <w:tc>
          <w:tcPr>
            <w:tcW w:type="dxa" w:w="3408"/>
            <w:shd w:fill="F5F8FA"/>
            <w:vAlign w:val="center"/>
          </w:tcPr>
          <w:p>
            <w:pPr>
              <w:jc w:val="center"/>
            </w:pPr>
            <w:r/>
            <w:r>
              <w:rPr>
                <w:rFonts w:ascii="Aptos" w:hAnsi="Aptos"/>
                <w:b w:val="0"/>
                <w:color w:val="222222"/>
                <w:sz w:val="19"/>
              </w:rPr>
              <w:t>198</w:t>
            </w:r>
          </w:p>
        </w:tc>
        <w:tc>
          <w:tcPr>
            <w:tcW w:type="dxa" w:w="3408"/>
            <w:shd w:fill="F5F8FA"/>
            <w:vAlign w:val="center"/>
          </w:tcPr>
          <w:p>
            <w:pPr>
              <w:jc w:val="center"/>
            </w:pPr>
            <w:r/>
            <w:r>
              <w:rPr>
                <w:rFonts w:ascii="Aptos" w:hAnsi="Aptos"/>
                <w:b w:val="0"/>
                <w:color w:val="222222"/>
                <w:sz w:val="19"/>
              </w:rPr>
              <w:t>94</w:t>
            </w:r>
          </w:p>
        </w:tc>
      </w:tr>
      <w:tr>
        <w:tc>
          <w:tcPr>
            <w:tcW w:type="dxa" w:w="3408"/>
            <w:vAlign w:val="center"/>
          </w:tcPr>
          <w:p>
            <w:pPr>
              <w:jc w:val="left"/>
            </w:pPr>
            <w:r/>
            <w:r>
              <w:rPr>
                <w:rFonts w:ascii="Aptos" w:hAnsi="Aptos"/>
                <w:b w:val="0"/>
                <w:color w:val="222222"/>
                <w:sz w:val="19"/>
              </w:rPr>
              <w:t>800</w:t>
            </w:r>
          </w:p>
        </w:tc>
        <w:tc>
          <w:tcPr>
            <w:tcW w:type="dxa" w:w="3408"/>
            <w:vAlign w:val="center"/>
          </w:tcPr>
          <w:p>
            <w:pPr>
              <w:jc w:val="center"/>
            </w:pPr>
            <w:r/>
            <w:r>
              <w:rPr>
                <w:rFonts w:ascii="Aptos" w:hAnsi="Aptos"/>
                <w:b w:val="0"/>
                <w:color w:val="222222"/>
                <w:sz w:val="19"/>
              </w:rPr>
              <w:t>176</w:t>
            </w:r>
          </w:p>
        </w:tc>
        <w:tc>
          <w:tcPr>
            <w:tcW w:type="dxa" w:w="3408"/>
            <w:vAlign w:val="center"/>
          </w:tcPr>
          <w:p>
            <w:pPr>
              <w:jc w:val="center"/>
            </w:pPr>
            <w:r/>
            <w:r>
              <w:rPr>
                <w:rFonts w:ascii="Aptos" w:hAnsi="Aptos"/>
                <w:b w:val="0"/>
                <w:color w:val="222222"/>
                <w:sz w:val="19"/>
              </w:rPr>
              <w:t>98</w:t>
            </w:r>
          </w:p>
        </w:tc>
      </w:tr>
      <w:tr>
        <w:tc>
          <w:tcPr>
            <w:tcW w:type="dxa" w:w="3408"/>
            <w:shd w:fill="F5F8FA"/>
            <w:vAlign w:val="center"/>
          </w:tcPr>
          <w:p>
            <w:pPr>
              <w:jc w:val="left"/>
            </w:pPr>
            <w:r/>
            <w:r>
              <w:rPr>
                <w:rFonts w:ascii="Aptos" w:hAnsi="Aptos"/>
                <w:b w:val="0"/>
                <w:color w:val="222222"/>
                <w:sz w:val="19"/>
              </w:rPr>
              <w:t>1,400</w:t>
            </w:r>
          </w:p>
        </w:tc>
        <w:tc>
          <w:tcPr>
            <w:tcW w:type="dxa" w:w="3408"/>
            <w:shd w:fill="F5F8FA"/>
            <w:vAlign w:val="center"/>
          </w:tcPr>
          <w:p>
            <w:pPr>
              <w:jc w:val="center"/>
            </w:pPr>
            <w:r/>
            <w:r>
              <w:rPr>
                <w:rFonts w:ascii="Aptos" w:hAnsi="Aptos"/>
                <w:b w:val="0"/>
                <w:color w:val="222222"/>
                <w:sz w:val="19"/>
              </w:rPr>
              <w:t>175</w:t>
            </w:r>
          </w:p>
        </w:tc>
        <w:tc>
          <w:tcPr>
            <w:tcW w:type="dxa" w:w="3408"/>
            <w:shd w:fill="F5F8FA"/>
            <w:vAlign w:val="center"/>
          </w:tcPr>
          <w:p>
            <w:pPr>
              <w:jc w:val="center"/>
            </w:pPr>
            <w:r/>
            <w:r>
              <w:rPr>
                <w:rFonts w:ascii="Aptos" w:hAnsi="Aptos"/>
                <w:b w:val="0"/>
                <w:color w:val="222222"/>
                <w:sz w:val="19"/>
              </w:rPr>
              <w:t>87</w:t>
            </w:r>
          </w:p>
        </w:tc>
      </w:tr>
    </w:tbl>
    <w:p>
      <w:pPr>
        <w:spacing w:after="40"/>
      </w:pPr>
    </w:p>
    <w:p>
      <w:pPr>
        <w:spacing w:after="160"/>
      </w:pPr>
      <w:r>
        <w:rPr>
          <w:rFonts w:ascii="Aptos" w:hAnsi="Aptos"/>
          <w:b/>
          <w:color w:val="E67E22"/>
          <w:sz w:val="21"/>
        </w:rPr>
        <w:t xml:space="preserve">Answer / Insight: </w:t>
      </w:r>
      <w:r>
        <w:rPr>
          <w:rFonts w:ascii="Aptos" w:hAnsi="Aptos"/>
          <w:color w:val="222222"/>
          <w:sz w:val="21"/>
        </w:rPr>
        <w:t>The 850 price level records the highest observed demand, with 342 units sold across 177 transactions. The 1,400 price level records the lowest units sold among the listed price levels, at 175 units.</w:t>
      </w:r>
    </w:p>
    <w:tbl>
      <w:tblPr>
        <w:tblW w:type="auto" w:w="0"/>
        <w:jc w:val="center"/>
        <w:tblLook w:firstColumn="1" w:firstRow="1" w:lastColumn="0" w:lastRow="0" w:noHBand="0" w:noVBand="1" w:val="04A0"/>
        <w:tblBorders>
          <w:top w:val="single" w:sz="6" w:space="0" w:color="C9DCE3"/>
          <w:left w:val="single" w:sz="6" w:space="0" w:color="C9DCE3"/>
          <w:bottom w:val="single" w:sz="6" w:space="0" w:color="C9DCE3"/>
          <w:right w:val="single" w:sz="6" w:space="0" w:color="C9DCE3"/>
          <w:insideH w:val="single" w:sz="6" w:space="0" w:color="C9DCE3"/>
          <w:insideV w:val="single" w:sz="6" w:space="0" w:color="C9DCE3"/>
        </w:tblBorders>
      </w:tblPr>
      <w:tblGrid>
        <w:gridCol w:w="10224"/>
      </w:tblGrid>
      <w:tr>
        <w:tc>
          <w:tcPr>
            <w:tcW w:type="dxa" w:w="10224"/>
            <w:shd w:fill="EAF2F5"/>
          </w:tcPr>
          <w:p>
            <w:pPr>
              <w:spacing w:after="40"/>
            </w:pPr>
            <w:r>
              <w:rPr>
                <w:rFonts w:ascii="Aptos Display" w:hAnsi="Aptos Display"/>
                <w:b/>
                <w:color w:val="17365D"/>
                <w:sz w:val="25"/>
              </w:rPr>
              <w:t>Q10. Which states record the highest number of sales transactions within each country?</w:t>
            </w:r>
          </w:p>
          <w:p>
            <w:pPr>
              <w:spacing w:after="0"/>
            </w:pPr>
            <w:r>
              <w:rPr>
                <w:b/>
                <w:color w:val="176B87"/>
              </w:rPr>
              <w:t xml:space="preserve">Analytical purpose: </w:t>
            </w:r>
            <w:r>
              <w:rPr>
                <w:rFonts w:ascii="Aptos" w:hAnsi="Aptos"/>
                <w:color w:val="222222"/>
                <w:sz w:val="19"/>
              </w:rPr>
              <w:t>Combine country and state dimensions to identify the strongest transaction location inside each country.</w:t>
            </w:r>
          </w:p>
        </w:tc>
      </w:tr>
    </w:tbl>
    <w:p>
      <w:pPr>
        <w:spacing w:after="20"/>
      </w:pPr>
    </w:p>
    <w:tbl>
      <w:tblPr>
        <w:tblW w:type="auto" w:w="0"/>
        <w:jc w:val="center"/>
        <w:tblLayout w:type="autofit"/>
        <w:tblLook w:firstColumn="1" w:firstRow="1" w:lastColumn="0" w:lastRow="0" w:noHBand="0" w:noVBand="1" w:val="04A0"/>
        <w:tblBorders>
          <w:top w:val="single" w:sz="6" w:space="0" w:color="B7C7CF"/>
          <w:left w:val="single" w:sz="6" w:space="0" w:color="B7C7CF"/>
          <w:bottom w:val="single" w:sz="6" w:space="0" w:color="B7C7CF"/>
          <w:right w:val="single" w:sz="6" w:space="0" w:color="B7C7CF"/>
          <w:insideH w:val="single" w:sz="6" w:space="0" w:color="B7C7CF"/>
          <w:insideV w:val="single" w:sz="6" w:space="0" w:color="B7C7CF"/>
        </w:tblBorders>
      </w:tblPr>
      <w:tblGrid>
        <w:gridCol w:w="3408"/>
        <w:gridCol w:w="3408"/>
        <w:gridCol w:w="3408"/>
      </w:tblGrid>
      <w:tr>
        <w:tc>
          <w:tcPr>
            <w:tcW w:type="dxa" w:w="3408"/>
            <w:shd w:fill="17365D"/>
            <w:vAlign w:val="center"/>
          </w:tcPr>
          <w:p>
            <w:pPr>
              <w:jc w:val="center"/>
            </w:pPr>
            <w:r/>
            <w:r>
              <w:rPr>
                <w:rFonts w:ascii="Aptos" w:hAnsi="Aptos"/>
                <w:b/>
                <w:color w:val="FFFFFF"/>
                <w:sz w:val="19"/>
              </w:rPr>
              <w:t>Country</w:t>
            </w:r>
          </w:p>
        </w:tc>
        <w:tc>
          <w:tcPr>
            <w:tcW w:type="dxa" w:w="3408"/>
            <w:shd w:fill="17365D"/>
            <w:vAlign w:val="center"/>
          </w:tcPr>
          <w:p>
            <w:pPr>
              <w:jc w:val="center"/>
            </w:pPr>
            <w:r/>
            <w:r>
              <w:rPr>
                <w:rFonts w:ascii="Aptos" w:hAnsi="Aptos"/>
                <w:b/>
                <w:color w:val="FFFFFF"/>
                <w:sz w:val="19"/>
              </w:rPr>
              <w:t>Top State</w:t>
            </w:r>
          </w:p>
        </w:tc>
        <w:tc>
          <w:tcPr>
            <w:tcW w:type="dxa" w:w="3408"/>
            <w:shd w:fill="17365D"/>
            <w:vAlign w:val="center"/>
          </w:tcPr>
          <w:p>
            <w:pPr>
              <w:jc w:val="center"/>
            </w:pPr>
            <w:r/>
            <w:r>
              <w:rPr>
                <w:rFonts w:ascii="Aptos" w:hAnsi="Aptos"/>
                <w:b/>
                <w:color w:val="FFFFFF"/>
                <w:sz w:val="19"/>
              </w:rPr>
              <w:t>Count of Date (Transactions)</w:t>
            </w:r>
          </w:p>
        </w:tc>
      </w:tr>
      <w:tr>
        <w:tc>
          <w:tcPr>
            <w:tcW w:type="dxa" w:w="3408"/>
            <w:shd w:fill="F5F8FA"/>
            <w:vAlign w:val="center"/>
          </w:tcPr>
          <w:p>
            <w:pPr>
              <w:jc w:val="left"/>
            </w:pPr>
            <w:r/>
            <w:r>
              <w:rPr>
                <w:rFonts w:ascii="Aptos" w:hAnsi="Aptos"/>
                <w:b w:val="0"/>
                <w:color w:val="222222"/>
                <w:sz w:val="19"/>
              </w:rPr>
              <w:t>Australia</w:t>
            </w:r>
          </w:p>
        </w:tc>
        <w:tc>
          <w:tcPr>
            <w:tcW w:type="dxa" w:w="3408"/>
            <w:shd w:fill="F5F8FA"/>
            <w:vAlign w:val="center"/>
          </w:tcPr>
          <w:p>
            <w:pPr>
              <w:jc w:val="center"/>
            </w:pPr>
            <w:r/>
            <w:r>
              <w:rPr>
                <w:rFonts w:ascii="Aptos" w:hAnsi="Aptos"/>
                <w:b w:val="0"/>
                <w:color w:val="222222"/>
                <w:sz w:val="19"/>
              </w:rPr>
              <w:t>New South Wales</w:t>
            </w:r>
          </w:p>
        </w:tc>
        <w:tc>
          <w:tcPr>
            <w:tcW w:type="dxa" w:w="3408"/>
            <w:shd w:fill="F5F8FA"/>
            <w:vAlign w:val="center"/>
          </w:tcPr>
          <w:p>
            <w:pPr>
              <w:jc w:val="center"/>
            </w:pPr>
            <w:r/>
            <w:r>
              <w:rPr>
                <w:rFonts w:ascii="Aptos" w:hAnsi="Aptos"/>
                <w:b w:val="0"/>
                <w:color w:val="222222"/>
                <w:sz w:val="19"/>
              </w:rPr>
              <w:t>266</w:t>
            </w:r>
          </w:p>
        </w:tc>
      </w:tr>
      <w:tr>
        <w:tc>
          <w:tcPr>
            <w:tcW w:type="dxa" w:w="3408"/>
            <w:vAlign w:val="center"/>
          </w:tcPr>
          <w:p>
            <w:pPr>
              <w:jc w:val="left"/>
            </w:pPr>
            <w:r/>
            <w:r>
              <w:rPr>
                <w:rFonts w:ascii="Aptos" w:hAnsi="Aptos"/>
                <w:b w:val="0"/>
                <w:color w:val="222222"/>
                <w:sz w:val="19"/>
              </w:rPr>
              <w:t>Canada</w:t>
            </w:r>
          </w:p>
        </w:tc>
        <w:tc>
          <w:tcPr>
            <w:tcW w:type="dxa" w:w="3408"/>
            <w:vAlign w:val="center"/>
          </w:tcPr>
          <w:p>
            <w:pPr>
              <w:jc w:val="center"/>
            </w:pPr>
            <w:r/>
            <w:r>
              <w:rPr>
                <w:rFonts w:ascii="Aptos" w:hAnsi="Aptos"/>
                <w:b w:val="0"/>
                <w:color w:val="222222"/>
                <w:sz w:val="19"/>
              </w:rPr>
              <w:t>British Columbia</w:t>
            </w:r>
          </w:p>
        </w:tc>
        <w:tc>
          <w:tcPr>
            <w:tcW w:type="dxa" w:w="3408"/>
            <w:vAlign w:val="center"/>
          </w:tcPr>
          <w:p>
            <w:pPr>
              <w:jc w:val="center"/>
            </w:pPr>
            <w:r/>
            <w:r>
              <w:rPr>
                <w:rFonts w:ascii="Aptos" w:hAnsi="Aptos"/>
                <w:b w:val="0"/>
                <w:color w:val="222222"/>
                <w:sz w:val="19"/>
              </w:rPr>
              <w:t>38</w:t>
            </w:r>
          </w:p>
        </w:tc>
      </w:tr>
      <w:tr>
        <w:tc>
          <w:tcPr>
            <w:tcW w:type="dxa" w:w="3408"/>
            <w:shd w:fill="F5F8FA"/>
            <w:vAlign w:val="center"/>
          </w:tcPr>
          <w:p>
            <w:pPr>
              <w:jc w:val="left"/>
            </w:pPr>
            <w:r/>
            <w:r>
              <w:rPr>
                <w:rFonts w:ascii="Aptos" w:hAnsi="Aptos"/>
                <w:b w:val="0"/>
                <w:color w:val="222222"/>
                <w:sz w:val="19"/>
              </w:rPr>
              <w:t>France</w:t>
            </w:r>
          </w:p>
        </w:tc>
        <w:tc>
          <w:tcPr>
            <w:tcW w:type="dxa" w:w="3408"/>
            <w:shd w:fill="F5F8FA"/>
            <w:vAlign w:val="center"/>
          </w:tcPr>
          <w:p>
            <w:pPr>
              <w:jc w:val="center"/>
            </w:pPr>
            <w:r/>
            <w:r>
              <w:rPr>
                <w:rFonts w:ascii="Aptos" w:hAnsi="Aptos"/>
                <w:b w:val="0"/>
                <w:color w:val="222222"/>
                <w:sz w:val="19"/>
              </w:rPr>
              <w:t>Seine (Paris)</w:t>
            </w:r>
          </w:p>
        </w:tc>
        <w:tc>
          <w:tcPr>
            <w:tcW w:type="dxa" w:w="3408"/>
            <w:shd w:fill="F5F8FA"/>
            <w:vAlign w:val="center"/>
          </w:tcPr>
          <w:p>
            <w:pPr>
              <w:jc w:val="center"/>
            </w:pPr>
            <w:r/>
            <w:r>
              <w:rPr>
                <w:rFonts w:ascii="Aptos" w:hAnsi="Aptos"/>
                <w:b w:val="0"/>
                <w:color w:val="222222"/>
                <w:sz w:val="19"/>
              </w:rPr>
              <w:t>82</w:t>
            </w:r>
          </w:p>
        </w:tc>
      </w:tr>
      <w:tr>
        <w:tc>
          <w:tcPr>
            <w:tcW w:type="dxa" w:w="3408"/>
            <w:vAlign w:val="center"/>
          </w:tcPr>
          <w:p>
            <w:pPr>
              <w:jc w:val="left"/>
            </w:pPr>
            <w:r/>
            <w:r>
              <w:rPr>
                <w:rFonts w:ascii="Aptos" w:hAnsi="Aptos"/>
                <w:b w:val="0"/>
                <w:color w:val="222222"/>
                <w:sz w:val="19"/>
              </w:rPr>
              <w:t>Germany</w:t>
            </w:r>
          </w:p>
        </w:tc>
        <w:tc>
          <w:tcPr>
            <w:tcW w:type="dxa" w:w="3408"/>
            <w:vAlign w:val="center"/>
          </w:tcPr>
          <w:p>
            <w:pPr>
              <w:jc w:val="center"/>
            </w:pPr>
            <w:r/>
            <w:r>
              <w:rPr>
                <w:rFonts w:ascii="Aptos" w:hAnsi="Aptos"/>
                <w:b w:val="0"/>
                <w:color w:val="222222"/>
                <w:sz w:val="19"/>
              </w:rPr>
              <w:t>Hessen</w:t>
            </w:r>
          </w:p>
        </w:tc>
        <w:tc>
          <w:tcPr>
            <w:tcW w:type="dxa" w:w="3408"/>
            <w:vAlign w:val="center"/>
          </w:tcPr>
          <w:p>
            <w:pPr>
              <w:jc w:val="center"/>
            </w:pPr>
            <w:r/>
            <w:r>
              <w:rPr>
                <w:rFonts w:ascii="Aptos" w:hAnsi="Aptos"/>
                <w:b w:val="0"/>
                <w:color w:val="222222"/>
                <w:sz w:val="19"/>
              </w:rPr>
              <w:t>78</w:t>
            </w:r>
          </w:p>
        </w:tc>
      </w:tr>
      <w:tr>
        <w:tc>
          <w:tcPr>
            <w:tcW w:type="dxa" w:w="3408"/>
            <w:shd w:fill="F5F8FA"/>
            <w:vAlign w:val="center"/>
          </w:tcPr>
          <w:p>
            <w:pPr>
              <w:jc w:val="left"/>
            </w:pPr>
            <w:r/>
            <w:r>
              <w:rPr>
                <w:rFonts w:ascii="Aptos" w:hAnsi="Aptos"/>
                <w:b w:val="0"/>
                <w:color w:val="222222"/>
                <w:sz w:val="19"/>
              </w:rPr>
              <w:t>United Kingdom</w:t>
            </w:r>
          </w:p>
        </w:tc>
        <w:tc>
          <w:tcPr>
            <w:tcW w:type="dxa" w:w="3408"/>
            <w:shd w:fill="F5F8FA"/>
            <w:vAlign w:val="center"/>
          </w:tcPr>
          <w:p>
            <w:pPr>
              <w:jc w:val="center"/>
            </w:pPr>
            <w:r/>
            <w:r>
              <w:rPr>
                <w:rFonts w:ascii="Aptos" w:hAnsi="Aptos"/>
                <w:b w:val="0"/>
                <w:color w:val="222222"/>
                <w:sz w:val="19"/>
              </w:rPr>
              <w:t>England</w:t>
            </w:r>
          </w:p>
        </w:tc>
        <w:tc>
          <w:tcPr>
            <w:tcW w:type="dxa" w:w="3408"/>
            <w:shd w:fill="F5F8FA"/>
            <w:vAlign w:val="center"/>
          </w:tcPr>
          <w:p>
            <w:pPr>
              <w:jc w:val="center"/>
            </w:pPr>
            <w:r/>
            <w:r>
              <w:rPr>
                <w:rFonts w:ascii="Aptos" w:hAnsi="Aptos"/>
                <w:b w:val="0"/>
                <w:color w:val="222222"/>
                <w:sz w:val="19"/>
              </w:rPr>
              <w:t>96</w:t>
            </w:r>
          </w:p>
        </w:tc>
      </w:tr>
      <w:tr>
        <w:tc>
          <w:tcPr>
            <w:tcW w:type="dxa" w:w="3408"/>
            <w:vAlign w:val="center"/>
          </w:tcPr>
          <w:p>
            <w:pPr>
              <w:jc w:val="left"/>
            </w:pPr>
            <w:r/>
            <w:r>
              <w:rPr>
                <w:rFonts w:ascii="Aptos" w:hAnsi="Aptos"/>
                <w:b w:val="0"/>
                <w:color w:val="222222"/>
                <w:sz w:val="19"/>
              </w:rPr>
              <w:t>United States</w:t>
            </w:r>
          </w:p>
        </w:tc>
        <w:tc>
          <w:tcPr>
            <w:tcW w:type="dxa" w:w="3408"/>
            <w:vAlign w:val="center"/>
          </w:tcPr>
          <w:p>
            <w:pPr>
              <w:jc w:val="center"/>
            </w:pPr>
            <w:r/>
            <w:r>
              <w:rPr>
                <w:rFonts w:ascii="Aptos" w:hAnsi="Aptos"/>
                <w:b w:val="0"/>
                <w:color w:val="222222"/>
                <w:sz w:val="19"/>
              </w:rPr>
              <w:t>California</w:t>
            </w:r>
          </w:p>
        </w:tc>
        <w:tc>
          <w:tcPr>
            <w:tcW w:type="dxa" w:w="3408"/>
            <w:vAlign w:val="center"/>
          </w:tcPr>
          <w:p>
            <w:pPr>
              <w:jc w:val="center"/>
            </w:pPr>
            <w:r/>
            <w:r>
              <w:rPr>
                <w:rFonts w:ascii="Aptos" w:hAnsi="Aptos"/>
                <w:b w:val="0"/>
                <w:color w:val="222222"/>
                <w:sz w:val="19"/>
              </w:rPr>
              <w:t>192</w:t>
            </w:r>
          </w:p>
        </w:tc>
      </w:tr>
    </w:tbl>
    <w:p>
      <w:pPr>
        <w:spacing w:after="40"/>
      </w:pPr>
    </w:p>
    <w:p>
      <w:pPr>
        <w:spacing w:after="160"/>
      </w:pPr>
      <w:r>
        <w:rPr>
          <w:rFonts w:ascii="Aptos" w:hAnsi="Aptos"/>
          <w:b/>
          <w:color w:val="E67E22"/>
          <w:sz w:val="21"/>
        </w:rPr>
        <w:t xml:space="preserve">Answer / Insight: </w:t>
      </w:r>
      <w:r>
        <w:rPr>
          <w:rFonts w:ascii="Aptos" w:hAnsi="Aptos"/>
          <w:color w:val="222222"/>
          <w:sz w:val="21"/>
        </w:rPr>
        <w:t>The leading transaction states are New South Wales (Australia), California (United States), England (United Kingdom), Seine (Paris) (France), Hessen (Germany), and British Columbia (Canada).</w:t>
      </w:r>
    </w:p>
    <w:p>
      <w:pPr>
        <w:spacing w:before="200" w:after="100"/>
      </w:pPr>
      <w:r>
        <w:rPr>
          <w:rFonts w:ascii="Aptos Display" w:hAnsi="Aptos Display"/>
          <w:b/>
          <w:color w:val="17365D"/>
          <w:sz w:val="32"/>
        </w:rPr>
        <w:t>4. Key Findings</w:t>
      </w:r>
    </w:p>
    <w:tbl>
      <w:tblPr>
        <w:tblW w:type="auto" w:w="0"/>
        <w:jc w:val="center"/>
        <w:tblLayout w:type="autofit"/>
        <w:tblLook w:firstColumn="1" w:firstRow="1" w:lastColumn="0" w:lastRow="0" w:noHBand="0" w:noVBand="1" w:val="04A0"/>
        <w:tblBorders>
          <w:top w:val="single" w:sz="6" w:space="0" w:color="B7C7CF"/>
          <w:left w:val="single" w:sz="6" w:space="0" w:color="B7C7CF"/>
          <w:bottom w:val="single" w:sz="6" w:space="0" w:color="B7C7CF"/>
          <w:right w:val="single" w:sz="6" w:space="0" w:color="B7C7CF"/>
          <w:insideH w:val="single" w:sz="6" w:space="0" w:color="B7C7CF"/>
          <w:insideV w:val="single" w:sz="6" w:space="0" w:color="B7C7CF"/>
        </w:tblBorders>
      </w:tblPr>
      <w:tblGrid>
        <w:gridCol w:w="5112"/>
        <w:gridCol w:w="5112"/>
      </w:tblGrid>
      <w:tr>
        <w:tc>
          <w:tcPr>
            <w:tcW w:type="dxa" w:w="5112"/>
            <w:shd w:fill="17365D"/>
            <w:vAlign w:val="center"/>
          </w:tcPr>
          <w:p>
            <w:pPr>
              <w:jc w:val="center"/>
            </w:pPr>
            <w:r/>
            <w:r>
              <w:rPr>
                <w:rFonts w:ascii="Aptos" w:hAnsi="Aptos"/>
                <w:b/>
                <w:color w:val="FFFFFF"/>
                <w:sz w:val="19"/>
              </w:rPr>
              <w:t>Area</w:t>
            </w:r>
          </w:p>
        </w:tc>
        <w:tc>
          <w:tcPr>
            <w:tcW w:type="dxa" w:w="5112"/>
            <w:shd w:fill="17365D"/>
            <w:vAlign w:val="center"/>
          </w:tcPr>
          <w:p>
            <w:pPr>
              <w:jc w:val="center"/>
            </w:pPr>
            <w:r/>
            <w:r>
              <w:rPr>
                <w:rFonts w:ascii="Aptos" w:hAnsi="Aptos"/>
                <w:b/>
                <w:color w:val="FFFFFF"/>
                <w:sz w:val="19"/>
              </w:rPr>
              <w:t>Finding</w:t>
            </w:r>
          </w:p>
        </w:tc>
      </w:tr>
      <w:tr>
        <w:tc>
          <w:tcPr>
            <w:tcW w:type="dxa" w:w="5112"/>
            <w:shd w:fill="F5F8FA"/>
            <w:vAlign w:val="center"/>
          </w:tcPr>
          <w:p>
            <w:pPr>
              <w:jc w:val="left"/>
            </w:pPr>
            <w:r/>
            <w:r>
              <w:rPr>
                <w:rFonts w:ascii="Aptos" w:hAnsi="Aptos"/>
                <w:b w:val="0"/>
                <w:color w:val="222222"/>
                <w:sz w:val="19"/>
              </w:rPr>
              <w:t>Geographic Performance</w:t>
            </w:r>
          </w:p>
        </w:tc>
        <w:tc>
          <w:tcPr>
            <w:tcW w:type="dxa" w:w="5112"/>
            <w:shd w:fill="F5F8FA"/>
            <w:vAlign w:val="center"/>
          </w:tcPr>
          <w:p>
            <w:pPr>
              <w:jc w:val="center"/>
            </w:pPr>
            <w:r/>
            <w:r>
              <w:rPr>
                <w:rFonts w:ascii="Aptos" w:hAnsi="Aptos"/>
                <w:b w:val="0"/>
                <w:color w:val="222222"/>
                <w:sz w:val="19"/>
              </w:rPr>
              <w:t>Australia records the highest Total Sales and Profit in the current Country Pivot Table.</w:t>
            </w:r>
          </w:p>
        </w:tc>
      </w:tr>
      <w:tr>
        <w:tc>
          <w:tcPr>
            <w:tcW w:type="dxa" w:w="5112"/>
            <w:vAlign w:val="center"/>
          </w:tcPr>
          <w:p>
            <w:pPr>
              <w:jc w:val="left"/>
            </w:pPr>
            <w:r/>
            <w:r>
              <w:rPr>
                <w:rFonts w:ascii="Aptos" w:hAnsi="Aptos"/>
                <w:b w:val="0"/>
                <w:color w:val="222222"/>
                <w:sz w:val="19"/>
              </w:rPr>
              <w:t>Product Demand</w:t>
            </w:r>
          </w:p>
        </w:tc>
        <w:tc>
          <w:tcPr>
            <w:tcW w:type="dxa" w:w="5112"/>
            <w:vAlign w:val="center"/>
          </w:tcPr>
          <w:p>
            <w:pPr>
              <w:jc w:val="center"/>
            </w:pPr>
            <w:r/>
            <w:r>
              <w:rPr>
                <w:rFonts w:ascii="Aptos" w:hAnsi="Aptos"/>
                <w:b w:val="0"/>
                <w:color w:val="222222"/>
                <w:sz w:val="19"/>
              </w:rPr>
              <w:t>Road Bikes lead both order count and units sold.</w:t>
            </w:r>
          </w:p>
        </w:tc>
      </w:tr>
      <w:tr>
        <w:tc>
          <w:tcPr>
            <w:tcW w:type="dxa" w:w="5112"/>
            <w:shd w:fill="F5F8FA"/>
            <w:vAlign w:val="center"/>
          </w:tcPr>
          <w:p>
            <w:pPr>
              <w:jc w:val="left"/>
            </w:pPr>
            <w:r/>
            <w:r>
              <w:rPr>
                <w:rFonts w:ascii="Aptos" w:hAnsi="Aptos"/>
                <w:b w:val="0"/>
                <w:color w:val="222222"/>
                <w:sz w:val="19"/>
              </w:rPr>
              <w:t>Customer Segment</w:t>
            </w:r>
          </w:p>
        </w:tc>
        <w:tc>
          <w:tcPr>
            <w:tcW w:type="dxa" w:w="5112"/>
            <w:shd w:fill="F5F8FA"/>
            <w:vAlign w:val="center"/>
          </w:tcPr>
          <w:p>
            <w:pPr>
              <w:jc w:val="center"/>
            </w:pPr>
            <w:r/>
            <w:r>
              <w:rPr>
                <w:rFonts w:ascii="Aptos" w:hAnsi="Aptos"/>
                <w:b w:val="0"/>
                <w:color w:val="222222"/>
                <w:sz w:val="19"/>
              </w:rPr>
              <w:t>Customers aged 25–34 record the highest number of orders.</w:t>
            </w:r>
          </w:p>
        </w:tc>
      </w:tr>
      <w:tr>
        <w:tc>
          <w:tcPr>
            <w:tcW w:type="dxa" w:w="5112"/>
            <w:vAlign w:val="center"/>
          </w:tcPr>
          <w:p>
            <w:pPr>
              <w:jc w:val="left"/>
            </w:pPr>
            <w:r/>
            <w:r>
              <w:rPr>
                <w:rFonts w:ascii="Aptos" w:hAnsi="Aptos"/>
                <w:b w:val="0"/>
                <w:color w:val="222222"/>
                <w:sz w:val="19"/>
              </w:rPr>
              <w:t>Gender Behavior</w:t>
            </w:r>
          </w:p>
        </w:tc>
        <w:tc>
          <w:tcPr>
            <w:tcW w:type="dxa" w:w="5112"/>
            <w:vAlign w:val="center"/>
          </w:tcPr>
          <w:p>
            <w:pPr>
              <w:jc w:val="center"/>
            </w:pPr>
            <w:r/>
            <w:r>
              <w:rPr>
                <w:rFonts w:ascii="Aptos" w:hAnsi="Aptos"/>
                <w:b w:val="0"/>
                <w:color w:val="222222"/>
                <w:sz w:val="19"/>
              </w:rPr>
              <w:t>Female customers lead slightly in orders and units, while average quantity per order is identical.</w:t>
            </w:r>
          </w:p>
        </w:tc>
      </w:tr>
      <w:tr>
        <w:tc>
          <w:tcPr>
            <w:tcW w:type="dxa" w:w="5112"/>
            <w:shd w:fill="F5F8FA"/>
            <w:vAlign w:val="center"/>
          </w:tcPr>
          <w:p>
            <w:pPr>
              <w:jc w:val="left"/>
            </w:pPr>
            <w:r/>
            <w:r>
              <w:rPr>
                <w:rFonts w:ascii="Aptos" w:hAnsi="Aptos"/>
                <w:b w:val="0"/>
                <w:color w:val="222222"/>
                <w:sz w:val="19"/>
              </w:rPr>
              <w:t>Order Intensity</w:t>
            </w:r>
          </w:p>
        </w:tc>
        <w:tc>
          <w:tcPr>
            <w:tcW w:type="dxa" w:w="5112"/>
            <w:shd w:fill="F5F8FA"/>
            <w:vAlign w:val="center"/>
          </w:tcPr>
          <w:p>
            <w:pPr>
              <w:jc w:val="center"/>
            </w:pPr>
            <w:r/>
            <w:r>
              <w:rPr>
                <w:rFonts w:ascii="Aptos" w:hAnsi="Aptos"/>
                <w:b w:val="0"/>
                <w:color w:val="222222"/>
                <w:sz w:val="19"/>
              </w:rPr>
              <w:t>France has the highest average order quantity per transaction.</w:t>
            </w:r>
          </w:p>
        </w:tc>
      </w:tr>
      <w:tr>
        <w:tc>
          <w:tcPr>
            <w:tcW w:type="dxa" w:w="5112"/>
            <w:vAlign w:val="center"/>
          </w:tcPr>
          <w:p>
            <w:pPr>
              <w:jc w:val="left"/>
            </w:pPr>
            <w:r/>
            <w:r>
              <w:rPr>
                <w:rFonts w:ascii="Aptos" w:hAnsi="Aptos"/>
                <w:b w:val="0"/>
                <w:color w:val="222222"/>
                <w:sz w:val="19"/>
              </w:rPr>
              <w:t>Color Preference</w:t>
            </w:r>
          </w:p>
        </w:tc>
        <w:tc>
          <w:tcPr>
            <w:tcW w:type="dxa" w:w="5112"/>
            <w:vAlign w:val="center"/>
          </w:tcPr>
          <w:p>
            <w:pPr>
              <w:jc w:val="center"/>
            </w:pPr>
            <w:r/>
            <w:r>
              <w:rPr>
                <w:rFonts w:ascii="Aptos" w:hAnsi="Aptos"/>
                <w:b w:val="0"/>
                <w:color w:val="222222"/>
                <w:sz w:val="19"/>
              </w:rPr>
              <w:t>Black is the leading bike color by units sold.</w:t>
            </w:r>
          </w:p>
        </w:tc>
      </w:tr>
      <w:tr>
        <w:tc>
          <w:tcPr>
            <w:tcW w:type="dxa" w:w="5112"/>
            <w:shd w:fill="F5F8FA"/>
            <w:vAlign w:val="center"/>
          </w:tcPr>
          <w:p>
            <w:pPr>
              <w:jc w:val="left"/>
            </w:pPr>
            <w:r/>
            <w:r>
              <w:rPr>
                <w:rFonts w:ascii="Aptos" w:hAnsi="Aptos"/>
                <w:b w:val="0"/>
                <w:color w:val="222222"/>
                <w:sz w:val="19"/>
              </w:rPr>
              <w:t>Monthly Demand</w:t>
            </w:r>
          </w:p>
        </w:tc>
        <w:tc>
          <w:tcPr>
            <w:tcW w:type="dxa" w:w="5112"/>
            <w:shd w:fill="F5F8FA"/>
            <w:vAlign w:val="center"/>
          </w:tcPr>
          <w:p>
            <w:pPr>
              <w:jc w:val="center"/>
            </w:pPr>
            <w:r/>
            <w:r>
              <w:rPr>
                <w:rFonts w:ascii="Aptos" w:hAnsi="Aptos"/>
                <w:b w:val="0"/>
                <w:color w:val="222222"/>
                <w:sz w:val="19"/>
              </w:rPr>
              <w:t>December records the highest unit demand among October–December.</w:t>
            </w:r>
          </w:p>
        </w:tc>
      </w:tr>
      <w:tr>
        <w:tc>
          <w:tcPr>
            <w:tcW w:type="dxa" w:w="5112"/>
            <w:vAlign w:val="center"/>
          </w:tcPr>
          <w:p>
            <w:pPr>
              <w:jc w:val="left"/>
            </w:pPr>
            <w:r/>
            <w:r>
              <w:rPr>
                <w:rFonts w:ascii="Aptos" w:hAnsi="Aptos"/>
                <w:b w:val="0"/>
                <w:color w:val="222222"/>
                <w:sz w:val="19"/>
              </w:rPr>
              <w:t>Weekly Activity</w:t>
            </w:r>
          </w:p>
        </w:tc>
        <w:tc>
          <w:tcPr>
            <w:tcW w:type="dxa" w:w="5112"/>
            <w:vAlign w:val="center"/>
          </w:tcPr>
          <w:p>
            <w:pPr>
              <w:jc w:val="center"/>
            </w:pPr>
            <w:r/>
            <w:r>
              <w:rPr>
                <w:rFonts w:ascii="Aptos" w:hAnsi="Aptos"/>
                <w:b w:val="0"/>
                <w:color w:val="222222"/>
                <w:sz w:val="19"/>
              </w:rPr>
              <w:t>Wednesday records the highest number of transactions.</w:t>
            </w:r>
          </w:p>
        </w:tc>
      </w:tr>
      <w:tr>
        <w:tc>
          <w:tcPr>
            <w:tcW w:type="dxa" w:w="5112"/>
            <w:shd w:fill="F5F8FA"/>
            <w:vAlign w:val="center"/>
          </w:tcPr>
          <w:p>
            <w:pPr>
              <w:jc w:val="left"/>
            </w:pPr>
            <w:r/>
            <w:r>
              <w:rPr>
                <w:rFonts w:ascii="Aptos" w:hAnsi="Aptos"/>
                <w:b w:val="0"/>
                <w:color w:val="222222"/>
                <w:sz w:val="19"/>
              </w:rPr>
              <w:t>Price Level</w:t>
            </w:r>
          </w:p>
        </w:tc>
        <w:tc>
          <w:tcPr>
            <w:tcW w:type="dxa" w:w="5112"/>
            <w:shd w:fill="F5F8FA"/>
            <w:vAlign w:val="center"/>
          </w:tcPr>
          <w:p>
            <w:pPr>
              <w:jc w:val="center"/>
            </w:pPr>
            <w:r/>
            <w:r>
              <w:rPr>
                <w:rFonts w:ascii="Aptos" w:hAnsi="Aptos"/>
                <w:b w:val="0"/>
                <w:color w:val="222222"/>
                <w:sz w:val="19"/>
              </w:rPr>
              <w:t>The 850 unit-price level has the highest observed demand among the listed price levels.</w:t>
            </w:r>
          </w:p>
        </w:tc>
      </w:tr>
      <w:tr>
        <w:tc>
          <w:tcPr>
            <w:tcW w:type="dxa" w:w="5112"/>
            <w:vAlign w:val="center"/>
          </w:tcPr>
          <w:p>
            <w:pPr>
              <w:jc w:val="left"/>
            </w:pPr>
            <w:r/>
            <w:r>
              <w:rPr>
                <w:rFonts w:ascii="Aptos" w:hAnsi="Aptos"/>
                <w:b w:val="0"/>
                <w:color w:val="222222"/>
                <w:sz w:val="19"/>
              </w:rPr>
              <w:t>Geographic Detail</w:t>
            </w:r>
          </w:p>
        </w:tc>
        <w:tc>
          <w:tcPr>
            <w:tcW w:type="dxa" w:w="5112"/>
            <w:vAlign w:val="center"/>
          </w:tcPr>
          <w:p>
            <w:pPr>
              <w:jc w:val="center"/>
            </w:pPr>
            <w:r/>
            <w:r>
              <w:rPr>
                <w:rFonts w:ascii="Aptos" w:hAnsi="Aptos"/>
                <w:b w:val="0"/>
                <w:color w:val="222222"/>
                <w:sz w:val="19"/>
              </w:rPr>
              <w:t>New South Wales and California are the highest-transaction states in Australia and the United States respectively, with the other country leaders shown in Q10.</w:t>
            </w:r>
          </w:p>
        </w:tc>
      </w:tr>
    </w:tbl>
    <w:p>
      <w:pPr>
        <w:spacing w:after="40"/>
      </w:pPr>
    </w:p>
    <w:p>
      <w:pPr>
        <w:spacing w:before="200" w:after="100"/>
      </w:pPr>
      <w:r>
        <w:rPr>
          <w:rFonts w:ascii="Aptos Display" w:hAnsi="Aptos Display"/>
          <w:b/>
          <w:color w:val="17365D"/>
          <w:sz w:val="32"/>
        </w:rPr>
        <w:t>5. Methodology</w:t>
      </w:r>
    </w:p>
    <w:p>
      <w:pPr>
        <w:spacing w:after="100" w:line="259" w:lineRule="auto"/>
      </w:pPr>
      <w:r>
        <w:rPr>
          <w:rFonts w:ascii="Aptos" w:hAnsi="Aptos"/>
          <w:color w:val="222222"/>
          <w:sz w:val="21"/>
        </w:rPr>
        <w:t>The analysis was performed in Microsoft Excel using Pivot Tables. Each question was linked to the relevant row field and value field(s), such as Sum of Total Sales, Sum of Profit, Sum of Order Quantity, Count of Date, and Average of Order Quantity. The existing calculated fields in the Sales Data sheet support the Month, Day, Profit, Profit Margin, and Age Group analyses.</w:t>
      </w:r>
    </w:p>
    <w:p>
      <w:pPr>
        <w:spacing w:after="100" w:line="259" w:lineRule="auto"/>
      </w:pPr>
      <w:r>
        <w:rPr>
          <w:rFonts w:ascii="Aptos" w:hAnsi="Aptos"/>
          <w:color w:val="222222"/>
          <w:sz w:val="21"/>
        </w:rPr>
        <w:t>The report intentionally follows the existing Pivot Table results and does not introduce additional calculations or analyses that are not already represented in the Excel work.</w:t>
      </w:r>
    </w:p>
    <w:p>
      <w:pPr>
        <w:spacing w:before="200" w:after="100"/>
      </w:pPr>
      <w:r>
        <w:rPr>
          <w:rFonts w:ascii="Aptos Display" w:hAnsi="Aptos Display"/>
          <w:b/>
          <w:color w:val="17365D"/>
          <w:sz w:val="32"/>
        </w:rPr>
        <w:t>6. Conclusion</w:t>
      </w:r>
    </w:p>
    <w:p>
      <w:pPr>
        <w:spacing w:after="100" w:line="259" w:lineRule="auto"/>
      </w:pPr>
      <w:r>
        <w:rPr>
          <w:rFonts w:ascii="Aptos" w:hAnsi="Aptos"/>
          <w:color w:val="222222"/>
          <w:sz w:val="21"/>
        </w:rPr>
        <w:t>The Pivot Table analysis provides a structured view of sales performance, customer purchasing behavior, product demand, and geographic activity. The results highlight Australia as the strongest market in the current country analysis, Road Bikes as the dominant sub-category, the 25–34 group as the most active ordering segment, and December as the strongest month for unit demand. These results summarize the main patterns identified from the existing Excel analysis.</w:t>
      </w:r>
    </w:p>
    <w:p>
      <w:pPr>
        <w:spacing w:before="240"/>
        <w:jc w:val="center"/>
      </w:pPr>
      <w:r>
        <w:rPr>
          <w:rFonts w:ascii="Aptos Display" w:hAnsi="Aptos Display"/>
          <w:b/>
          <w:color w:val="176B87"/>
          <w:sz w:val="20"/>
        </w:rPr>
        <w:t>End of Report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Prepared for Data Analysis Task  •  Donia Khaled Ahmed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BIKE SALES DATA ANALYSIS  |  EXCEL PIVOT TABLES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