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4E79"/>
          <w:sz w:val="52"/>
          <w:szCs w:val="52"/>
        </w:rPr>
        <w:t xml:space="preserve">Sarbon24</w:t>
      </w:r>
    </w:p>
    <w:p>
      <w:pPr>
        <w:spacing w:after="60"/>
      </w:pPr>
      <w:r>
        <w:rPr>
          <w:b/>
          <w:bCs/>
          <w:color w:val="C55A11"/>
          <w:sz w:val="25"/>
          <w:szCs w:val="25"/>
        </w:rPr>
        <w:t xml:space="preserve">Competitive Landscape, Regulatory Barriers &amp; Strategic Risks</w:t>
      </w:r>
    </w:p>
    <w:p>
      <w:pPr>
        <w:spacing w:after="120"/>
      </w:pPr>
      <w:r>
        <w:rPr>
          <w:i/>
          <w:iCs/>
          <w:color w:val="444444"/>
          <w:sz w:val="18"/>
          <w:szCs w:val="18"/>
        </w:rPr>
        <w:t xml:space="preserve">Investor briefing · July 2026</w:t>
      </w:r>
    </w:p>
    <w:p>
      <w:pPr>
        <w:pBdr>
          <w:bottom w:val="single" w:color="C55A11" w:sz="6"/>
        </w:pBdr>
        <w:spacing w:after="110"/>
      </w:pPr>
    </w:p>
    <w:p>
      <w:pPr>
        <w:pStyle w:val="Heading1"/>
        <w:spacing w:after="110" w:before="220"/>
      </w:pPr>
      <w:r>
        <w:rPr>
          <w:b/>
          <w:bCs/>
          <w:color w:val="1F4E79"/>
        </w:rPr>
        <w:t xml:space="preserve">1 · The opportunity in one paragraph</w:t>
      </w:r>
    </w:p>
    <w:p>
      <w:pPr>
        <w:spacing w:after="110" w:line="274"/>
      </w:pPr>
      <w:r>
        <w:t xml:space="preserve">Central Asia's freight market is large, fragmented and barely digitized. Kazakhstan's logistics market is ~$29B, Russia's ~$73B, and Uzbekistan carries ~$8B in annual logistics cost with foreign trade of $81B and transit up 54% since 2021. The long-haul spot segment — matching independent trucks to loads — runs almost entirely on Telegram, WhatsApp and phone calls; a dedicated product owns </w:t>
      </w:r>
      <w:r>
        <w:rPr>
          <w:b/>
          <w:bCs/>
        </w:rPr>
        <w:t xml:space="preserve">well under ~10%</w:t>
      </w:r>
      <w:r>
        <w:t xml:space="preserve"> of it. China's Full Truck Alliance shows the prize: a pure matchmaker took ~90% of on-demand trucking in an equally fragmented market. Sarbon24's edge is a Telegram-native supply feed that gives day-one liquidity the global players don't have locally.</w:t>
      </w:r>
    </w:p>
    <w:p>
      <w:pPr>
        <w:pStyle w:val="Heading1"/>
        <w:spacing w:after="110" w:before="220"/>
      </w:pPr>
      <w:r>
        <w:rPr>
          <w:b/>
          <w:bCs/>
          <w:color w:val="1F4E79"/>
        </w:rPr>
        <w:t xml:space="preserve">2 · Competitive landscape</w:t>
      </w:r>
    </w:p>
    <w:tbl>
      <w:tblPr>
        <w:tblW w:type="dxa" w:w="6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350"/>
        <w:gridCol w:w="1150"/>
        <w:gridCol w:w="1900"/>
        <w:gridCol w:w="2200"/>
      </w:tblGrid>
      <w:tr>
        <w:trPr>
          <w:tblHeader/>
        </w:trPr>
        <w:tc>
          <w:tcPr>
            <w:tcW w:type="dxa" w:w="1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1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</w:t>
            </w:r>
          </w:p>
        </w:tc>
        <w:tc>
          <w:tcPr>
            <w:tcW w:type="dxa" w:w="2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Entry model &amp; gap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TruKKer (Saudi)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HIGH · direct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$100M+ funded freight platform; full stack (load board, docs, POD, payments, tracking); expanded into Kazakhstan (2022)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Capital-backed marketplace; finished product but NO local Telegram supply / informal-driver base — top-down vs your bottom-up</w:t>
            </w:r>
          </w:p>
        </w:tc>
      </w:tr>
      <w:tr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inDrive</w:t>
            </w:r>
          </w:p>
        </w:tc>
        <w:tc>
          <w:tcPr>
            <w:tcW w:type="dxa" w:w="11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HIGH · adjacent</w:t>
            </w:r>
          </w:p>
        </w:tc>
        <w:tc>
          <w:tcPr>
            <w:tcW w:type="dxa" w:w="19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~$1.2B valuation, ~$450M raised; 400M+ downloads; Kazakhstan home; P2P cargo vertical</w:t>
            </w:r>
          </w:p>
        </w:tc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Ride-hailing base + bolt-on cargo; urban/last-mile, not long-haul spot. Can outspend you if it prioritizes freight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Yandex / Yango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Ride-hailing dominance (86% UZ); Yango Delivery cargo/courier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Super-app extension; capital-heavy; urban delivery not intercity boards</w:t>
            </w:r>
          </w:p>
        </w:tc>
      </w:tr>
      <w:tr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ATI.su</w:t>
            </w:r>
          </w:p>
        </w:tc>
        <w:tc>
          <w:tcPr>
            <w:tcW w:type="dxa" w:w="11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MEDIUM</w:t>
            </w:r>
          </w:p>
        </w:tc>
        <w:tc>
          <w:tcPr>
            <w:tcW w:type="dxa" w:w="19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Russia/CIS formal exchange; ~150k loads &amp; ~200k users daily</w:t>
            </w:r>
          </w:p>
        </w:tc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Registration/verification B2B; Russia-centric; weak in informal CA spot</w:t>
            </w:r>
          </w:p>
        </w:tc>
      </w:tr>
      <w:tr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Forwarders + Telegram/WhatsApp groups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Incumbent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The status quo across all markets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No product — the manual system Sarbon24 replaces</w:t>
            </w:r>
          </w:p>
        </w:tc>
      </w:tr>
      <w:tr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Full Truck Alliance (benchmark)</w:t>
            </w:r>
          </w:p>
        </w:tc>
        <w:tc>
          <w:tcPr>
            <w:tcW w:type="dxa" w:w="11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n/a</w:t>
            </w:r>
          </w:p>
        </w:tc>
        <w:tc>
          <w:tcPr>
            <w:tcW w:type="dxa" w:w="19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China; ~90% on-demand trucking; 1.3M shippers / 2.8M truckers</w:t>
            </w:r>
          </w:p>
        </w:tc>
        <w:tc>
          <w:tcPr>
            <w:tcW w:type="dxa" w:w="220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Proof the pure-matchmaker model wins a fragmented market</w:t>
            </w:r>
          </w:p>
        </w:tc>
      </w:tr>
    </w:tbl>
    <w:p>
      <w:pPr>
        <w:spacing w:after="110" w:line="274"/>
      </w:pPr>
      <w:r>
        <w:rPr>
          <w:b/>
          <w:bCs/>
        </w:rPr>
        <w:t xml:space="preserve">Read: </w:t>
      </w:r>
      <w:r>
        <w:t xml:space="preserve">the field is NOT empty. TruKKer is the real near-term threat in Kazakhstan and inDrive is a giant in your backyard. But both are top-down/urban; neither owns the informal, Telegram-driven long-haul supply that is Sarbon24's wedge. The race is to convert that supply into locked-in liquidity before a funded player reaches it.</w:t>
      </w:r>
    </w:p>
    <w:p>
      <w:r>
        <w:br w:type="page"/>
      </w:r>
    </w:p>
    <w:p>
      <w:pPr>
        <w:pStyle w:val="Heading1"/>
        <w:spacing w:after="110" w:before="220"/>
      </w:pPr>
      <w:r>
        <w:rPr>
          <w:b/>
          <w:bCs/>
          <w:color w:val="1F4E79"/>
        </w:rPr>
        <w:t xml:space="preserve">3 · Regulatory &amp; document barriers to cross-border expansion</w:t>
      </w:r>
    </w:p>
    <w:p>
      <w:pPr>
        <w:spacing w:after="110" w:line="274"/>
      </w:pPr>
      <w:r>
        <w:t xml:space="preserve">Moving a truck across these borders is permit-gated; running a digital platform is data-gated. Neither is a wall, but both shape sequencing and cost.</w:t>
      </w:r>
    </w:p>
    <w:tbl>
      <w:tblPr>
        <w:tblW w:type="dxa" w:w="7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550"/>
        <w:gridCol w:w="2050"/>
        <w:gridCol w:w="2050"/>
        <w:gridCol w:w="1350"/>
      </w:tblGrid>
      <w:tr>
        <w:trPr>
          <w:tblHeader/>
        </w:trPr>
        <w:tc>
          <w:tcPr>
            <w:tcW w:type="dxa" w:w="1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20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Cross-border / permits</w:t>
            </w:r>
          </w:p>
        </w:tc>
        <w:tc>
          <w:tcPr>
            <w:tcW w:type="dxa" w:w="20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Documents &amp; data law</w:t>
            </w:r>
          </w:p>
        </w:tc>
        <w:tc>
          <w:tcPr>
            <w:tcW w:type="dxa" w:w="1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Uzbekistan</w:t>
            </w:r>
          </w:p>
        </w:tc>
        <w:tc>
          <w:tcPr>
            <w:tcW w:type="dxa" w:w="2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TIR member; eTIR pilots live; dozvol quotas apply</w:t>
            </w:r>
          </w:p>
        </w:tc>
        <w:tc>
          <w:tcPr>
            <w:tcW w:type="dxa" w:w="2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e-TTN + e-VAT invoice mandatory (2024, digital signature); data-localization eased Mar 2026 (only sensitive data stays local)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Home base — favorable; use IT Park tax breaks</w:t>
            </w:r>
          </w:p>
        </w:tc>
      </w:tr>
      <w:tr>
        <w:tc>
          <w:tcPr>
            <w:tcW w:type="dxa" w:w="15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Kazakhstan</w:t>
            </w:r>
          </w:p>
        </w:tc>
        <w:tc>
          <w:tcPr>
            <w:tcW w:type="dxa" w:w="20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TIR; dozvol; green lanes with UZ</w:t>
            </w:r>
          </w:p>
        </w:tc>
        <w:tc>
          <w:tcPr>
            <w:tcW w:type="dxa" w:w="20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Strict data-localization law (2024) — user data must sit in-country; TruKKer already present</w:t>
            </w:r>
          </w:p>
        </w:tc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Enter carefully &amp; compliantly</w:t>
            </w:r>
          </w:p>
        </w:tc>
      </w:tr>
      <w:tr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Kyrgyzstan / Tajikistan</w:t>
            </w:r>
          </w:p>
        </w:tc>
        <w:tc>
          <w:tcPr>
            <w:tcW w:type="dxa" w:w="2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Bilateral permits; eTIR TJ–UZ pilot</w:t>
            </w:r>
          </w:p>
        </w:tc>
        <w:tc>
          <w:tcPr>
            <w:tcW w:type="dxa" w:w="2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Weak e-doc adoption; WhatsApp-first; thin fintech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Later; adapt supply model</w:t>
            </w:r>
          </w:p>
        </w:tc>
      </w:tr>
      <w:tr>
        <w:tc>
          <w:tcPr>
            <w:tcW w:type="dxa" w:w="15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Russia</w:t>
            </w:r>
          </w:p>
        </w:tc>
        <w:tc>
          <w:tcPr>
            <w:tcW w:type="dxa" w:w="20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Huge but permit-quota constrained; sanctions &amp; payment friction</w:t>
            </w:r>
          </w:p>
        </w:tc>
        <w:tc>
          <w:tcPr>
            <w:tcW w:type="dxa" w:w="20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ATI.su entrenched</w:t>
            </w:r>
          </w:p>
        </w:tc>
        <w:tc>
          <w:tcPr>
            <w:tcW w:type="dxa" w:w="1350"/>
            <w:shd w:fill="F2F6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Corridor &amp; backhaul, not a launch</w:t>
            </w:r>
          </w:p>
        </w:tc>
      </w:tr>
      <w:tr>
        <w:tc>
          <w:tcPr>
            <w:tcW w:type="dxa" w:w="1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Turkmenistan</w:t>
            </w:r>
          </w:p>
        </w:tc>
        <w:tc>
          <w:tcPr>
            <w:tcW w:type="dxa" w:w="2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Closed; corridor transit only</w:t>
            </w:r>
          </w:p>
        </w:tc>
        <w:tc>
          <w:tcPr>
            <w:tcW w:type="dxa" w:w="2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Messengers banned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7"/>
                <w:szCs w:val="17"/>
              </w:rPr>
              <w:t xml:space="preserve">Skip</w:t>
            </w:r>
          </w:p>
        </w:tc>
      </w:tr>
    </w:tbl>
    <w:p>
      <w:pPr>
        <w:spacing w:after="110" w:line="274"/>
      </w:pPr>
      <w:r>
        <w:rPr>
          <w:b/>
          <w:bCs/>
        </w:rPr>
        <w:t xml:space="preserve">The three real constraints (plan for them):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Permit quotas (dozvol). </w:t>
      </w:r>
      <w:r>
        <w:t xml:space="preserve">Central Asia is NOT in the ECMT multilateral permit system, so cross-border trucking runs on scarce, expensive bilateral permits — this caps (does not kill) the cross-border backhaul story.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Official e-documents need registration + digital signature. </w:t>
      </w:r>
      <w:r>
        <w:t xml:space="preserve">Informal owner-operators often can't issue e-TTN/e-invoice, so document features realistically serve registered dispatchers/companies first.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Payments &amp; factoring are regulated. </w:t>
      </w:r>
      <w:r>
        <w:t xml:space="preserve">Advance-payment/factoring is a licensed financial activity (Central Bank) — do it via a licensed partner, not in-house. Uzbekistan is easing rails (Apple/Google Pay, PayPal talks).</w:t>
      </w:r>
    </w:p>
    <w:p>
      <w:pPr>
        <w:pStyle w:val="Heading1"/>
        <w:spacing w:after="110" w:before="220"/>
      </w:pPr>
      <w:r>
        <w:rPr>
          <w:b/>
          <w:bCs/>
          <w:color w:val="1F4E79"/>
        </w:rPr>
        <w:t xml:space="preserve">4 · Strategic risks (state plainly to investors)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Funded competition. </w:t>
      </w:r>
      <w:r>
        <w:t xml:space="preserve">TruKKer (Kazakhstan) and inDrive (backyard) can outspend Sarbon24. Mitigant: win informal long-haul liquidity + reputation locally first.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Monetization in a cash economy. </w:t>
      </w:r>
      <w:r>
        <w:t xml:space="preserve">Deals close by phone in cash; low willingness to pay; informal drivers. Early revenue is small; big money (fintech) needs formalization + licensing.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Disintermediation. </w:t>
      </w:r>
      <w:r>
        <w:t xml:space="preserve">If Sarbon24 only shows phone numbers, the driver calls and leaves. Pull the deal into the platform to own it.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Cross-border permit ceiling &amp; platform dependence. </w:t>
      </w:r>
      <w:r>
        <w:t xml:space="preserve">Backhaul is capped by dozvol quotas; supply+delivery both ride Telegram (ban/throttle risk). Diversify ingestion.</w:t>
      </w:r>
    </w:p>
    <w:p>
      <w:pPr>
        <w:pStyle w:val="Heading1"/>
        <w:spacing w:after="110" w:before="220"/>
      </w:pPr>
      <w:r>
        <w:rPr>
          <w:b/>
          <w:bCs/>
          <w:color w:val="1F4E79"/>
        </w:rPr>
        <w:t xml:space="preserve">5 · The moat plan — how Sarbon24 becomes defensible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From discovery layer to system of record. </w:t>
      </w:r>
      <w:r>
        <w:t xml:space="preserve">Move the deal into the app (accept load -&gt; generate zayavka -&gt; capture price -&gt; proof-of-delivery). Owning the transaction stops disintermediation and unlocks monetization.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Reputation graph. </w:t>
      </w:r>
      <w:r>
        <w:t xml:space="preserve">Ratings + verification for BOTH drivers and load owners. Trust is freight's #1 pain and a moat cold marketplaces and Telegram groups can't copy locally; it also underwrites factoring.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Own the load-owner side. </w:t>
      </w:r>
      <w:r>
        <w:t xml:space="preserve">Give dispatchers/fleets free tools (fleet view, mini-CRM, auto-repost). If supply depends on your tools, you own the scarce side.</w:t>
      </w:r>
    </w:p>
    <w:p>
      <w:pPr>
        <w:pStyle w:val="ListParagraph"/>
        <w:numPr>
          <w:ilvl w:val="0"/>
          <w:numId w:val="1"/>
        </w:numPr>
        <w:spacing w:after="70" w:line="262"/>
      </w:pPr>
      <w:r>
        <w:rPr>
          <w:b/>
          <w:bCs/>
        </w:rPr>
        <w:t xml:space="preserve">Data flywheel -&gt; own model + data product. </w:t>
      </w:r>
      <w:r>
        <w:t xml:space="preserve">Every parsed load is labeled data; fine-tune your own parser and build a freight-rate/lane index — a second revenue line and a strong investor story.</w:t>
      </w:r>
    </w:p>
    <w:p>
      <w:pPr>
        <w:pStyle w:val="Heading1"/>
        <w:spacing w:after="110" w:before="220"/>
      </w:pPr>
      <w:r>
        <w:rPr>
          <w:b/>
          <w:bCs/>
          <w:color w:val="1F4E79"/>
        </w:rPr>
        <w:t xml:space="preserve">Sources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Mordor Intelligence — Kazakhstan &amp; Russia freight/logistics market size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World Bank / Times of Central Asia — Uzbekistan logistics cost, trade, transit growth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IRU / UNESCAP / OECD — TIR, eTIR pilots, dozvol quotas, ECMT gap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inDrive funding/valuation: Forbes, PitchBook, CB Insights, Dealroom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TruKKer Kazakhstan expansion &amp; funding: WAYA, International Finance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Uzbekistan data-law reform (Mar 2026): Dentons, Times of Central Asia, gazeta.uz</w:t>
      </w:r>
    </w:p>
    <w:p>
      <w:pPr>
        <w:spacing w:after="50"/>
      </w:pPr>
      <w:r>
        <w:rPr>
          <w:color w:val="444444"/>
          <w:sz w:val="16"/>
          <w:szCs w:val="16"/>
        </w:rPr>
        <w:t xml:space="preserve">• Kazakhstan data-localization law (2024): ICLG; Full Truck Alliance: CapitalG, SEC F-1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2026-07-17T11:00:59.574Z</dcterms:created>
  <dcterms:modified xsi:type="dcterms:W3CDTF">2026-07-17T11:00:59.599Z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