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7" w:name="content"/>
    <w:bookmarkStart w:id="56" w:name="X7e18c85efa55dedcdc31fb722d0f6ec12cefa0e"/>
    <w:p>
      <w:pPr>
        <w:pStyle w:val="Heading1"/>
      </w:pPr>
      <w:r>
        <w:t xml:space="preserve">Analiza 9R–27D incydentu „Arctic Metagaz” w pobliżu Malty</w:t>
      </w:r>
    </w:p>
    <w:bookmarkStart w:id="25" w:name="streszczenie-wykonawcze"/>
    <w:p>
      <w:pPr>
        <w:pStyle w:val="Heading2"/>
      </w:pPr>
      <w:r>
        <w:t xml:space="preserve">Streszczenie wykonawcze</w:t>
      </w:r>
    </w:p>
    <w:p>
      <w:pPr>
        <w:pStyle w:val="FirstParagraph"/>
      </w:pPr>
      <w:r>
        <w:t xml:space="preserve">Zdarzenie „statek widmo” dotyczy rosyjskiego gazowca LNG</w:t>
      </w:r>
      <w:r>
        <w:t xml:space="preserve"> </w:t>
      </w:r>
      <w:r>
        <w:rPr>
          <w:i/>
          <w:iCs/>
        </w:rPr>
        <w:t xml:space="preserve">Arctic Metagaz</w:t>
      </w:r>
      <w:r>
        <w:t xml:space="preserve"> </w:t>
      </w:r>
      <w:r>
        <w:t xml:space="preserve">dryfującego bez załogi w rejonie pomiędzy Maltą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 Włochami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po pożarze/eksplozji i domniemanym ataku dronowym, o który Rosja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oskarża Ukrainę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(bez potwierdzenia ze strony Kijowa). W praktyce jest to zdarzenie na styku bezpieczeństwa morskiego, ryzyka środowiskowego i „mgły informacyjnej” (sprzeczne doniesienia o zatonięciu vs. utrzymaniu się jednostki na wodzie).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W raporcie rekonstruuję łańcuch zdarzeń (Z1–Z5), obliczam entropię informacyjną dla każdego zdarzenia i całego wątku (z jawnie zadanymi rozkładami hipotez jako [ZAŁOŻENIE]), pozycjonuję zdarzenia w kostce 27D (3×3×3) Twoimi osiami i mapuję je na reżimy 9R. Następnie buduję trzy scenariusze strategiczne (z wariantami) i wykonuję symulację Monte Carlo ryzyka skutków (wprost jako „propagację niepewności”, nie jako „dowód”). Całość zamykam predykcjami (krótki/średni/długi horyzont) oraz blokiem etyki i ograniczeń.</w:t>
      </w:r>
    </w:p>
    <w:bookmarkEnd w:id="25"/>
    <w:bookmarkStart w:id="34" w:name="X497f456ddf004b4cd2c9113808f48f63a72d601"/>
    <w:p>
      <w:pPr>
        <w:pStyle w:val="Heading2"/>
      </w:pPr>
      <w:r>
        <w:t xml:space="preserve">Materiał źródłowy i rekonstrukcja zdarzeń</w:t>
      </w:r>
    </w:p>
    <w:bookmarkStart w:id="27" w:name="baza-faktograficzna"/>
    <w:p>
      <w:pPr>
        <w:pStyle w:val="Heading3"/>
      </w:pPr>
      <w:r>
        <w:t xml:space="preserve">Baza faktograficzna</w:t>
      </w:r>
    </w:p>
    <w:p>
      <w:pPr>
        <w:pStyle w:val="FirstParagraph"/>
      </w:pPr>
      <w:r>
        <w:t xml:space="preserve">Rdzeń materiału stanowią: publikacja Polsat News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(z odwołaniami do agencji i prasy lokalnej) oraz depesze Reuters</w:t>
      </w:r>
      <w:hyperlink r:id="rId24">
        <w:r>
          <w:rPr>
            <w:rStyle w:val="Hyperlink"/>
          </w:rPr>
          <w:t xml:space="preserve">[7]</w:t>
        </w:r>
      </w:hyperlink>
      <w:r>
        <w:t xml:space="preserve">, a także komunikat urzędowy w postaci</w:t>
      </w:r>
      <w:r>
        <w:t xml:space="preserve"> </w:t>
      </w:r>
      <w:r>
        <w:rPr>
          <w:i/>
          <w:iCs/>
        </w:rPr>
        <w:t xml:space="preserve">Notice to Mariners</w:t>
      </w:r>
      <w:r>
        <w:t xml:space="preserve"> </w:t>
      </w:r>
      <w:r>
        <w:t xml:space="preserve">wydany przez Transport Malta</w:t>
      </w:r>
      <w:hyperlink r:id="rId23">
        <w:r>
          <w:rPr>
            <w:rStyle w:val="Hyperlink"/>
          </w:rPr>
          <w:t xml:space="preserve">[8]</w:t>
        </w:r>
      </w:hyperlink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Wątki pomocnicze (weryfikacja krzyżowa): tekst Associated Press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o zdarzeniu początkowym i narracji rosyjskiej oraz lokalne relacje MaltaToday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o strefie bezpieczeństwa i planach awaryjnych.</w:t>
      </w:r>
      <w:r>
        <w:t xml:space="preserve"> </w:t>
      </w:r>
      <w:hyperlink r:id="rId26">
        <w:r>
          <w:rPr>
            <w:rStyle w:val="Hyperlink"/>
          </w:rPr>
          <w:t xml:space="preserve">[12]</w:t>
        </w:r>
      </w:hyperlink>
    </w:p>
    <w:bookmarkEnd w:id="27"/>
    <w:bookmarkStart w:id="32" w:name="rejestr-zdarzeń-z1z5"/>
    <w:p>
      <w:pPr>
        <w:pStyle w:val="Heading3"/>
      </w:pPr>
      <w:r>
        <w:t xml:space="preserve">Rejestr zdarzeń Z1–Z5</w:t>
      </w:r>
    </w:p>
    <w:p>
      <w:pPr>
        <w:pStyle w:val="FirstParagraph"/>
      </w:pPr>
      <w:r>
        <w:t xml:space="preserve">Poniższy rejestr traktuję jako „wątek” w sensie dynamicznego systemu zdarzeń; jest minimalny (nie mnożę sub-zdarzeń), ale kompletny względem treści artykułu i źródeł.</w:t>
      </w:r>
    </w:p>
    <w:p>
      <w:pPr>
        <w:pStyle w:val="BodyText"/>
      </w:pPr>
      <w:r>
        <w:rPr>
          <w:b/>
          <w:bCs/>
        </w:rPr>
        <w:t xml:space="preserve">Z1 — Pożar/wybuch i utrata kontroli nad jednostką</w:t>
      </w:r>
      <w:r>
        <w:br/>
      </w:r>
      <w:r>
        <w:t xml:space="preserve">[FAKT] 3 marca pojawiają się doniesienia o pożarze rosyjskiego gazowca LNG</w:t>
      </w:r>
      <w:r>
        <w:t xml:space="preserve"> </w:t>
      </w:r>
      <w:r>
        <w:rPr>
          <w:i/>
          <w:iCs/>
        </w:rPr>
        <w:t xml:space="preserve">Arctic Metagaz</w:t>
      </w:r>
      <w:r>
        <w:t xml:space="preserve"> </w:t>
      </w:r>
      <w:r>
        <w:t xml:space="preserve">na Morzu Śródziemnym; załoga została zlokalizowana bezpiecznie w szalupie w libijskim regionie SAR.</w:t>
      </w:r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  <w:r>
        <w:br/>
      </w:r>
      <w:r>
        <w:t xml:space="preserve">[FAKT] Reuters</w:t>
      </w: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wskazuje, że jednostka była objęta sankcjami USA i UK oraz że ostatni sygnał pozycjonowania wskazywał rejon u wybrzeży Malty.</w:t>
      </w:r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  <w:r>
        <w:br/>
      </w:r>
      <w:r>
        <w:t xml:space="preserve">[INFERENCJA] Utrata kontroli (dryf „Not Under Command”) jest funkcjonalnym skutkiem: brak załogi i brak pełnej sprawności. (To wniosek logiczny, później potwierdzony formalnie w Z3).</w:t>
      </w:r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Z2 — Konflikt narracyjny: „zatonięcie” vs „pozostaje na wodzie”</w:t>
      </w:r>
      <w:r>
        <w:br/>
      </w:r>
      <w:r>
        <w:t xml:space="preserve">[FAKT] Źródła libijskie (ujęte w przekazie agencyjnym) raportowały „zatonięcie” po eksplozji i pożarze; równolegle pojawia się narracja rosyjska o ataku ukraińskich dronów morskich z wybrzeża Libii</w:t>
      </w:r>
      <w:hyperlink r:id="rId28">
        <w:r>
          <w:rPr>
            <w:rStyle w:val="Hyperlink"/>
          </w:rPr>
          <w:t xml:space="preserve">[15]</w:t>
        </w:r>
      </w:hyperlink>
      <w:r>
        <w:t xml:space="preserve">; brak potwierdzenia ze strony Ukrainy.</w:t>
      </w:r>
      <w:r>
        <w:t xml:space="preserve"> </w:t>
      </w:r>
      <w:hyperlink r:id="rId26">
        <w:r>
          <w:rPr>
            <w:rStyle w:val="Hyperlink"/>
          </w:rPr>
          <w:t xml:space="preserve">[16]</w:t>
        </w:r>
      </w:hyperlink>
      <w:r>
        <w:br/>
      </w:r>
      <w:r>
        <w:t xml:space="preserve">[FAKT] W kolejnej fazie Reuters</w:t>
      </w: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i obserwacje włoskie wskazują, że jednostka jednak pozostaje na wodzie i dryfuje pomiędzy Włochami i Maltą.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br/>
      </w:r>
      <w:r>
        <w:t xml:space="preserve">[INFERENCJA] Ta rozbieżność jest klasycznym „szumem sytuacyjnym” w zdarzeniach morskich: wstępne raporty mogą być błędne (warunki obserwacji, komunikacja kryzysowa, interesy narracyjne).</w:t>
      </w:r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Z3 — Regulacja ryzyka: strefa bezpieczeństwa i formalny status NUC</w:t>
      </w:r>
      <w:r>
        <w:br/>
      </w:r>
      <w:r>
        <w:t xml:space="preserve">[FAKT] 10 marca Transport Malta</w:t>
      </w:r>
      <w:hyperlink r:id="rId23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publikuje ostrzeżenie:</w:t>
      </w:r>
      <w:r>
        <w:t xml:space="preserve"> </w:t>
      </w:r>
      <w:r>
        <w:rPr>
          <w:i/>
          <w:iCs/>
        </w:rPr>
        <w:t xml:space="preserve">M.T. ARCTIC METAGAZ</w:t>
      </w:r>
      <w:r>
        <w:t xml:space="preserve"> </w:t>
      </w:r>
      <w:r>
        <w:t xml:space="preserve">jest „Not Under Command”, podaje współrzędne i nakazuje utrzymywać dystans 5 Mm; nawigacja w pobliżu jest zabroniona.</w:t>
      </w:r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  <w:r>
        <w:br/>
      </w:r>
      <w:r>
        <w:t xml:space="preserve">[FAKT] MaltaToday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relacjonuje analogiczny nakaz 5 Mm i wskazuje, że jednostka nie sygnalizuje NUC w sposób prawidłowy („not showing any NUC signals”), oraz że nadzór obejmuje również komponent włoski (lot patrolowy).</w:t>
      </w:r>
      <w:r>
        <w:t xml:space="preserve"> </w:t>
      </w:r>
      <w:hyperlink r:id="rId29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Z4 — Reakcja instytucjonalna: eskortowanie i polityka portowa</w:t>
      </w:r>
      <w:r>
        <w:br/>
      </w:r>
      <w:r>
        <w:t xml:space="preserve">[FAKT] Reuters</w:t>
      </w:r>
      <w:hyperlink r:id="rId24">
        <w:r>
          <w:rPr>
            <w:rStyle w:val="Hyperlink"/>
          </w:rPr>
          <w:t xml:space="preserve">[7]</w:t>
        </w:r>
      </w:hyperlink>
      <w:r>
        <w:t xml:space="preserve">: jednostka dryfuje ok. 30 Mm od włoskiej Linosa</w:t>
      </w:r>
      <w:hyperlink r:id="rId21">
        <w:r>
          <w:rPr>
            <w:rStyle w:val="Hyperlink"/>
          </w:rPr>
          <w:t xml:space="preserve">[21]</w:t>
        </w:r>
      </w:hyperlink>
      <w:r>
        <w:t xml:space="preserve">; jest eskortowana na wodach międzynarodowych przez włoską marynarkę, holownik i jednostkę reagowania środowiskowego.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br/>
      </w:r>
      <w:r>
        <w:t xml:space="preserve">[FAKT] Włoskie źródła mówią o braku pewności, ile LNG i paliwa pozostało na pokładzie; preferowana jest komercyjna operacja holowania przez firmę „managera” statku; Włochy nie chcą, by jednostka weszła do ich portów (język „tykającej bomby”).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br/>
      </w:r>
      <w:r>
        <w:t xml:space="preserve">[FAKT] ANSA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potwierdza zwołanie spotkania rządowego w tej sprawie w biurze premiera (Palazzo Chigi) i wskazuje ryzyko środowiskowe jako element rozważań.</w:t>
      </w:r>
      <w:r>
        <w:t xml:space="preserve"> </w:t>
      </w:r>
      <w:hyperlink r:id="rId30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Z5 — Zdarzenie „informacja → percepcja”: alarm ekologiczny i monitorowanie UE</w:t>
      </w:r>
      <w:r>
        <w:br/>
      </w:r>
      <w:r>
        <w:t xml:space="preserve">[FAKT] Artykuł Polsat News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podaje, że jednostka dryfuje bez załogi od 3 marca i ma na pokładzie ok. 900 ton oleju napędowego oraz ok. 60 tys. ton LNG.</w:t>
      </w:r>
      <w:r>
        <w:t xml:space="preserve"> </w:t>
      </w:r>
      <w:hyperlink r:id="rId24">
        <w:r>
          <w:rPr>
            <w:rStyle w:val="Hyperlink"/>
          </w:rPr>
          <w:t xml:space="preserve">[24]</w:t>
        </w:r>
      </w:hyperlink>
      <w:r>
        <w:br/>
      </w:r>
      <w:r>
        <w:t xml:space="preserve">[FAKT] Tekst opisuje ostrzeżenie World Wide Fund for Nature</w:t>
      </w:r>
      <w:hyperlink r:id="rId23">
        <w:r>
          <w:rPr>
            <w:rStyle w:val="Hyperlink"/>
          </w:rPr>
          <w:t xml:space="preserve">[25]</w:t>
        </w:r>
      </w:hyperlink>
      <w:r>
        <w:t xml:space="preserve">: potencjalny wyciek może wywołać pożar, tworzyć „ekstremalnie zimne” chmury gazu i długotrwale zanieczyścić wody przybrzeżne między Maltą a Linosa.</w:t>
      </w:r>
      <w:r>
        <w:t xml:space="preserve"> </w:t>
      </w:r>
      <w:hyperlink r:id="rId24">
        <w:r>
          <w:rPr>
            <w:rStyle w:val="Hyperlink"/>
          </w:rPr>
          <w:t xml:space="preserve">[24]</w:t>
        </w:r>
      </w:hyperlink>
      <w:r>
        <w:br/>
      </w:r>
      <w:r>
        <w:t xml:space="preserve">[FAKT] Polsat podaje, że monitoring obejmuje przeloty lotnicze w ramach misji EUNAVFOR MED Operation IRINI</w:t>
      </w:r>
      <w:hyperlink r:id="rId28">
        <w:r>
          <w:rPr>
            <w:rStyle w:val="Hyperlink"/>
          </w:rPr>
          <w:t xml:space="preserve">[26]</w:t>
        </w:r>
      </w:hyperlink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[24]</w:t>
        </w:r>
      </w:hyperlink>
      <w:r>
        <w:br/>
      </w:r>
      <w:r>
        <w:t xml:space="preserve">[FAKT] Charakterystyka misji IRINI (aerial/satellite/maritime assets; zadania: monitoring/inspekcje, świadomość morska) jest zgodna z dokumentami instytucji UE.</w:t>
      </w:r>
      <w:r>
        <w:t xml:space="preserve"> </w:t>
      </w:r>
      <w:hyperlink r:id="rId31">
        <w:r>
          <w:rPr>
            <w:rStyle w:val="Hyperlink"/>
          </w:rPr>
          <w:t xml:space="preserve">[27]</w:t>
        </w:r>
      </w:hyperlink>
    </w:p>
    <w:bookmarkEnd w:id="32"/>
    <w:bookmarkStart w:id="33" w:name="mapa-zależności-przyczynowo-skutkowych"/>
    <w:p>
      <w:pPr>
        <w:pStyle w:val="Heading3"/>
      </w:pPr>
      <w:r>
        <w:t xml:space="preserve">Mapa zależności przyczynowo-skutkowych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Z1[Z1: pożar/wybuch + utrata kontroli] --&gt; Z2[Z2: sprzeczne raporty: zatonięcie vs afloat]</w:t>
      </w:r>
      <w:r>
        <w:br/>
      </w:r>
      <w:r>
        <w:rPr>
          <w:rStyle w:val="VerbatimChar"/>
        </w:rPr>
        <w:t xml:space="preserve">  Z2 --&gt; Z3[Z3: formalny status NUC + strefa 5 Mm]</w:t>
      </w:r>
      <w:r>
        <w:br/>
      </w:r>
      <w:r>
        <w:rPr>
          <w:rStyle w:val="VerbatimChar"/>
        </w:rPr>
        <w:t xml:space="preserve">  Z3 --&gt; Z4[Z4: eskorta + decyzje rządowe + polityka portowa]</w:t>
      </w:r>
      <w:r>
        <w:br/>
      </w:r>
      <w:r>
        <w:rPr>
          <w:rStyle w:val="VerbatimChar"/>
        </w:rPr>
        <w:t xml:space="preserve">  Z4 --&gt; Z5[Z5: alarm ekologiczny + eskalacja percepcji + IRINI monitoring]</w:t>
      </w:r>
      <w:r>
        <w:br/>
      </w:r>
      <w:r>
        <w:br/>
      </w:r>
      <w:r>
        <w:rPr>
          <w:rStyle w:val="VerbatimChar"/>
        </w:rPr>
        <w:t xml:space="preserve">  Z1 --&gt; RYZYKO[ryzyko: LNG + diesel]</w:t>
      </w:r>
      <w:r>
        <w:br/>
      </w:r>
      <w:r>
        <w:rPr>
          <w:rStyle w:val="VerbatimChar"/>
        </w:rPr>
        <w:t xml:space="preserve">  Z5 --&gt; RYZYKO</w:t>
      </w:r>
      <w:r>
        <w:br/>
      </w:r>
      <w:r>
        <w:rPr>
          <w:rStyle w:val="VerbatimChar"/>
        </w:rPr>
        <w:t xml:space="preserve">  RYZYKO --&gt; POL[decyzje polityczne i operacyjne]</w:t>
      </w:r>
      <w:r>
        <w:br/>
      </w:r>
      <w:r>
        <w:rPr>
          <w:rStyle w:val="VerbatimChar"/>
        </w:rPr>
        <w:t xml:space="preserve">  POL --&gt; Z4</w:t>
      </w:r>
    </w:p>
    <w:bookmarkEnd w:id="33"/>
    <w:bookmarkEnd w:id="34"/>
    <w:bookmarkStart w:id="39" w:name="Xec12fbacba49de1ebb5c142c6ee1279facd05ed"/>
    <w:p>
      <w:pPr>
        <w:pStyle w:val="Heading2"/>
      </w:pPr>
      <w:r>
        <w:t xml:space="preserve">Entropia informacyjna i hipotezy scenariuszowe</w:t>
      </w:r>
    </w:p>
    <w:bookmarkStart w:id="35" w:name="entropia-zdarzeń-z1z5"/>
    <w:p>
      <w:pPr>
        <w:pStyle w:val="Heading3"/>
      </w:pPr>
      <w:r>
        <w:t xml:space="preserve">Entropia zdarzeń Z1–Z5</w:t>
      </w:r>
    </w:p>
    <w:p>
      <w:pPr>
        <w:pStyle w:val="FirstParagraph"/>
      </w:pPr>
      <w:r>
        <w:t xml:space="preserve">Stosuję Twoją definicję: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n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</m:e>
              </m:d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</m:e>
              </m:d>
            </m:den>
          </m:f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br/>
      </w:r>
      <w:r>
        <w:t xml:space="preserve">gdzie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rozkład konkurencyjnych interpretacji dla danego zdarzenia,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liczba hipotez.</w:t>
      </w:r>
    </w:p>
    <w:p>
      <w:pPr>
        <w:pStyle w:val="BodyText"/>
      </w:pPr>
      <w:r>
        <w:rPr>
          <w:b/>
          <w:bCs/>
        </w:rPr>
        <w:t xml:space="preserve">Uwaga metodologiczna (jawna):</w:t>
      </w:r>
      <w:r>
        <w:t xml:space="preserve"> </w:t>
      </w:r>
      <w:r>
        <w:t xml:space="preserve">rozkłady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są [ZAŁOŻENIEM] — wynikają z siły sygnału w źródłach i braku twardej atrybucji. Celem jest</w:t>
      </w:r>
      <w:r>
        <w:t xml:space="preserve"> </w:t>
      </w:r>
      <w:r>
        <w:rPr>
          <w:i/>
          <w:iCs/>
        </w:rPr>
        <w:t xml:space="preserve">mierzenie niepewności</w:t>
      </w:r>
      <w:r>
        <w:t xml:space="preserve"> </w:t>
      </w:r>
      <w:r>
        <w:t xml:space="preserve">i jej zmian, a nie „udawanie pewności”.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Zdarzenie</w:t>
            </w:r>
          </w:p>
        </w:tc>
        <w:tc>
          <w:tcPr/>
          <w:p>
            <w:pPr>
              <w:pStyle w:val="Compact"/>
            </w:pPr>
            <w:r>
              <w:t xml:space="preserve">Konkurencyjne hipotezy (K)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Rozkład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[ZAŁOŻENIE]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Interpretacja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Z1</w:t>
            </w:r>
          </w:p>
        </w:tc>
        <w:tc>
          <w:tcPr/>
          <w:p>
            <w:pPr>
              <w:pStyle w:val="Compact"/>
            </w:pPr>
            <w:r>
              <w:t xml:space="preserve">(3) atak dronowy / awaria / inne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(0.55, 0.25, 0.20)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bardzo wysoka entropia: przyczyna nie jest rozstrzygnięta publicznie.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Z2</w:t>
            </w:r>
            <w:r>
              <w:t xml:space="preserve"> </w:t>
            </w:r>
            <w:r>
              <w:t xml:space="preserve">(w chwili napływu sprzecznych raportów)</w:t>
            </w:r>
          </w:p>
        </w:tc>
        <w:tc>
          <w:tcPr/>
          <w:p>
            <w:pPr>
              <w:pStyle w:val="Compact"/>
            </w:pPr>
            <w:r>
              <w:t xml:space="preserve">(3) zatonięcie / nadal na wodzie / niejednoznaczne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(0.40, 0.40, 0.20)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chaos informacyjny: klasyczny „szum sytuacyjny”.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Z2</w:t>
            </w:r>
            <w:r>
              <w:t xml:space="preserve"> </w:t>
            </w:r>
            <w:r>
              <w:t xml:space="preserve">(po aktualizacji wątków Reuters/monitoring)</w:t>
            </w:r>
          </w:p>
        </w:tc>
        <w:tc>
          <w:tcPr/>
          <w:p>
            <w:pPr>
              <w:pStyle w:val="Compact"/>
            </w:pPr>
            <w:r>
              <w:t xml:space="preserve">(3) zatonięcie / nadal na wodzie / niejednoznaczne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(0.10, 0.80, 0.10)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redukcja entropii po dopływie danych obserwacyjnych.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Z3</w:t>
            </w:r>
          </w:p>
        </w:tc>
        <w:tc>
          <w:tcPr/>
          <w:p>
            <w:pPr>
              <w:pStyle w:val="Compact"/>
            </w:pPr>
            <w:r>
              <w:t xml:space="preserve">(2) NUC + dystans 5 Mm / inne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(0.90, 0.10)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niska–średnia entropia: jest dokument urzędowy, ale nie wiemy, jak szybko stan się zmienia.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Z4</w:t>
            </w:r>
          </w:p>
        </w:tc>
        <w:tc>
          <w:tcPr/>
          <w:p>
            <w:pPr>
              <w:pStyle w:val="Compact"/>
            </w:pPr>
            <w:r>
              <w:t xml:space="preserve">(3) holowanie komercyjne / holowanie publiczne / dopuszczenie portu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(0.80, 0.15, 0.05)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średnia entropia: kierunek preferowany jest jasny, wykonanie — mniej.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Z5</w:t>
            </w:r>
          </w:p>
        </w:tc>
        <w:tc>
          <w:tcPr/>
          <w:p>
            <w:pPr>
              <w:pStyle w:val="Compact"/>
            </w:pPr>
            <w:r>
              <w:t xml:space="preserve">(3) ryzyko niskie / średnie / wysokie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(0.60, 0.30, 0.10)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wysoka entropia: skutki zależą od stanu zbiorników, pogody i tempa działań.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[32]</w:t>
              </w:r>
            </w:hyperlink>
          </w:p>
        </w:tc>
      </w:tr>
    </w:tbl>
    <w:bookmarkEnd w:id="35"/>
    <w:bookmarkStart w:id="36" w:name="entropia-całego-wątku-i-miejsca-skoku"/>
    <w:p>
      <w:pPr>
        <w:pStyle w:val="Heading3"/>
      </w:pPr>
      <w:r>
        <w:t xml:space="preserve">Entropia całego wątku i miejsca „skoku”</w:t>
      </w:r>
    </w:p>
    <w:p>
      <w:pPr>
        <w:pStyle w:val="FirstParagraph"/>
      </w:pPr>
      <w:r>
        <w:t xml:space="preserve">Wagi zdarzeń</w:t>
      </w:r>
      <w: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przyjmuję jako [ZAŁOŻENIE] (1–5) wynikające z: wpływu, zasięgu systemowego, trwałości skutków, znaczenia dla eskalacji.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wątek</m:t>
            </m:r>
          </m:sub>
        </m:sSub>
      </m:oMath>
      <w:r>
        <w:t xml:space="preserve"> </w:t>
      </w:r>
      <w:r>
        <w:t xml:space="preserve">„w chwili chaosu” (gdy Z2 ma wysoką entropię):</w:t>
      </w:r>
      <w:r>
        <w:t xml:space="preserve"> </w:t>
      </w:r>
      <w:r>
        <w:rPr>
          <w:b/>
          <w:bCs/>
        </w:rPr>
        <w:t xml:space="preserve">0.77</w:t>
      </w:r>
      <w:r>
        <w:t xml:space="preserve"> </w:t>
      </w:r>
      <w:r>
        <w:t xml:space="preserve">[ZAŁOŻENIE]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wątek</m:t>
            </m:r>
          </m:sub>
        </m:sSub>
      </m:oMath>
      <w:r>
        <w:t xml:space="preserve"> </w:t>
      </w:r>
      <w:r>
        <w:t xml:space="preserve">„po dopływie danych obserwacyjnych” (Z2 zaktualizowane):</w:t>
      </w:r>
      <w:r>
        <w:t xml:space="preserve"> </w:t>
      </w:r>
      <w:r>
        <w:rPr>
          <w:b/>
          <w:bCs/>
        </w:rPr>
        <w:t xml:space="preserve">0.71</w:t>
      </w:r>
      <w:r>
        <w:t xml:space="preserve"> </w:t>
      </w:r>
      <w:r>
        <w:t xml:space="preserve">[ZAŁOŻENIE]</w:t>
      </w:r>
    </w:p>
    <w:p>
      <w:pPr>
        <w:pStyle w:val="FirstParagraph"/>
      </w:pPr>
      <w:r>
        <w:rPr>
          <w:b/>
          <w:bCs/>
        </w:rPr>
        <w:t xml:space="preserve">Wniosek analityczny:</w:t>
      </w:r>
      <w:r>
        <w:t xml:space="preserve"> </w:t>
      </w:r>
      <w:r>
        <w:t xml:space="preserve">największy wkład w niepewność daje</w:t>
      </w:r>
      <w:r>
        <w:t xml:space="preserve"> </w:t>
      </w:r>
      <w:r>
        <w:rPr>
          <w:b/>
          <w:bCs/>
        </w:rPr>
        <w:t xml:space="preserve">Z1 (atrybucja przyczyny)</w:t>
      </w:r>
      <w:r>
        <w:t xml:space="preserve"> </w:t>
      </w:r>
      <w:r>
        <w:t xml:space="preserve">oraz</w:t>
      </w:r>
      <w:r>
        <w:t xml:space="preserve"> </w:t>
      </w:r>
      <w:r>
        <w:rPr>
          <w:b/>
          <w:bCs/>
        </w:rPr>
        <w:t xml:space="preserve">Z5 (skala ryzyka środowiskowego)</w:t>
      </w:r>
      <w:r>
        <w:t xml:space="preserve">; zdarzeniem stabilizującym jest</w:t>
      </w:r>
      <w:r>
        <w:t xml:space="preserve"> </w:t>
      </w:r>
      <w:r>
        <w:rPr>
          <w:b/>
          <w:bCs/>
        </w:rPr>
        <w:t xml:space="preserve">Z3 (twarda regulacja i koordynaty)</w:t>
      </w:r>
      <w:r>
        <w:t xml:space="preserve">. To zgodne z logiką „Sygnał–Szum” i „Progi–Hamulec”: gdy brak atrybucji, entropia rośnie; gdy pojawia się formalny hamulec (strefa 5 Mm), część niepewności systemowej spada.</w:t>
      </w:r>
      <w:r>
        <w:t xml:space="preserve"> </w:t>
      </w:r>
      <w:hyperlink r:id="rId21">
        <w:r>
          <w:rPr>
            <w:rStyle w:val="Hyperlink"/>
          </w:rPr>
          <w:t xml:space="preserve">[33]</w:t>
        </w:r>
      </w:hyperlink>
    </w:p>
    <w:bookmarkEnd w:id="36"/>
    <w:bookmarkStart w:id="38" w:name="X19293639674efdf664ec96fb6817218b743a80f"/>
    <w:p>
      <w:pPr>
        <w:pStyle w:val="Heading3"/>
      </w:pPr>
      <w:r>
        <w:t xml:space="preserve">Hipoteza główna: trzy scenariusze i warianty</w:t>
      </w:r>
    </w:p>
    <w:p>
      <w:pPr>
        <w:pStyle w:val="FirstParagraph"/>
      </w:pPr>
      <w:r>
        <w:t xml:space="preserve">Poniżej „hipoteza złożona” (3 scenariusze). Każdy scenariusz ma warianty, które różnicują ryzyko i interpretację.</w:t>
      </w:r>
    </w:p>
    <w:p>
      <w:pPr>
        <w:pStyle w:val="BodyText"/>
      </w:pPr>
      <w:r>
        <w:rPr>
          <w:b/>
          <w:bCs/>
        </w:rPr>
        <w:t xml:space="preserve">Scenariusz A — Incydent kinetyczny w „szarej strefie” (atak → dryf → presja pośrednia)</w:t>
      </w:r>
      <w:r>
        <w:br/>
      </w:r>
      <w:r>
        <w:t xml:space="preserve">[FAKT] Wersja o ataku dronowym jest publicznie komunikowana przez stronę rosyjską; źródła zachodnie notują, że nie ma potwierdzenia ze strony Ukrainy.</w:t>
      </w:r>
      <w:r>
        <w:t xml:space="preserve"> </w:t>
      </w:r>
      <w:hyperlink r:id="rId23">
        <w:r>
          <w:rPr>
            <w:rStyle w:val="Hyperlink"/>
          </w:rPr>
          <w:t xml:space="preserve">[34]</w:t>
        </w:r>
      </w:hyperlink>
      <w:r>
        <w:br/>
      </w:r>
      <w:r>
        <w:t xml:space="preserve">[INFERENCJA] W sensie koncepcyjnym zdarzenie przypomina dynamikę „gray zone”: działanie poniżej progu wojny konwencjonalnej, z elementem niejednoznaczności i potencjałem presji ekonomicznej/energetycznej.</w:t>
      </w:r>
      <w:r>
        <w:t xml:space="preserve"> </w:t>
      </w:r>
      <w:hyperlink r:id="rId37">
        <w:r>
          <w:rPr>
            <w:rStyle w:val="Hyperlink"/>
          </w:rPr>
          <w:t xml:space="preserve">[35]</w:t>
        </w:r>
      </w:hyperlink>
      <w:r>
        <w:br/>
      </w:r>
      <w:r>
        <w:rPr>
          <w:b/>
          <w:bCs/>
        </w:rPr>
        <w:t xml:space="preserve">Warianty:</w:t>
      </w:r>
      <w:r>
        <w:br/>
      </w:r>
      <w:r>
        <w:t xml:space="preserve">A1: szybkie holowanie (redukcja ryzyka)</w:t>
      </w:r>
      <w:r>
        <w:br/>
      </w:r>
      <w:r>
        <w:t xml:space="preserve">A2: opóźnione holowanie (ryzyko rośnie przez pogodę i degradację)</w:t>
      </w:r>
      <w:r>
        <w:br/>
      </w:r>
      <w:r>
        <w:t xml:space="preserve">A3: incydent wtórny (np. kolejny pożar/rozszczelnienie) — niskie P, wysoki wpływ [NISKA PEWNOŚĆ]</w:t>
      </w:r>
    </w:p>
    <w:p>
      <w:pPr>
        <w:pStyle w:val="BodyText"/>
      </w:pPr>
      <w:r>
        <w:rPr>
          <w:b/>
          <w:bCs/>
        </w:rPr>
        <w:t xml:space="preserve">Scenariusz B — „Instrument presji” (celowo przeciągana stabilizacja i gra odpowiedzialnością)</w:t>
      </w:r>
      <w:r>
        <w:br/>
      </w:r>
      <w:r>
        <w:t xml:space="preserve">[FAKT] Włochy nie chcą wejścia jednostki do portu i preferują, by to rosyjski „manager” zapewnił specjalistyczne holowanie.</w:t>
      </w:r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br/>
      </w:r>
      <w:r>
        <w:t xml:space="preserve">[INFERENCJA] Opóźnianie/niejednoznaczność odpowiedzialności (kto holuje, gdzie, na jakich warunkach) może działać jako presja polityczna, nawet jeśli nie jest intencją pierwotną.</w:t>
      </w:r>
      <w:r>
        <w:t xml:space="preserve"> </w:t>
      </w:r>
      <w:hyperlink r:id="rId23">
        <w:r>
          <w:rPr>
            <w:rStyle w:val="Hyperlink"/>
          </w:rPr>
          <w:t xml:space="preserve">[36]</w:t>
        </w:r>
      </w:hyperlink>
      <w:r>
        <w:br/>
      </w:r>
      <w:r>
        <w:rPr>
          <w:b/>
          <w:bCs/>
        </w:rPr>
        <w:t xml:space="preserve">Warianty:</w:t>
      </w:r>
      <w:r>
        <w:br/>
      </w:r>
      <w:r>
        <w:t xml:space="preserve">B1: presja „twarda” (długi dryf, rosnące koszty i alarmy)</w:t>
      </w:r>
      <w:r>
        <w:br/>
      </w:r>
      <w:r>
        <w:t xml:space="preserve">B2: presja „miękka” (kontrolowany dryf, negocjacje i szybki finał)</w:t>
      </w:r>
      <w:r>
        <w:br/>
      </w:r>
      <w:r>
        <w:t xml:space="preserve">B3: „przerzut winy” (wojna informacji o odpowiedzialności i sankcjach)</w:t>
      </w:r>
    </w:p>
    <w:p>
      <w:pPr>
        <w:pStyle w:val="BodyText"/>
      </w:pPr>
      <w:r>
        <w:rPr>
          <w:b/>
          <w:bCs/>
        </w:rPr>
        <w:t xml:space="preserve">Scenariusz C — Operacja informacyjna wokół realnego wraku (percepcja jako pole walki)</w:t>
      </w:r>
      <w:r>
        <w:br/>
      </w:r>
      <w:r>
        <w:t xml:space="preserve">[FAKT] Mamy udokumentowane sprzeczne wczesne raporty o zatonięciu oraz silne komponenty medialne/OSINT w obiegu.</w:t>
      </w:r>
      <w:r>
        <w:t xml:space="preserve"> </w:t>
      </w:r>
      <w:hyperlink r:id="rId26">
        <w:r>
          <w:rPr>
            <w:rStyle w:val="Hyperlink"/>
          </w:rPr>
          <w:t xml:space="preserve">[37]</w:t>
        </w:r>
      </w:hyperlink>
      <w:r>
        <w:br/>
      </w:r>
      <w:r>
        <w:t xml:space="preserve">[INFERENCJA] Niezależnie od tego, co było przyczyną pierwotną, zdarzenie jest podatne na „hybrydowe” użycie: straszenie katastrofą, wzmacnianie narracji o sankcjach, delegitymizacja przeciwnika. To mieści się w definicyjnej ramie zagrożeń hybrydowych (mieszanie środków jawnych i skrytych, presji ekonomicznej, dezinformacji).</w:t>
      </w:r>
      <w:r>
        <w:t xml:space="preserve"> </w:t>
      </w:r>
      <w:hyperlink r:id="rId22">
        <w:r>
          <w:rPr>
            <w:rStyle w:val="Hyperlink"/>
          </w:rPr>
          <w:t xml:space="preserve">[38]</w:t>
        </w:r>
      </w:hyperlink>
      <w:r>
        <w:br/>
      </w:r>
      <w:r>
        <w:rPr>
          <w:b/>
          <w:bCs/>
        </w:rPr>
        <w:t xml:space="preserve">Warianty:</w:t>
      </w:r>
      <w:r>
        <w:br/>
      </w:r>
      <w:r>
        <w:t xml:space="preserve">C1: „katastrofa tuż-tuż” (eskalacja strachu)</w:t>
      </w:r>
      <w:r>
        <w:br/>
      </w:r>
      <w:r>
        <w:t xml:space="preserve">C2: „pełna kontrola” (uspokojenie i minimalizacja)</w:t>
      </w:r>
      <w:r>
        <w:br/>
      </w:r>
      <w:r>
        <w:t xml:space="preserve">C3: „przeramowanie” (z incydentu środowiskowego → narzędzie wojny ekonomicznej)</w:t>
      </w:r>
    </w:p>
    <w:bookmarkEnd w:id="38"/>
    <w:bookmarkEnd w:id="39"/>
    <w:bookmarkStart w:id="44" w:name="mapy-27d-i-reżimy-9r"/>
    <w:p>
      <w:pPr>
        <w:pStyle w:val="Heading2"/>
      </w:pPr>
      <w:r>
        <w:t xml:space="preserve">Mapy 27D i reżimy 9R</w:t>
      </w:r>
    </w:p>
    <w:bookmarkStart w:id="40" w:name="X565d088dbd48ae6a3de9ebb8c7ca5676d83e131"/>
    <w:p>
      <w:pPr>
        <w:pStyle w:val="Heading3"/>
      </w:pPr>
      <w:r>
        <w:t xml:space="preserve">Definicja operacyjna 27D i skala aktywacji</w:t>
      </w:r>
    </w:p>
    <w:p>
      <w:pPr>
        <w:pStyle w:val="FirstParagraph"/>
      </w:pPr>
      <w:r>
        <w:t xml:space="preserve">[ZAŁOŻENIE] Pracuję na Twojej geometrii 27D jako kostce 3×3×3:</w:t>
      </w:r>
      <w:r>
        <w:br/>
      </w:r>
      <w:r>
        <w:t xml:space="preserve">- oś A:</w:t>
      </w:r>
      <w:r>
        <w:t xml:space="preserve"> </w:t>
      </w:r>
      <w:r>
        <w:rPr>
          <w:b/>
          <w:bCs/>
        </w:rPr>
        <w:t xml:space="preserve">Sieć / Sygnał / Szum</w:t>
      </w:r>
      <w:r>
        <w:br/>
      </w:r>
      <w:r>
        <w:t xml:space="preserve">- oś B:</w:t>
      </w:r>
      <w:r>
        <w:t xml:space="preserve"> </w:t>
      </w:r>
      <w:r>
        <w:rPr>
          <w:b/>
          <w:bCs/>
        </w:rPr>
        <w:t xml:space="preserve">Plan / Pauza / Hamulec</w:t>
      </w:r>
      <w:r>
        <w:br/>
      </w:r>
      <w:r>
        <w:t xml:space="preserve">- oś C:</w:t>
      </w:r>
      <w:r>
        <w:t xml:space="preserve"> </w:t>
      </w:r>
      <w:r>
        <w:rPr>
          <w:b/>
          <w:bCs/>
        </w:rPr>
        <w:t xml:space="preserve">Rdzeń / Próg / Periferia</w:t>
      </w:r>
    </w:p>
    <w:p>
      <w:pPr>
        <w:pStyle w:val="BodyText"/>
      </w:pPr>
      <w:r>
        <w:t xml:space="preserve">Skala intensywności komórek: 0–3 (0 brak, 1 ślad, 2 wyraźne, 3 dominujące).</w:t>
      </w:r>
    </w:p>
    <w:bookmarkEnd w:id="40"/>
    <w:bookmarkStart w:id="41" w:name="mapy-aktywacji-27d-dla-z1z5"/>
    <w:p>
      <w:pPr>
        <w:pStyle w:val="Heading3"/>
      </w:pPr>
      <w:r>
        <w:t xml:space="preserve">Mapy aktywacji 27D dla Z1–Z5</w:t>
      </w:r>
    </w:p>
    <w:p>
      <w:pPr>
        <w:pStyle w:val="FirstParagraph"/>
      </w:pPr>
      <w:r>
        <w:t xml:space="preserve">Każda mapa to trzy warstwy 3×3 (Rdzeń, Próg, Periferia). Wiersze: Sieć/Sygnał/Szum. Kolumny: Plan/Pauza/Hamulec.</w:t>
      </w:r>
      <w:r>
        <w:br/>
      </w:r>
      <w:r>
        <w:rPr>
          <w:b/>
          <w:bCs/>
        </w:rPr>
        <w:t xml:space="preserve">Uwaga:</w:t>
      </w:r>
      <w:r>
        <w:t xml:space="preserve"> </w:t>
      </w:r>
      <w:r>
        <w:t xml:space="preserve">wartości są [ZAŁOŻENIE] — to „kodowanie analityczne” na podstawie treści źródeł.</w:t>
      </w:r>
    </w:p>
    <w:p>
      <w:pPr>
        <w:pStyle w:val="BodyText"/>
      </w:pPr>
      <w:r>
        <w:rPr>
          <w:b/>
          <w:bCs/>
        </w:rPr>
        <w:t xml:space="preserve">Z1 — Pożar/wybuch i utrata kontroli</w:t>
      </w:r>
      <w:r>
        <w:br/>
      </w:r>
      <w:r>
        <w:t xml:space="preserve">Rdzeń: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2 | 1 | 2 |</w:t>
      </w:r>
      <w:r>
        <w:t xml:space="preserve"> </w:t>
      </w:r>
      <w:r>
        <w:t xml:space="preserve">| Sygnał | 3 | 1 | 2 |</w:t>
      </w:r>
      <w:r>
        <w:t xml:space="preserve"> </w:t>
      </w:r>
      <w:r>
        <w:t xml:space="preserve">| Szum | 1 | 1 | 2 |</w:t>
      </w:r>
    </w:p>
    <w:p>
      <w:pPr>
        <w:pStyle w:val="BodyText"/>
      </w:pPr>
      <w:r>
        <w:t xml:space="preserve">Próg: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2 | 1 | 2 |</w:t>
      </w:r>
      <w:r>
        <w:t xml:space="preserve"> </w:t>
      </w:r>
      <w:r>
        <w:t xml:space="preserve">| Sygnał | 2 | 1 | 2 |</w:t>
      </w:r>
      <w:r>
        <w:t xml:space="preserve"> </w:t>
      </w:r>
      <w:r>
        <w:t xml:space="preserve">| Szum | 1 | 1 | 2 |</w:t>
      </w:r>
    </w:p>
    <w:p>
      <w:pPr>
        <w:pStyle w:val="BodyText"/>
      </w:pPr>
      <w:r>
        <w:t xml:space="preserve">Periferia: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2 | 2 | 2 |</w:t>
      </w:r>
      <w:r>
        <w:t xml:space="preserve"> </w:t>
      </w:r>
      <w:r>
        <w:t xml:space="preserve">| Sygnał | 2 | 1 | 1 |</w:t>
      </w:r>
      <w:r>
        <w:t xml:space="preserve"> </w:t>
      </w:r>
      <w:r>
        <w:t xml:space="preserve">| Szum | 2 | 2 | 2 |</w:t>
      </w:r>
    </w:p>
    <w:p>
      <w:pPr>
        <w:pStyle w:val="BodyText"/>
      </w:pPr>
      <w:r>
        <w:t xml:space="preserve">Środek ciężkości (A,B,C):</w:t>
      </w:r>
      <w:r>
        <w:t xml:space="preserve"> </w:t>
      </w:r>
      <m:oMath>
        <m:r>
          <m:rPr>
            <m:sty m:val="p"/>
          </m:rPr>
          <m:t>≈</m:t>
        </m:r>
        <m:d>
          <m:dPr>
            <m:begChr m:val="("/>
            <m:sepChr m:val=""/>
            <m:endChr m:val=")"/>
            <m:grow/>
          </m:dPr>
          <m:e>
            <m:r>
              <m:t>1.96</m:t>
            </m:r>
            <m:r>
              <m:rPr>
                <m:sty m:val="p"/>
              </m:rPr>
              <m:t>,</m:t>
            </m:r>
            <m:r>
              <m:t> </m:t>
            </m:r>
            <m:r>
              <m:t>2.00</m:t>
            </m:r>
            <m:r>
              <m:rPr>
                <m:sty m:val="p"/>
              </m:rPr>
              <m:t>,</m:t>
            </m:r>
            <m:r>
              <m:t> </m:t>
            </m:r>
            <m:r>
              <m:t>2.02</m:t>
            </m:r>
          </m:e>
        </m:d>
      </m:oMath>
      <w:r>
        <w:t xml:space="preserve"> </w:t>
      </w:r>
      <w:r>
        <w:t xml:space="preserve">[ZAŁOŻENIE] — równowaga Sieć/Sygnał, silna obecność Progu/Periferii (wczesna mgła informacyjna).</w:t>
      </w:r>
      <w:r>
        <w:t xml:space="preserve"> </w:t>
      </w:r>
      <w:hyperlink r:id="rId28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rPr>
          <w:b/>
          <w:bCs/>
        </w:rPr>
        <w:t xml:space="preserve">Z2 — Sprzeczne raporty o zatonięciu</w:t>
      </w:r>
      <w:r>
        <w:br/>
      </w:r>
      <w:r>
        <w:t xml:space="preserve">Rdzeń: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1 | 1 | 1 |</w:t>
      </w:r>
      <w:r>
        <w:t xml:space="preserve"> </w:t>
      </w:r>
      <w:r>
        <w:t xml:space="preserve">| Sygnał | 1 | 1 | 1 |</w:t>
      </w:r>
      <w:r>
        <w:t xml:space="preserve"> </w:t>
      </w:r>
      <w:r>
        <w:t xml:space="preserve">| Szum | 2 | 2 | 2 |</w:t>
      </w:r>
    </w:p>
    <w:p>
      <w:pPr>
        <w:pStyle w:val="BodyText"/>
      </w:pPr>
      <w:r>
        <w:t xml:space="preserve">Próg: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1 | 1 | 2 |</w:t>
      </w:r>
      <w:r>
        <w:t xml:space="preserve"> </w:t>
      </w:r>
      <w:r>
        <w:t xml:space="preserve">| Sygnał | 1 | 1 | 2 |</w:t>
      </w:r>
      <w:r>
        <w:t xml:space="preserve"> </w:t>
      </w:r>
      <w:r>
        <w:t xml:space="preserve">| Szum | 3 | 3 | 3 |</w:t>
      </w:r>
    </w:p>
    <w:p>
      <w:pPr>
        <w:pStyle w:val="BodyText"/>
      </w:pPr>
      <w:r>
        <w:t xml:space="preserve">Periferia: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2 | 2 | 2 |</w:t>
      </w:r>
      <w:r>
        <w:t xml:space="preserve"> </w:t>
      </w:r>
      <w:r>
        <w:t xml:space="preserve">| Sygnał | 1 | 1 | 1 |</w:t>
      </w:r>
      <w:r>
        <w:t xml:space="preserve"> </w:t>
      </w:r>
      <w:r>
        <w:t xml:space="preserve">| Szum | 3 | 3 | 3 |</w:t>
      </w:r>
    </w:p>
    <w:p>
      <w:pPr>
        <w:pStyle w:val="BodyText"/>
      </w:pPr>
      <w:r>
        <w:t xml:space="preserve">Środek ciężkości:</w:t>
      </w:r>
      <w:r>
        <w:t xml:space="preserve"> </w:t>
      </w:r>
      <m:oMath>
        <m:r>
          <m:rPr>
            <m:sty m:val="p"/>
          </m:rPr>
          <m:t>≈</m:t>
        </m:r>
        <m:d>
          <m:dPr>
            <m:begChr m:val="("/>
            <m:sepChr m:val=""/>
            <m:endChr m:val=")"/>
            <m:grow/>
          </m:dPr>
          <m:e>
            <m:r>
              <m:t>2.23</m:t>
            </m:r>
            <m:r>
              <m:rPr>
                <m:sty m:val="p"/>
              </m:rPr>
              <m:t>,</m:t>
            </m:r>
            <m:r>
              <m:t> </m:t>
            </m:r>
            <m:r>
              <m:t>2.04</m:t>
            </m:r>
            <m:r>
              <m:rPr>
                <m:sty m:val="p"/>
              </m:rPr>
              <m:t>,</m:t>
            </m:r>
            <m:r>
              <m:t> </m:t>
            </m:r>
            <m:r>
              <m:t>2.13</m:t>
            </m:r>
          </m:e>
        </m:d>
      </m:oMath>
      <w:r>
        <w:t xml:space="preserve"> </w:t>
      </w:r>
      <w:r>
        <w:t xml:space="preserve">[ZAŁOŻENIE] — dominacja Szumu w Progu/Periferii (decyzyjny „punkt mgły”).</w:t>
      </w:r>
      <w:r>
        <w:t xml:space="preserve"> </w:t>
      </w:r>
      <w:hyperlink r:id="rId26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Z3 — Ostrzeżenie urzędowe i strefa 5 Mm</w:t>
      </w:r>
      <w:r>
        <w:br/>
      </w:r>
      <w:r>
        <w:t xml:space="preserve">Rdzeń: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1 | 0 | 2 |</w:t>
      </w:r>
      <w:r>
        <w:t xml:space="preserve"> </w:t>
      </w:r>
      <w:r>
        <w:t xml:space="preserve">| Sygnał | 2 | 1 | 3 |</w:t>
      </w:r>
      <w:r>
        <w:t xml:space="preserve"> </w:t>
      </w:r>
      <w:r>
        <w:t xml:space="preserve">| Szum | 0 | 0 | 1 |</w:t>
      </w:r>
    </w:p>
    <w:p>
      <w:pPr>
        <w:pStyle w:val="BodyText"/>
      </w:pPr>
      <w:r>
        <w:t xml:space="preserve">Próg: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0 | 0 | 1 |</w:t>
      </w:r>
      <w:r>
        <w:t xml:space="preserve"> </w:t>
      </w:r>
      <w:r>
        <w:t xml:space="preserve">| Sygnał | 1 | 1 | 2 |</w:t>
      </w:r>
      <w:r>
        <w:t xml:space="preserve"> </w:t>
      </w:r>
      <w:r>
        <w:t xml:space="preserve">| Szum | 0 | 0 | 0 |</w:t>
      </w:r>
    </w:p>
    <w:p>
      <w:pPr>
        <w:pStyle w:val="BodyText"/>
      </w:pPr>
      <w:r>
        <w:t xml:space="preserve">Periferia: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0 | 0 | 0 |</w:t>
      </w:r>
      <w:r>
        <w:t xml:space="preserve"> </w:t>
      </w:r>
      <w:r>
        <w:t xml:space="preserve">| Sygnał | 0 | 0 | 1 |</w:t>
      </w:r>
      <w:r>
        <w:t xml:space="preserve"> </w:t>
      </w:r>
      <w:r>
        <w:t xml:space="preserve">| Szum | 0 | 0 | 0 |</w:t>
      </w:r>
    </w:p>
    <w:p>
      <w:pPr>
        <w:pStyle w:val="BodyText"/>
      </w:pPr>
      <w:r>
        <w:t xml:space="preserve">Środek ciężkości:</w:t>
      </w:r>
      <w:r>
        <w:t xml:space="preserve"> </w:t>
      </w:r>
      <m:oMath>
        <m:r>
          <m:rPr>
            <m:sty m:val="p"/>
          </m:rPr>
          <m:t>≈</m:t>
        </m:r>
        <m:d>
          <m:dPr>
            <m:begChr m:val="("/>
            <m:sepChr m:val=""/>
            <m:endChr m:val=")"/>
            <m:grow/>
          </m:dPr>
          <m:e>
            <m:r>
              <m:t>1.81</m:t>
            </m:r>
            <m:r>
              <m:rPr>
                <m:sty m:val="p"/>
              </m:rPr>
              <m:t>,</m:t>
            </m:r>
            <m:r>
              <m:t> </m:t>
            </m:r>
            <m:r>
              <m:t>2.38</m:t>
            </m:r>
            <m:r>
              <m:rPr>
                <m:sty m:val="p"/>
              </m:rPr>
              <m:t>,</m:t>
            </m:r>
            <m:r>
              <m:t> </m:t>
            </m:r>
            <m:r>
              <m:t>1.44</m:t>
            </m:r>
          </m:e>
        </m:d>
      </m:oMath>
      <w:r>
        <w:t xml:space="preserve"> </w:t>
      </w:r>
      <w:r>
        <w:t xml:space="preserve">[ZAŁOŻENIE] — „Hamulec w Rdzeniu”: regulacja ryzyka dominuje nad percepcją.</w:t>
      </w:r>
      <w:r>
        <w:t xml:space="preserve"> </w:t>
      </w:r>
      <w:hyperlink r:id="rId21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b/>
          <w:bCs/>
        </w:rPr>
        <w:t xml:space="preserve">Z4 — Eskorta i decyzje polityczne</w:t>
      </w:r>
      <w:r>
        <w:br/>
      </w:r>
      <w:r>
        <w:t xml:space="preserve">Rdzeń: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2 | 1 | 3 |</w:t>
      </w:r>
      <w:r>
        <w:t xml:space="preserve"> </w:t>
      </w:r>
      <w:r>
        <w:t xml:space="preserve">| Sygnał | 2 | 1 | 2 |</w:t>
      </w:r>
      <w:r>
        <w:t xml:space="preserve"> </w:t>
      </w:r>
      <w:r>
        <w:t xml:space="preserve">| Szum | 1 | 1 | 2 |</w:t>
      </w:r>
    </w:p>
    <w:p>
      <w:pPr>
        <w:pStyle w:val="BodyText"/>
      </w:pPr>
      <w:r>
        <w:t xml:space="preserve">Próg: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2 | 1 | 2 |</w:t>
      </w:r>
      <w:r>
        <w:t xml:space="preserve"> </w:t>
      </w:r>
      <w:r>
        <w:t xml:space="preserve">| Sygnał | 1 | 1 | 2 |</w:t>
      </w:r>
      <w:r>
        <w:t xml:space="preserve"> </w:t>
      </w:r>
      <w:r>
        <w:t xml:space="preserve">| Szum | 1 | 1 | 2 |</w:t>
      </w:r>
    </w:p>
    <w:p>
      <w:pPr>
        <w:pStyle w:val="BodyText"/>
      </w:pPr>
      <w:r>
        <w:t xml:space="preserve">Periferia: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2 | 2 | 2 |</w:t>
      </w:r>
      <w:r>
        <w:t xml:space="preserve"> </w:t>
      </w:r>
      <w:r>
        <w:t xml:space="preserve">| Sygnał | 1 | 1 | 1 |</w:t>
      </w:r>
      <w:r>
        <w:t xml:space="preserve"> </w:t>
      </w:r>
      <w:r>
        <w:t xml:space="preserve">| Szum | 2 | 2 | 2 |</w:t>
      </w:r>
    </w:p>
    <w:p>
      <w:pPr>
        <w:pStyle w:val="BodyText"/>
      </w:pPr>
      <w:r>
        <w:t xml:space="preserve">Środek ciężkości:</w:t>
      </w:r>
      <w:r>
        <w:t xml:space="preserve"> </w:t>
      </w:r>
      <m:oMath>
        <m:r>
          <m:rPr>
            <m:sty m:val="p"/>
          </m:rPr>
          <m:t>≈</m:t>
        </m:r>
        <m:d>
          <m:dPr>
            <m:begChr m:val="("/>
            <m:sepChr m:val=""/>
            <m:endChr m:val=")"/>
            <m:grow/>
          </m:dPr>
          <m:e>
            <m:r>
              <m:t>1.93</m:t>
            </m:r>
            <m:r>
              <m:rPr>
                <m:sty m:val="p"/>
              </m:rPr>
              <m:t>,</m:t>
            </m:r>
            <m:r>
              <m:t> </m:t>
            </m:r>
            <m:r>
              <m:t>2.09</m:t>
            </m:r>
            <m:r>
              <m:rPr>
                <m:sty m:val="p"/>
              </m:rPr>
              <m:t>,</m:t>
            </m:r>
            <m:r>
              <m:t> </m:t>
            </m:r>
            <m:r>
              <m:t>2.00</m:t>
            </m:r>
          </m:e>
        </m:d>
      </m:oMath>
      <w:r>
        <w:t xml:space="preserve"> </w:t>
      </w:r>
      <w:r>
        <w:t xml:space="preserve">[ZAŁOŻENIE] — mieszanka Plan/Pauza (procedury) z Hamulcem (ryzyko).</w:t>
      </w:r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Z5 — Alarm ekologiczny i monitoring UE</w:t>
      </w:r>
      <w:r>
        <w:br/>
      </w:r>
      <w:r>
        <w:t xml:space="preserve">Rdzeń: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2 | 1 | 3 |</w:t>
      </w:r>
      <w:r>
        <w:t xml:space="preserve"> </w:t>
      </w:r>
      <w:r>
        <w:t xml:space="preserve">| Sygnał | 3 | 1 | 3 |</w:t>
      </w:r>
      <w:r>
        <w:t xml:space="preserve"> </w:t>
      </w:r>
      <w:r>
        <w:t xml:space="preserve">| Szum | 1 | 1 | 2 |</w:t>
      </w:r>
    </w:p>
    <w:p>
      <w:pPr>
        <w:pStyle w:val="BodyText"/>
      </w:pPr>
      <w:r>
        <w:t xml:space="preserve">Próg: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2 | 2 | 3 |</w:t>
      </w:r>
      <w:r>
        <w:t xml:space="preserve"> </w:t>
      </w:r>
      <w:r>
        <w:t xml:space="preserve">| Sygnał | 3 | 2 | 3 |</w:t>
      </w:r>
      <w:r>
        <w:t xml:space="preserve"> </w:t>
      </w:r>
      <w:r>
        <w:t xml:space="preserve">| Szum | 2 | 2 | 3 |</w:t>
      </w:r>
    </w:p>
    <w:p>
      <w:pPr>
        <w:pStyle w:val="BodyText"/>
      </w:pPr>
      <w:r>
        <w:t xml:space="preserve">Periferia:</w:t>
      </w:r>
      <w:r>
        <w:t xml:space="preserve"> </w:t>
      </w:r>
      <w:r>
        <w:t xml:space="preserve">| | Plan | Pauza | Hamulec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Sieć | 3 | 3 | 3 |</w:t>
      </w:r>
      <w:r>
        <w:t xml:space="preserve"> </w:t>
      </w:r>
      <w:r>
        <w:t xml:space="preserve">| Sygnał | 2 | 2 | 2 |</w:t>
      </w:r>
      <w:r>
        <w:t xml:space="preserve"> </w:t>
      </w:r>
      <w:r>
        <w:t xml:space="preserve">| Szum | 3 | 3 | 3 |</w:t>
      </w:r>
    </w:p>
    <w:p>
      <w:pPr>
        <w:pStyle w:val="BodyText"/>
      </w:pPr>
      <w:r>
        <w:t xml:space="preserve">Środek ciężkości:</w:t>
      </w:r>
      <w:r>
        <w:t xml:space="preserve"> </w:t>
      </w:r>
      <m:oMath>
        <m:r>
          <m:rPr>
            <m:sty m:val="p"/>
          </m:rPr>
          <m:t>≈</m:t>
        </m:r>
        <m:d>
          <m:dPr>
            <m:begChr m:val="("/>
            <m:sepChr m:val=""/>
            <m:endChr m:val=")"/>
            <m:grow/>
          </m:dPr>
          <m:e>
            <m:r>
              <m:t>1.97</m:t>
            </m:r>
            <m:r>
              <m:rPr>
                <m:sty m:val="p"/>
              </m:rPr>
              <m:t>,</m:t>
            </m:r>
            <m:r>
              <m:t> </m:t>
            </m:r>
            <m:r>
              <m:t>2.06</m:t>
            </m:r>
            <m:r>
              <m:rPr>
                <m:sty m:val="p"/>
              </m:rPr>
              <m:t>,</m:t>
            </m:r>
            <m:r>
              <m:t> </m:t>
            </m:r>
            <m:r>
              <m:t>2.11</m:t>
            </m:r>
          </m:e>
        </m:d>
      </m:oMath>
      <w:r>
        <w:t xml:space="preserve"> </w:t>
      </w:r>
      <w:r>
        <w:t xml:space="preserve">[ZAŁOŻENIE] — „Progi + Periferia”: ryzyko i narracja współdominują.</w:t>
      </w:r>
      <w:r>
        <w:t xml:space="preserve"> </w:t>
      </w:r>
      <w:hyperlink r:id="rId24">
        <w:r>
          <w:rPr>
            <w:rStyle w:val="Hyperlink"/>
          </w:rPr>
          <w:t xml:space="preserve">[40]</w:t>
        </w:r>
      </w:hyperlink>
    </w:p>
    <w:bookmarkEnd w:id="41"/>
    <w:bookmarkStart w:id="42" w:name="mapa-zagregowana-wątku"/>
    <w:p>
      <w:pPr>
        <w:pStyle w:val="Heading3"/>
      </w:pPr>
      <w:r>
        <w:t xml:space="preserve">Mapa zagregowana wątku</w:t>
      </w:r>
    </w:p>
    <w:p>
      <w:pPr>
        <w:pStyle w:val="FirstParagraph"/>
      </w:pPr>
      <w:r>
        <w:t xml:space="preserve">Sumaryczny środek ciężkości całego wątku:</w:t>
      </w:r>
      <w:r>
        <w:t xml:space="preserve"> </w:t>
      </w:r>
      <m:oMath>
        <m:r>
          <m:rPr>
            <m:sty m:val="p"/>
          </m:rPr>
          <m:t>≈</m:t>
        </m:r>
        <m:d>
          <m:dPr>
            <m:begChr m:val="("/>
            <m:sepChr m:val=""/>
            <m:endChr m:val=")"/>
            <m:grow/>
          </m:dPr>
          <m:e>
            <m:r>
              <m:t>2.00</m:t>
            </m:r>
            <m:r>
              <m:rPr>
                <m:sty m:val="p"/>
              </m:rPr>
              <m:t>,</m:t>
            </m:r>
            <m:r>
              <m:t> </m:t>
            </m:r>
            <m:r>
              <m:t>2.07</m:t>
            </m:r>
            <m:r>
              <m:rPr>
                <m:sty m:val="p"/>
              </m:rPr>
              <m:t>,</m:t>
            </m:r>
            <m:r>
              <m:t> </m:t>
            </m:r>
            <m:r>
              <m:t>2.02</m:t>
            </m:r>
          </m:e>
        </m:d>
      </m:oMath>
      <w:r>
        <w:t xml:space="preserve"> </w:t>
      </w:r>
      <w:r>
        <w:t xml:space="preserve">[ZAŁOŻENIE] — system stoi na granicy</w:t>
      </w:r>
      <w:r>
        <w:t xml:space="preserve"> </w:t>
      </w:r>
      <w:r>
        <w:rPr>
          <w:b/>
          <w:bCs/>
        </w:rPr>
        <w:t xml:space="preserve">Sygnał↔Szum</w:t>
      </w:r>
      <w:r>
        <w:t xml:space="preserve">, z lekkim odchyłem ku</w:t>
      </w:r>
      <w:r>
        <w:t xml:space="preserve"> </w:t>
      </w:r>
      <w:r>
        <w:rPr>
          <w:b/>
          <w:bCs/>
        </w:rPr>
        <w:t xml:space="preserve">Pauzie</w:t>
      </w:r>
      <w:r>
        <w:t xml:space="preserve"> </w:t>
      </w:r>
      <w:r>
        <w:t xml:space="preserve">(czekanie na holowanie/działania) i</w:t>
      </w:r>
      <w:r>
        <w:t xml:space="preserve"> </w:t>
      </w:r>
      <w:r>
        <w:rPr>
          <w:b/>
          <w:bCs/>
        </w:rPr>
        <w:t xml:space="preserve">Progowi</w:t>
      </w:r>
      <w:r>
        <w:t xml:space="preserve"> </w:t>
      </w:r>
      <w:r>
        <w:t xml:space="preserve">(ciągłe „czy stanie się gorzej?”).</w:t>
      </w:r>
      <w:r>
        <w:t xml:space="preserve"> </w:t>
      </w:r>
      <w:hyperlink r:id="rId23">
        <w:r>
          <w:rPr>
            <w:rStyle w:val="Hyperlink"/>
          </w:rPr>
          <w:t xml:space="preserve">[41]</w:t>
        </w:r>
      </w:hyperlink>
    </w:p>
    <w:bookmarkEnd w:id="42"/>
    <w:bookmarkStart w:id="43" w:name="mapowanie-na-9r"/>
    <w:p>
      <w:pPr>
        <w:pStyle w:val="Heading3"/>
      </w:pPr>
      <w:r>
        <w:t xml:space="preserve">Mapowanie na 9R</w:t>
      </w:r>
    </w:p>
    <w:p>
      <w:pPr>
        <w:pStyle w:val="FirstParagraph"/>
      </w:pPr>
      <w:r>
        <w:t xml:space="preserve">[ZAŁOŻENIE] 9R traktuję dokładnie tak, jak wynika z Twoich biegunów (bez dopowiadania treści operacyjnych poza opisem interpretacyjnym).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Z1</w:t>
      </w:r>
      <w:r>
        <w:t xml:space="preserve">: (dominujące) R2 Sygnał, R5 Progi; (wtórne) R1 Sieć, R6 Hamulec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Z2</w:t>
      </w:r>
      <w:r>
        <w:t xml:space="preserve">: (dominujące) R8 Periferia, R9 Rewizja; (wtórne) R1 Sieć, R6 Hamulec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Z3</w:t>
      </w:r>
      <w:r>
        <w:t xml:space="preserve">: (dominujące) R6 Hamulec, R2 Sygnał, R7 Rdzeń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Z4</w:t>
      </w:r>
      <w:r>
        <w:t xml:space="preserve">: (dominujące) R1 Sieć, R3 Plan, R6 Hamulec; (wtórne) R9 Rewizja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Z5</w:t>
      </w:r>
      <w:r>
        <w:t xml:space="preserve">: (dominujące) R5 Progi, R8 Periferia; (wtórne) R2 Sygnał, R1 Sieć, R6 Hamulec</w:t>
      </w:r>
    </w:p>
    <w:p>
      <w:pPr>
        <w:pStyle w:val="FirstParagraph"/>
      </w:pPr>
      <w:r>
        <w:t xml:space="preserve">Uzasadnienie „źródłowe”: Z3 ma wyraźny podpis hamulca (zakaz nawigacji i dystans 5 Mm), Z1 i Z2 są wysokoszumowe z powodu braku atrybucji i sprzecznych doniesień, a Z5 eskaluje próg ryzyka przez komunikację o możliwej katastrofie.</w:t>
      </w:r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</w:p>
    <w:bookmarkEnd w:id="43"/>
    <w:bookmarkEnd w:id="44"/>
    <w:bookmarkStart w:id="49" w:name="analiza-strategiczna-i-predykcje"/>
    <w:p>
      <w:pPr>
        <w:pStyle w:val="Heading2"/>
      </w:pPr>
      <w:r>
        <w:t xml:space="preserve">Analiza strategiczna i predykcje</w:t>
      </w:r>
    </w:p>
    <w:bookmarkStart w:id="46" w:name="X70736869c61e655dc2e3864963309407d57b7ac"/>
    <w:p>
      <w:pPr>
        <w:pStyle w:val="Heading3"/>
      </w:pPr>
      <w:r>
        <w:t xml:space="preserve">Mechanika „co tu się naprawdę dzieje” (bez operacjonalizacji przemocy)</w:t>
      </w:r>
    </w:p>
    <w:p>
      <w:pPr>
        <w:pStyle w:val="FirstParagraph"/>
      </w:pPr>
      <w:r>
        <w:rPr>
          <w:b/>
          <w:bCs/>
        </w:rPr>
        <w:t xml:space="preserve">Warstwa materialna (Rdzeń):</w:t>
      </w:r>
      <w:r>
        <w:br/>
      </w:r>
      <w:r>
        <w:t xml:space="preserve">[FAKT] Jednostka jest ciężko uszkodzona, dryfuje bez załogi w rejonie wrażliwym (szlaki żeglugowe, blisko wybrzeży) i jest przedmiotem monitoringu/eskorty oraz ograniczeń ruchu.</w:t>
      </w:r>
      <w:r>
        <w:t xml:space="preserve"> </w:t>
      </w:r>
      <w:hyperlink r:id="rId23">
        <w:r>
          <w:rPr>
            <w:rStyle w:val="Hyperlink"/>
          </w:rPr>
          <w:t xml:space="preserve">[43]</w:t>
        </w:r>
      </w:hyperlink>
      <w:r>
        <w:br/>
      </w:r>
      <w:r>
        <w:t xml:space="preserve">[FAKT] Ryzyko środowiskowe jest powiązane z tym, że LNG i paliwa morsko–dieslowskie mają odmienne profile zagrożeń: LNG szybko odparowuje, może tworzyć ciężką, nisko zalegającą chmurę par i przy odpowiednich warunkach prowadzić do pożarów; dokumenty techniczne i regulacyjne eksponują m.in. palność, ryzyka kriogeniczne i potrzebę minimalizacji niekontrolowanego uwolnienia.</w:t>
      </w:r>
      <w:r>
        <w:t xml:space="preserve"> </w:t>
      </w:r>
      <w:hyperlink r:id="rId45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b/>
          <w:bCs/>
        </w:rPr>
        <w:t xml:space="preserve">Warstwa systemowa (Sieć):</w:t>
      </w:r>
      <w:r>
        <w:br/>
      </w:r>
      <w:r>
        <w:t xml:space="preserve">[FAKT] W zdarzenie są wpięte co najmniej cztery „węzły państwowe”: Malta (strefa mariners / SAR), Włochy (eskorta i polityka portowa), Libia (wczesna faza SAR i wczesne raporty), Rosja/Ukraina (spór o atrybucję).</w:t>
      </w:r>
      <w:r>
        <w:t xml:space="preserve"> </w:t>
      </w:r>
      <w:hyperlink r:id="rId23">
        <w:r>
          <w:rPr>
            <w:rStyle w:val="Hyperlink"/>
          </w:rPr>
          <w:t xml:space="preserve">[45]</w:t>
        </w:r>
      </w:hyperlink>
      <w:r>
        <w:br/>
      </w:r>
      <w:r>
        <w:t xml:space="preserve">[INFERENCJA] To jest klasyczny „węzeł odpowiedzialności” w prawie i praktyce morskiej: kto przejmuje inicjatywę, kto ponosi koszty, gdzie holować, jak zabezpieczać środowisko — nie są to decyzje czysto techniczne, lecz wprost polityczne.</w:t>
      </w:r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Warstwa percepcyjna (Periferia/Szum):</w:t>
      </w:r>
      <w:r>
        <w:br/>
      </w:r>
      <w:r>
        <w:t xml:space="preserve">[FAKT] Sprzeczne raporty (zatonięcie vs dryf) oraz silna obecność przekazów medialnych i OSINT tworzą środowisko podatne na działania hybrydowe (przynajmniej w sensie informacyjnym).</w:t>
      </w:r>
      <w:r>
        <w:t xml:space="preserve"> </w:t>
      </w:r>
      <w:hyperlink r:id="rId26">
        <w:r>
          <w:rPr>
            <w:rStyle w:val="Hyperlink"/>
          </w:rPr>
          <w:t xml:space="preserve">[37]</w:t>
        </w:r>
      </w:hyperlink>
      <w:r>
        <w:br/>
      </w:r>
      <w:r>
        <w:t xml:space="preserve">[INFERENCJA] W języku strategii „hybrid/gray zone” to przypadek, w którym realne zdarzenie infrastrukturalne może stać się „dźwignią narracyjną” (strach, delegitymizacja, presja ekonomiczno-polityczna).</w:t>
      </w:r>
      <w:r>
        <w:t xml:space="preserve"> </w:t>
      </w:r>
      <w:hyperlink r:id="rId22">
        <w:r>
          <w:rPr>
            <w:rStyle w:val="Hyperlink"/>
          </w:rPr>
          <w:t xml:space="preserve">[38]</w:t>
        </w:r>
      </w:hyperlink>
    </w:p>
    <w:bookmarkEnd w:id="46"/>
    <w:bookmarkStart w:id="47" w:name="X913b32f64feea415395b499110adb08848a3b8e"/>
    <w:p>
      <w:pPr>
        <w:pStyle w:val="Heading3"/>
      </w:pPr>
      <w:r>
        <w:t xml:space="preserve">Monte Carlo: symulacja ryzyka skutków (propagacja niepewności)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nie „przewidywanie”, tylko testowanie wrażliwości na opóźnienia działań i na parametry niejawne (stan zbiorników, tempo stabilizacji).</w:t>
      </w:r>
    </w:p>
    <w:p>
      <w:pPr>
        <w:pStyle w:val="BodyText"/>
      </w:pPr>
      <w:r>
        <w:rPr>
          <w:b/>
          <w:bCs/>
        </w:rPr>
        <w:t xml:space="preserve">Model [ZAŁOŻENIE]:</w:t>
      </w:r>
      <w:r>
        <w:t xml:space="preserve"> </w:t>
      </w:r>
      <w:r>
        <w:t xml:space="preserve">20 000 iteracji, trzy scenariusze (A/B/C) jako rozkłady priory, parametry (prawdopodobieństwo skutecznego holowania, prawdopodobieństwo rozszczelnienia LNG, prawdopodobieństwo dużego wycieku paliwa, prawdopodobieństwo zapłonu po uwolnieniu LNG) modelowane rozkładami beta. Wynik jest</w:t>
      </w:r>
      <w:r>
        <w:t xml:space="preserve"> </w:t>
      </w:r>
      <w:r>
        <w:rPr>
          <w:i/>
          <w:iCs/>
        </w:rPr>
        <w:t xml:space="preserve">artefaktem założeń</w:t>
      </w:r>
      <w:r>
        <w:t xml:space="preserve"> </w:t>
      </w:r>
      <w:r>
        <w:t xml:space="preserve">— należy go czytać jako wskaźnik „gdzie niepewność boli najbardziej”.</w:t>
      </w:r>
    </w:p>
    <w:p>
      <w:pPr>
        <w:pStyle w:val="BodyText"/>
      </w:pPr>
      <w:r>
        <w:rPr>
          <w:b/>
          <w:bCs/>
        </w:rPr>
        <w:t xml:space="preserve">Wyniki (uśrednione, [NISKA PEWNOŚĆ]):</w:t>
      </w:r>
      <w:r>
        <w:t xml:space="preserve"> </w:t>
      </w:r>
      <w:r>
        <w:t xml:space="preserve">- P(bezpieczne zakończenie bez istotnego incydentu): ~</w:t>
      </w:r>
      <w:r>
        <w:rPr>
          <w:b/>
          <w:bCs/>
        </w:rPr>
        <w:t xml:space="preserve">74%</w:t>
      </w:r>
      <w:r>
        <w:br/>
      </w:r>
      <w:r>
        <w:t xml:space="preserve">- P(duży wyciek paliw płynnych): ~</w:t>
      </w:r>
      <w:r>
        <w:rPr>
          <w:b/>
          <w:bCs/>
        </w:rPr>
        <w:t xml:space="preserve">12%</w:t>
      </w:r>
      <w:r>
        <w:br/>
      </w:r>
      <w:r>
        <w:t xml:space="preserve">- P(uwolnienie LNG bez zapłonu): ~</w:t>
      </w:r>
      <w:r>
        <w:rPr>
          <w:b/>
          <w:bCs/>
        </w:rPr>
        <w:t xml:space="preserve">7.8%</w:t>
      </w:r>
      <w:r>
        <w:br/>
      </w:r>
      <w:r>
        <w:t xml:space="preserve">- P(uwolnienie LNG z zapłonem/pożarem): ~</w:t>
      </w:r>
      <w:r>
        <w:rPr>
          <w:b/>
          <w:bCs/>
        </w:rPr>
        <w:t xml:space="preserve">3.4%</w:t>
      </w:r>
      <w:r>
        <w:br/>
      </w:r>
      <w:r>
        <w:t xml:space="preserve">- P(sumarycznie „duże zdarzenie” = duży wyciek paliw lub jakiekolwiek uwolnienie LNG): ~</w:t>
      </w:r>
      <w:r>
        <w:rPr>
          <w:b/>
          <w:bCs/>
        </w:rPr>
        <w:t xml:space="preserve">23%</w:t>
      </w:r>
    </w:p>
    <w:p>
      <w:pPr>
        <w:pStyle w:val="BodyText"/>
      </w:pPr>
      <w:r>
        <w:rPr>
          <w:b/>
          <w:bCs/>
        </w:rPr>
        <w:t xml:space="preserve">Interpretacja:</w:t>
      </w:r>
      <w:r>
        <w:t xml:space="preserve"> </w:t>
      </w:r>
      <w:r>
        <w:t xml:space="preserve">najwyższą wrażliwość wyników daje (i) czas do skutecznego holowania/izolacji, (ii) rzeczywisty stan zbiorników LNG, (iii) warunki pogodowe (bo determinują dryf i footprint chmury par). To bezpośrednio odpowiada Twoim parom Plan–Pauza i Progi–Hamulec: im dłuższa pauza, tym większa przestrzeń na przekroczenie progu.</w:t>
      </w:r>
      <w:r>
        <w:t xml:space="preserve"> </w:t>
      </w:r>
      <w:hyperlink r:id="rId23">
        <w:r>
          <w:rPr>
            <w:rStyle w:val="Hyperlink"/>
          </w:rPr>
          <w:t xml:space="preserve">[46]</w:t>
        </w:r>
      </w:hyperlink>
    </w:p>
    <w:bookmarkEnd w:id="47"/>
    <w:bookmarkStart w:id="48" w:name="X9add84076287e587258aa3a226f6cf06bfc4a69"/>
    <w:p>
      <w:pPr>
        <w:pStyle w:val="Heading3"/>
      </w:pPr>
      <w:r>
        <w:t xml:space="preserve">Predykcje (strategiczne, bez instruktażu operacyjnego)</w:t>
      </w:r>
    </w:p>
    <w:p>
      <w:pPr>
        <w:pStyle w:val="FirstParagraph"/>
      </w:pPr>
      <w:r>
        <w:rPr>
          <w:b/>
          <w:bCs/>
        </w:rPr>
        <w:t xml:space="preserve">Krótki horyzont (dni–1 tydzień)</w:t>
      </w:r>
      <w:r>
        <w:br/>
      </w:r>
      <w:r>
        <w:t xml:space="preserve">[PREDYKCJA] Utrzymanie reżimu „Hamulec”: poszerzanie/utrzymanie stref bezpieczeństwa, dalsze komunikaty dla żeglugi, z naciskiem na dystans i zakaz podejścia. P≈0.75, [ŚREDNIA PEWNOŚĆ].</w:t>
      </w:r>
      <w:r>
        <w:t xml:space="preserve"> </w:t>
      </w:r>
      <w:hyperlink r:id="rId21">
        <w:r>
          <w:rPr>
            <w:rStyle w:val="Hyperlink"/>
          </w:rPr>
          <w:t xml:space="preserve">[47]</w:t>
        </w:r>
      </w:hyperlink>
      <w:r>
        <w:br/>
      </w:r>
      <w:r>
        <w:t xml:space="preserve">Sygnatury wczesne: kolejne</w:t>
      </w:r>
      <w:r>
        <w:t xml:space="preserve"> </w:t>
      </w:r>
      <w:r>
        <w:rPr>
          <w:i/>
          <w:iCs/>
        </w:rPr>
        <w:t xml:space="preserve">notices to mariners</w:t>
      </w:r>
      <w:r>
        <w:t xml:space="preserve">, wzrost liczby lotów patrolowych, komunikaty o holownikach i firmach ratowniczych.</w:t>
      </w:r>
      <w:r>
        <w:t xml:space="preserve"> </w:t>
      </w:r>
      <w:hyperlink r:id="rId29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b/>
          <w:bCs/>
        </w:rPr>
        <w:t xml:space="preserve">Średni horyzont (1–4 tygodnie)</w:t>
      </w:r>
      <w:r>
        <w:br/>
      </w:r>
      <w:r>
        <w:t xml:space="preserve">[PREDYKCJA] Rozstrzygnięcie „kto holuje i gdzie”: wariant dominujący to holowanie przez podmiot komercyjny/armatorski przy ścisłej kontroli publicznej (Włochy/Malta) oraz utrzymanie zasady „bez portu” (jeżeli ryzyko pozostaje wysokie). P≈0.60, [NISKA–ŚREDNIA PEWNOŚĆ].</w:t>
      </w:r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br/>
      </w:r>
      <w:r>
        <w:t xml:space="preserve">Co mogłoby obalić: wyraźna poprawa stanu technicznego lub przeciwnie — pogorszenie, wymuszające decyzję o „miejscu schronienia” mimo kosztów politycznych.</w:t>
      </w:r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Długi horyzont (1–6 miesięcy)</w:t>
      </w:r>
      <w:r>
        <w:br/>
      </w:r>
      <w:r>
        <w:t xml:space="preserve">[PREDYKCJA] Wzrost zainteresowania „ochroną infrastruktury i żeglugi” jako elementu bezpieczeństwa w Europie Południowej: incydent stanie się argumentem w debacie o odporności na zagrożenia hybrydowe i o świadomości sytuacyjnej na morzu. P≈0.55, [NISKA PEWNOŚĆ].</w:t>
      </w:r>
      <w:r>
        <w:t xml:space="preserve"> </w:t>
      </w:r>
      <w:hyperlink r:id="rId22">
        <w:r>
          <w:rPr>
            <w:rStyle w:val="Hyperlink"/>
          </w:rPr>
          <w:t xml:space="preserve">[50]</w:t>
        </w:r>
      </w:hyperlink>
    </w:p>
    <w:bookmarkEnd w:id="48"/>
    <w:bookmarkEnd w:id="49"/>
    <w:bookmarkStart w:id="54" w:name="warstwa-fabularna"/>
    <w:p>
      <w:pPr>
        <w:pStyle w:val="Heading2"/>
      </w:pPr>
      <w:r>
        <w:t xml:space="preserve">Warstwa fabularna</w:t>
      </w:r>
    </w:p>
    <w:bookmarkStart w:id="50" w:name="teza-dramatyczna"/>
    <w:p>
      <w:pPr>
        <w:pStyle w:val="Heading3"/>
      </w:pPr>
      <w:r>
        <w:t xml:space="preserve">Teza dramatyczna</w:t>
      </w:r>
    </w:p>
    <w:p>
      <w:pPr>
        <w:pStyle w:val="FirstParagraph"/>
      </w:pPr>
      <w:r>
        <w:t xml:space="preserve">W epoce szarej strefy</w:t>
      </w:r>
      <w:r>
        <w:t xml:space="preserve"> </w:t>
      </w:r>
      <w:r>
        <w:rPr>
          <w:b/>
          <w:bCs/>
        </w:rPr>
        <w:t xml:space="preserve">najgroźniejsze obiekty nie muszą strzelać</w:t>
      </w:r>
      <w:r>
        <w:t xml:space="preserve">. Wystarczy, że dryfują. Wystarczy, że „nie da się powiedzieć”, kto odpowiada. A wtedy decyzje sądzą państwa szybciej niż trybunały: w salach kryzysowych, na mapach, w komunikatach do marinerów.</w:t>
      </w:r>
    </w:p>
    <w:bookmarkEnd w:id="50"/>
    <w:bookmarkStart w:id="51" w:name="trzy-logliney"/>
    <w:p>
      <w:pPr>
        <w:pStyle w:val="Heading3"/>
      </w:pPr>
      <w:r>
        <w:t xml:space="preserve">Trzy logline’y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„Statek bez załogi niesie w sobie sąd: nie w sensie moralnym, tylko systemowym.”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„Prawda nie tonie — ale może dryfować tak długo, aż ktoś ją podpali.”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„Kiedy gazowiec staje się memem geopolityki, każda fala jest redakcją.”</w:t>
      </w:r>
    </w:p>
    <w:bookmarkEnd w:id="51"/>
    <w:bookmarkStart w:id="52" w:name="Xefe63be5ca39678ef8ebe7437a459481fe4b740"/>
    <w:p>
      <w:pPr>
        <w:pStyle w:val="Heading3"/>
      </w:pPr>
      <w:r>
        <w:t xml:space="preserve">Postaci (syntetyczne, nie kopie osób realnych)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Koordynatorka kryzysowa (Włochy)</w:t>
      </w:r>
      <w:r>
        <w:t xml:space="preserve">: widzi w zdarzeniu równanie ryzyka; walczy z presją polityczną „żeby się nie działo u nas”.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Oficer łącznikowy (Malta)</w:t>
      </w:r>
      <w:r>
        <w:t xml:space="preserve">: stoi między mapą SAR a gniewem opinii publicznej; każde zdanie komunikatu waży jak tona LNG.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Analityk UE (misja IRINI)</w:t>
      </w:r>
      <w:r>
        <w:t xml:space="preserve">: zbiera sygnały z lotów i satelitów; jego raporty są krótkie, ale mogą przesunąć decyzję całego rządu.</w:t>
      </w:r>
      <w:r>
        <w:t xml:space="preserve"> </w:t>
      </w:r>
      <w:hyperlink r:id="rId31">
        <w:r>
          <w:rPr>
            <w:rStyle w:val="Hyperlink"/>
          </w:rPr>
          <w:t xml:space="preserve">[27]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Dziennikarz lokalny</w:t>
      </w:r>
      <w:r>
        <w:t xml:space="preserve">: walczy, by strefa 5 Mm nie była tylko liczbą; wie, że „słowa lubią panikę”.</w:t>
      </w:r>
      <w:r>
        <w:t xml:space="preserve"> </w:t>
      </w:r>
      <w:hyperlink r:id="rId29">
        <w:r>
          <w:rPr>
            <w:rStyle w:val="Hyperlink"/>
          </w:rPr>
          <w:t xml:space="preserve">[51]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Prawnik od sankcji</w:t>
      </w:r>
      <w:r>
        <w:t xml:space="preserve">: tłumaczy, że „flota cieni” to nie metafora, tylko architektura; i że architektura zawsze ma furtki.</w:t>
      </w:r>
      <w:r>
        <w:t xml:space="preserve"> </w:t>
      </w:r>
      <w:hyperlink r:id="rId28">
        <w:r>
          <w:rPr>
            <w:rStyle w:val="Hyperlink"/>
          </w:rPr>
          <w:t xml:space="preserve">[52]</w:t>
        </w:r>
      </w:hyperlink>
    </w:p>
    <w:bookmarkEnd w:id="52"/>
    <w:bookmarkStart w:id="53" w:name="główna-opowieść-treatment-w-5-blokach"/>
    <w:p>
      <w:pPr>
        <w:pStyle w:val="Heading3"/>
      </w:pPr>
      <w:r>
        <w:t xml:space="preserve">Główna opowieść (treatment w 5 blokach)</w:t>
      </w:r>
    </w:p>
    <w:p>
      <w:pPr>
        <w:pStyle w:val="FirstParagraph"/>
      </w:pPr>
      <w:r>
        <w:rPr>
          <w:b/>
          <w:bCs/>
        </w:rPr>
        <w:t xml:space="preserve">COLD OPEN</w:t>
      </w:r>
      <w:r>
        <w:br/>
      </w:r>
      <w:r>
        <w:t xml:space="preserve">Noc. Radar pokazuje punkt, który powinien świecić sygnałem NUC, ale nie świeci. W komunikacie stoi: „Trzymaj się 5 mil”. A mimo to, ktoś płynie bliżej — bo informacja zawsze kusi.</w:t>
      </w:r>
      <w:r>
        <w:t xml:space="preserve"> </w:t>
      </w:r>
      <w:hyperlink r:id="rId21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b/>
          <w:bCs/>
        </w:rPr>
        <w:t xml:space="preserve">AKT I</w:t>
      </w:r>
      <w:r>
        <w:br/>
      </w:r>
      <w:r>
        <w:t xml:space="preserve">Wybuch. Wersje są trzy. Tylko morze jest jedno. Kamerę zakłóca dym; w newsroomach rośnie napięcie: „zatonął?” „nie zatonął?” — a w tym pytaniu zamyka się cała logika Periferii.</w:t>
      </w:r>
      <w:r>
        <w:t xml:space="preserve"> </w:t>
      </w:r>
      <w:hyperlink r:id="rId26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AKT II</w:t>
      </w:r>
      <w:r>
        <w:br/>
      </w:r>
      <w:r>
        <w:t xml:space="preserve">W biurze premiera zapada decyzja: nie wpuszczać. Ale „nie wpuszczać” nie kończy problemu — ono go przenosi w czas. Pauza staje się strategią.</w:t>
      </w:r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AKT III</w:t>
      </w:r>
      <w:r>
        <w:br/>
      </w:r>
      <w:r>
        <w:t xml:space="preserve">IRINI przelatuje nad wrakiem. W raporcie są dwie dziury w kadłubie i jedno pytanie: „czy zbiorniki trzymają?”. W tym pytaniu mieści się cała geometria Progu.</w:t>
      </w:r>
      <w:r>
        <w:t xml:space="preserve"> </w:t>
      </w:r>
      <w:hyperlink r:id="rId24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rPr>
          <w:b/>
          <w:bCs/>
        </w:rPr>
        <w:t xml:space="preserve">EPILOG</w:t>
      </w:r>
      <w:r>
        <w:br/>
      </w:r>
      <w:r>
        <w:t xml:space="preserve">Nawet jeśli nic się nie stanie — w pamięci systemu zostaje fakt, że mogło. A to „mogło” jest paliwem polityki w szarej strefie, gdzie liczy się nie tylko to, co zrobiono, ale i to, czego nie da się przypisać.</w:t>
      </w:r>
      <w:r>
        <w:t xml:space="preserve"> </w:t>
      </w:r>
      <w:hyperlink r:id="rId22">
        <w:r>
          <w:rPr>
            <w:rStyle w:val="Hyperlink"/>
          </w:rPr>
          <w:t xml:space="preserve">[38]</w:t>
        </w:r>
      </w:hyperlink>
    </w:p>
    <w:bookmarkEnd w:id="53"/>
    <w:bookmarkEnd w:id="54"/>
    <w:bookmarkStart w:id="55" w:name="etyka-i-ograniczenia"/>
    <w:p>
      <w:pPr>
        <w:pStyle w:val="Heading2"/>
      </w:pPr>
      <w:r>
        <w:t xml:space="preserve">Etyka i ograniczenia</w:t>
      </w:r>
    </w:p>
    <w:p>
      <w:pPr>
        <w:pStyle w:val="FirstParagraph"/>
      </w:pPr>
      <w:r>
        <w:t xml:space="preserve">[FAKT] Zdarzenie dotyczy potencjalnie niebezpiecznego ładunku i infrastruktury krytycznej; publiczne analizy powinny unikać detali, które mogłyby ułatwiać przemoc, sabotaż lub obchodzenie zabezpieczeń; w szczególności dotyczy to spekulacji o „jak to zrobiono” i „jak można by to zrobić”. (To ograniczenie jest zgodne z Twoimi zasadami nadrzędnymi).</w:t>
      </w:r>
    </w:p>
    <w:p>
      <w:pPr>
        <w:pStyle w:val="BodyText"/>
      </w:pPr>
      <w:r>
        <w:rPr>
          <w:b/>
          <w:bCs/>
        </w:rPr>
        <w:t xml:space="preserve">Ryzyko dezinformacji:</w:t>
      </w:r>
      <w:r>
        <w:br/>
      </w:r>
      <w:r>
        <w:t xml:space="preserve">[INFERENCJA] Im wyższa entropia (Z1/Z2/Z5), tym większa podatność na „produkowanie pewności” przez narracje. Minimalna higiena analityczna to rozdział:</w:t>
      </w:r>
      <w:r>
        <w:t xml:space="preserve"> </w:t>
      </w:r>
      <w:r>
        <w:rPr>
          <w:i/>
          <w:iCs/>
        </w:rPr>
        <w:t xml:space="preserve">co wiemy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co zakładamy</w:t>
      </w:r>
      <w:r>
        <w:t xml:space="preserve"> </w:t>
      </w:r>
      <w:r>
        <w:t xml:space="preserve">— stąd konsekwentne etykiety [FAKT]/[INFERENCJA]/[PREDYKCJA]/[ZAŁOŻENIE].</w:t>
      </w:r>
      <w:r>
        <w:t xml:space="preserve"> </w:t>
      </w:r>
      <w:hyperlink r:id="rId26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b/>
          <w:bCs/>
        </w:rPr>
        <w:t xml:space="preserve">Prywatność:</w:t>
      </w:r>
      <w:r>
        <w:br/>
      </w:r>
      <w:r>
        <w:t xml:space="preserve">[FAKT] Materiał publiczny zawiera dane o jednostce, urzędowe komunikaty i informacje o trasach/koordynatach; w analizie unikam rozbudowywania tego o dane osobowe załogi, prywatną identyfikację lub śledzenie w czasie rzeczywistym ponad to, co wynika z komunikatów władz.</w:t>
      </w:r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Ograniczenie bazowe raportu:</w:t>
      </w:r>
      <w:r>
        <w:br/>
      </w:r>
      <w:r>
        <w:t xml:space="preserve">Nie ma publicznego, jednoznacznego potwierdzenia atrybucji przyczyny (atak vs awaria) — dlatego komponenty „wywiadowcze” pozostają na poziomie strategiczno-pojęciowym (szara strefa, wojna informacji), bez operacyjnych szczegółów.</w:t>
      </w:r>
      <w:r>
        <w:t xml:space="preserve"> </w:t>
      </w:r>
      <w:hyperlink r:id="rId23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t xml:space="preserve">navlistWybrane depesze i artykuły agencyjne o incydencieturn0news30,turn0news42,turn0news43</w:t>
      </w:r>
    </w:p>
    <w:bookmarkEnd w:id="55"/>
    <w:bookmarkEnd w:id="56"/>
    <w:bookmarkEnd w:id="57"/>
    <w:p>
      <w:r>
        <w:pict>
          <v:rect style="width:0;height:1.5pt" o:hralign="center" o:hrstd="t" o:hr="t"/>
        </w:pict>
      </w:r>
    </w:p>
    <w:bookmarkStart w:id="5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hyperlink r:id="rId21">
        <w:r>
          <w:rPr>
            <w:rStyle w:val="Hyperlink"/>
          </w:rPr>
          <w:t xml:space="preserve">[30]</w:t>
        </w:r>
      </w:hyperlink>
      <w:r>
        <w:t xml:space="preserve"> </w:t>
      </w:r>
      <w:hyperlink r:id="rId21">
        <w:r>
          <w:rPr>
            <w:rStyle w:val="Hyperlink"/>
          </w:rPr>
          <w:t xml:space="preserve">[33]</w:t>
        </w:r>
      </w:hyperlink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  <w:r>
        <w:t xml:space="preserve"> </w:t>
      </w:r>
      <w:hyperlink r:id="rId21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https://www.transport.gov.mt/include/filestreaming.asp?fileid=11401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https://www.transport.gov.mt/include/filestreaming.asp?fileid=11401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hyperlink r:id="rId22">
        <w:r>
          <w:rPr>
            <w:rStyle w:val="Hyperlink"/>
          </w:rPr>
          <w:t xml:space="preserve">[38]</w:t>
        </w:r>
      </w:hyperlink>
      <w:r>
        <w:t xml:space="preserve"> </w:t>
      </w:r>
      <w:hyperlink r:id="rId22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https://www.nato.int/en/what-we-do/deterrence-and-defence/countering-hybrid-threats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https://www.nato.int/en/what-we-do/deterrence-and-defence/countering-hybrid-threats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  <w:r>
        <w:t xml:space="preserve"> </w:t>
      </w:r>
      <w:hyperlink r:id="rId23">
        <w:r>
          <w:rPr>
            <w:rStyle w:val="Hyperlink"/>
          </w:rPr>
          <w:t xml:space="preserve">[25]</w:t>
        </w:r>
      </w:hyperlink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t xml:space="preserve"> </w:t>
      </w:r>
      <w:hyperlink r:id="rId23">
        <w:r>
          <w:rPr>
            <w:rStyle w:val="Hyperlink"/>
          </w:rPr>
          <w:t xml:space="preserve">[34]</w:t>
        </w:r>
      </w:hyperlink>
      <w:r>
        <w:t xml:space="preserve"> </w:t>
      </w:r>
      <w:hyperlink r:id="rId23">
        <w:r>
          <w:rPr>
            <w:rStyle w:val="Hyperlink"/>
          </w:rPr>
          <w:t xml:space="preserve">[36]</w:t>
        </w:r>
      </w:hyperlink>
      <w:r>
        <w:t xml:space="preserve"> </w:t>
      </w:r>
      <w:hyperlink r:id="rId23">
        <w:r>
          <w:rPr>
            <w:rStyle w:val="Hyperlink"/>
          </w:rPr>
          <w:t xml:space="preserve">[41]</w:t>
        </w:r>
      </w:hyperlink>
      <w:r>
        <w:t xml:space="preserve"> </w:t>
      </w:r>
      <w:hyperlink r:id="rId23">
        <w:r>
          <w:rPr>
            <w:rStyle w:val="Hyperlink"/>
          </w:rPr>
          <w:t xml:space="preserve">[43]</w:t>
        </w:r>
      </w:hyperlink>
      <w:r>
        <w:t xml:space="preserve"> </w:t>
      </w:r>
      <w:hyperlink r:id="rId23">
        <w:r>
          <w:rPr>
            <w:rStyle w:val="Hyperlink"/>
          </w:rPr>
          <w:t xml:space="preserve">[45]</w:t>
        </w:r>
      </w:hyperlink>
      <w:r>
        <w:t xml:space="preserve"> </w:t>
      </w:r>
      <w:hyperlink r:id="rId23">
        <w:r>
          <w:rPr>
            <w:rStyle w:val="Hyperlink"/>
          </w:rPr>
          <w:t xml:space="preserve">[46]</w:t>
        </w:r>
      </w:hyperlink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  <w:r>
        <w:t xml:space="preserve"> </w:t>
      </w:r>
      <w:hyperlink r:id="rId23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https://www.reuters.com/world/europe/italy-weighs-options-damaged-russian-lng-tanker-drifts-mediterranean-2026-03-13/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https://www.reuters.com/world/europe/italy-weighs-options-damaged-russian-lng-tanker-drifts-mediterranean-2026-03-13/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hyperlink r:id="rId24">
        <w:r>
          <w:rPr>
            <w:rStyle w:val="Hyperlink"/>
          </w:rPr>
          <w:t xml:space="preserve">[9]</w:t>
        </w:r>
      </w:hyperlink>
      <w:r>
        <w:t xml:space="preserve"> </w:t>
      </w:r>
      <w:hyperlink r:id="rId24">
        <w:r>
          <w:rPr>
            <w:rStyle w:val="Hyperlink"/>
          </w:rPr>
          <w:t xml:space="preserve">[24]</w:t>
        </w:r>
      </w:hyperlink>
      <w:r>
        <w:t xml:space="preserve"> </w:t>
      </w:r>
      <w:hyperlink r:id="rId24">
        <w:r>
          <w:rPr>
            <w:rStyle w:val="Hyperlink"/>
          </w:rPr>
          <w:t xml:space="preserve">[32]</w:t>
        </w:r>
      </w:hyperlink>
      <w:r>
        <w:t xml:space="preserve"> </w:t>
      </w:r>
      <w:hyperlink r:id="rId24">
        <w:r>
          <w:rPr>
            <w:rStyle w:val="Hyperlink"/>
          </w:rPr>
          <w:t xml:space="preserve">[40]</w:t>
        </w:r>
      </w:hyperlink>
      <w:r>
        <w:t xml:space="preserve"> </w:t>
      </w:r>
      <w:hyperlink r:id="rId24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Tankowiec Arctic Metagaz dryfuje bez załogi. Setki ton paliwa, grozi katastrofą - PolsatNews.pl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https://www.polsatnews.pl/wiadomosc/2026-03-14/rosyjski-statek-widmo-dryfuje-w-poblizu-malty-skutki-moga-byc-katastrofalne/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[12]</w:t>
        </w:r>
      </w:hyperlink>
      <w:r>
        <w:t xml:space="preserve"> </w:t>
      </w:r>
      <w:hyperlink r:id="rId26">
        <w:r>
          <w:rPr>
            <w:rStyle w:val="Hyperlink"/>
          </w:rPr>
          <w:t xml:space="preserve">[16]</w:t>
        </w:r>
      </w:hyperlink>
      <w:r>
        <w:t xml:space="preserve"> </w:t>
      </w:r>
      <w:hyperlink r:id="rId26">
        <w:r>
          <w:rPr>
            <w:rStyle w:val="Hyperlink"/>
          </w:rPr>
          <w:t xml:space="preserve">[28]</w:t>
        </w:r>
      </w:hyperlink>
      <w:r>
        <w:t xml:space="preserve"> </w:t>
      </w:r>
      <w:hyperlink r:id="rId26">
        <w:r>
          <w:rPr>
            <w:rStyle w:val="Hyperlink"/>
          </w:rPr>
          <w:t xml:space="preserve">[29]</w:t>
        </w:r>
      </w:hyperlink>
      <w:r>
        <w:t xml:space="preserve"> </w:t>
      </w:r>
      <w:hyperlink r:id="rId26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https://apnews.com/article/e40477839f7e8c5863492ec6de2b95de</w:t>
      </w:r>
    </w:p>
    <w:p>
      <w:pPr>
        <w:pStyle w:val="BodyText"/>
      </w:pPr>
      <w:hyperlink r:id="rId26">
        <w:r>
          <w:rPr>
            <w:rStyle w:val="Hyperlink"/>
          </w:rPr>
          <w:t xml:space="preserve">https://apnews.com/article/e40477839f7e8c5863492ec6de2b95de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[13]</w:t>
        </w:r>
      </w:hyperlink>
      <w:r>
        <w:t xml:space="preserve"> </w:t>
      </w:r>
      <w:hyperlink r:id="rId28">
        <w:r>
          <w:rPr>
            <w:rStyle w:val="Hyperlink"/>
          </w:rPr>
          <w:t xml:space="preserve">[15]</w:t>
        </w:r>
      </w:hyperlink>
      <w:r>
        <w:t xml:space="preserve"> </w:t>
      </w:r>
      <w:hyperlink r:id="rId28">
        <w:r>
          <w:rPr>
            <w:rStyle w:val="Hyperlink"/>
          </w:rPr>
          <w:t xml:space="preserve">[26]</w:t>
        </w:r>
      </w:hyperlink>
      <w:r>
        <w:t xml:space="preserve"> </w:t>
      </w:r>
      <w:hyperlink r:id="rId28">
        <w:r>
          <w:rPr>
            <w:rStyle w:val="Hyperlink"/>
          </w:rPr>
          <w:t xml:space="preserve">[39]</w:t>
        </w:r>
      </w:hyperlink>
      <w:r>
        <w:t xml:space="preserve"> </w:t>
      </w:r>
      <w:hyperlink r:id="rId28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https://www.reuters.com/business/energy/russian-flagged-sanctioned-lng-tanker-fire-mediterranean-crew-fate-unknown-2026-03-03/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https://www.reuters.com/business/energy/russian-flagged-sanctioned-lng-tanker-fire-mediterranean-crew-fate-unknown-2026-03-03/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[20]</w:t>
        </w:r>
      </w:hyperlink>
      <w:r>
        <w:t xml:space="preserve"> </w:t>
      </w:r>
      <w:hyperlink r:id="rId29">
        <w:r>
          <w:rPr>
            <w:rStyle w:val="Hyperlink"/>
          </w:rPr>
          <w:t xml:space="preserve">[48]</w:t>
        </w:r>
      </w:hyperlink>
      <w:r>
        <w:t xml:space="preserve"> </w:t>
      </w:r>
      <w:hyperlink r:id="rId29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https://www.maltatoday.com.mt/news/national/140277/arctic_metagaz_adrift_between_malta_and_lampedusa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https://www.maltatoday.com.mt/news/national/140277/arctic_metagaz_adrift_between_malta_and_lampedusa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https://www.ansa.it/amp/english/news/general_news/2026/03/13/govt-holds-meeting-on-russian-tanker-adrift-off-pelagie-islands_6b126d91-365a-45c3-8f5b-fb73e48d80c9.html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https://www.ansa.it/amp/english/news/general_news/2026/03/13/govt-holds-meeting-on-russian-tanker-adrift-off-pelagie-islands_6b126d91-365a-45c3-8f5b-fb73e48d80c9.html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https://www.eeas.europa.eu/eunavfor-med-operation-irini/eunavfor-med-irini-european-union-naval-force-irini-military-operation_und_en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https://www.eeas.europa.eu/eunavfor-med-operation-irini/eunavfor-med-irini-european-union-naval-force-irini-military-operation_und_en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https://www.rand.org/pubs/research_reports/RR2942.html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https://www.rand.org/pubs/research_reports/RR2942.html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https://response.restoration.noaa.gov/sites/default/files/LNG.pdf</w:t>
      </w:r>
    </w:p>
    <w:p>
      <w:pPr>
        <w:pStyle w:val="BodyText"/>
      </w:pPr>
      <w:hyperlink r:id="rId45">
        <w:r>
          <w:rPr>
            <w:rStyle w:val="Hyperlink"/>
          </w:rPr>
          <w:t xml:space="preserve">https://response.restoration.noaa.gov/sites/default/files/LNG.pdf</w:t>
        </w:r>
      </w:hyperlink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apnews.com/article/e40477839f7e8c5863492ec6de2b95de" TargetMode="External" /><Relationship Type="http://schemas.openxmlformats.org/officeDocument/2006/relationships/hyperlink" Id="rId45" Target="https://response.restoration.noaa.gov/sites/default/files/LNG.pdf" TargetMode="External" /><Relationship Type="http://schemas.openxmlformats.org/officeDocument/2006/relationships/hyperlink" Id="rId30" Target="https://www.ansa.it/amp/english/news/general_news/2026/03/13/govt-holds-meeting-on-russian-tanker-adrift-off-pelagie-islands_6b126d91-365a-45c3-8f5b-fb73e48d80c9.html" TargetMode="External" /><Relationship Type="http://schemas.openxmlformats.org/officeDocument/2006/relationships/hyperlink" Id="rId31" Target="https://www.eeas.europa.eu/eunavfor-med-operation-irini/eunavfor-med-irini-european-union-naval-force-irini-military-operation_und_en" TargetMode="External" /><Relationship Type="http://schemas.openxmlformats.org/officeDocument/2006/relationships/hyperlink" Id="rId29" Target="https://www.maltatoday.com.mt/news/national/140277/arctic_metagaz_adrift_between_malta_and_lampedusa" TargetMode="External" /><Relationship Type="http://schemas.openxmlformats.org/officeDocument/2006/relationships/hyperlink" Id="rId22" Target="https://www.nato.int/en/what-we-do/deterrence-and-defence/countering-hybrid-threats" TargetMode="External" /><Relationship Type="http://schemas.openxmlformats.org/officeDocument/2006/relationships/hyperlink" Id="rId24" Target="https://www.polsatnews.pl/wiadomosc/2026-03-14/rosyjski-statek-widmo-dryfuje-w-poblizu-malty-skutki-moga-byc-katastrofalne/" TargetMode="External" /><Relationship Type="http://schemas.openxmlformats.org/officeDocument/2006/relationships/hyperlink" Id="rId37" Target="https://www.rand.org/pubs/research_reports/RR2942.html" TargetMode="External" /><Relationship Type="http://schemas.openxmlformats.org/officeDocument/2006/relationships/hyperlink" Id="rId28" Target="https://www.reuters.com/business/energy/russian-flagged-sanctioned-lng-tanker-fire-mediterranean-crew-fate-unknown-2026-03-03/" TargetMode="External" /><Relationship Type="http://schemas.openxmlformats.org/officeDocument/2006/relationships/hyperlink" Id="rId23" Target="https://www.reuters.com/world/europe/italy-weighs-options-damaged-russian-lng-tanker-drifts-mediterranean-2026-03-13/" TargetMode="External" /><Relationship Type="http://schemas.openxmlformats.org/officeDocument/2006/relationships/hyperlink" Id="rId21" Target="https://www.transport.gov.mt/include/filestreaming.asp?fileid=114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pnews.com/article/e40477839f7e8c5863492ec6de2b95de" TargetMode="External" /><Relationship Type="http://schemas.openxmlformats.org/officeDocument/2006/relationships/hyperlink" Id="rId45" Target="https://response.restoration.noaa.gov/sites/default/files/LNG.pdf" TargetMode="External" /><Relationship Type="http://schemas.openxmlformats.org/officeDocument/2006/relationships/hyperlink" Id="rId30" Target="https://www.ansa.it/amp/english/news/general_news/2026/03/13/govt-holds-meeting-on-russian-tanker-adrift-off-pelagie-islands_6b126d91-365a-45c3-8f5b-fb73e48d80c9.html" TargetMode="External" /><Relationship Type="http://schemas.openxmlformats.org/officeDocument/2006/relationships/hyperlink" Id="rId31" Target="https://www.eeas.europa.eu/eunavfor-med-operation-irini/eunavfor-med-irini-european-union-naval-force-irini-military-operation_und_en" TargetMode="External" /><Relationship Type="http://schemas.openxmlformats.org/officeDocument/2006/relationships/hyperlink" Id="rId29" Target="https://www.maltatoday.com.mt/news/national/140277/arctic_metagaz_adrift_between_malta_and_lampedusa" TargetMode="External" /><Relationship Type="http://schemas.openxmlformats.org/officeDocument/2006/relationships/hyperlink" Id="rId22" Target="https://www.nato.int/en/what-we-do/deterrence-and-defence/countering-hybrid-threats" TargetMode="External" /><Relationship Type="http://schemas.openxmlformats.org/officeDocument/2006/relationships/hyperlink" Id="rId24" Target="https://www.polsatnews.pl/wiadomosc/2026-03-14/rosyjski-statek-widmo-dryfuje-w-poblizu-malty-skutki-moga-byc-katastrofalne/" TargetMode="External" /><Relationship Type="http://schemas.openxmlformats.org/officeDocument/2006/relationships/hyperlink" Id="rId37" Target="https://www.rand.org/pubs/research_reports/RR2942.html" TargetMode="External" /><Relationship Type="http://schemas.openxmlformats.org/officeDocument/2006/relationships/hyperlink" Id="rId28" Target="https://www.reuters.com/business/energy/russian-flagged-sanctioned-lng-tanker-fire-mediterranean-crew-fate-unknown-2026-03-03/" TargetMode="External" /><Relationship Type="http://schemas.openxmlformats.org/officeDocument/2006/relationships/hyperlink" Id="rId23" Target="https://www.reuters.com/world/europe/italy-weighs-options-damaged-russian-lng-tanker-drifts-mediterranean-2026-03-13/" TargetMode="External" /><Relationship Type="http://schemas.openxmlformats.org/officeDocument/2006/relationships/hyperlink" Id="rId21" Target="https://www.transport.gov.mt/include/filestreaming.asp?fileid=114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pl</dc:language>
  <cp:keywords/>
  <dcterms:created xsi:type="dcterms:W3CDTF">2026-03-14T21:28:52Z</dcterms:created>
  <dcterms:modified xsi:type="dcterms:W3CDTF">2026-03-14T21:28:52Z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