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EB99B" w14:textId="3CCC9DB0" w:rsidR="00E0181D" w:rsidRPr="007B1737" w:rsidRDefault="007B1737">
      <w:pPr>
        <w:rPr>
          <w:rFonts w:ascii="Arial" w:hAnsi="Arial" w:cs="Arial"/>
          <w:b/>
          <w:bCs/>
          <w:sz w:val="28"/>
          <w:szCs w:val="28"/>
          <w:lang w:val="en-US"/>
        </w:rPr>
      </w:pPr>
      <w:r w:rsidRPr="007B1737">
        <w:rPr>
          <w:rFonts w:ascii="Arial" w:hAnsi="Arial" w:cs="Arial"/>
          <w:b/>
          <w:bCs/>
          <w:sz w:val="28"/>
          <w:szCs w:val="28"/>
          <w:lang w:val="en-US"/>
        </w:rPr>
        <w:t>Executive Summary</w:t>
      </w:r>
    </w:p>
    <w:p w14:paraId="4BED9E4F" w14:textId="77777777" w:rsidR="007B1737" w:rsidRPr="007B1737" w:rsidRDefault="007B1737" w:rsidP="007B1737">
      <w:pPr>
        <w:spacing w:after="120"/>
        <w:rPr>
          <w:rFonts w:ascii="Arial" w:hAnsi="Arial" w:cs="Arial"/>
          <w:sz w:val="20"/>
          <w:szCs w:val="20"/>
        </w:rPr>
      </w:pPr>
    </w:p>
    <w:p w14:paraId="4F9739B1" w14:textId="009B929F" w:rsidR="007B1737" w:rsidRPr="007B1737" w:rsidRDefault="0029393A" w:rsidP="007B1737">
      <w:pPr>
        <w:spacing w:after="120"/>
        <w:jc w:val="both"/>
        <w:rPr>
          <w:rFonts w:ascii="Arial" w:hAnsi="Arial" w:cs="Arial"/>
          <w:sz w:val="20"/>
          <w:szCs w:val="20"/>
        </w:rPr>
      </w:pPr>
      <w:r>
        <w:rPr>
          <w:rFonts w:ascii="Arial" w:hAnsi="Arial" w:cs="Arial"/>
          <w:sz w:val="20"/>
          <w:szCs w:val="20"/>
        </w:rPr>
        <w:t>We are exploring</w:t>
      </w:r>
      <w:r w:rsidR="007B1737" w:rsidRPr="007B1737">
        <w:rPr>
          <w:rFonts w:ascii="Arial" w:hAnsi="Arial" w:cs="Arial"/>
          <w:sz w:val="20"/>
          <w:szCs w:val="20"/>
        </w:rPr>
        <w:t xml:space="preserve"> pair trading </w:t>
      </w:r>
      <w:r>
        <w:rPr>
          <w:rFonts w:ascii="Arial" w:hAnsi="Arial" w:cs="Arial"/>
          <w:sz w:val="20"/>
          <w:szCs w:val="20"/>
        </w:rPr>
        <w:t>strategies</w:t>
      </w:r>
      <w:r w:rsidR="007B1737" w:rsidRPr="007B1737">
        <w:rPr>
          <w:rFonts w:ascii="Arial" w:hAnsi="Arial" w:cs="Arial"/>
          <w:sz w:val="20"/>
          <w:szCs w:val="20"/>
        </w:rPr>
        <w:t xml:space="preserve"> targeting market-neutral returns from two complementary statistical arbitrage strategies across U.S. equity markets and international ADR pairs.</w:t>
      </w:r>
    </w:p>
    <w:p w14:paraId="7B3FCE6F" w14:textId="78AC44D9" w:rsidR="007B1737" w:rsidRPr="007B1737" w:rsidRDefault="007B1737" w:rsidP="007B1737">
      <w:pPr>
        <w:pStyle w:val="ListParagraph"/>
        <w:numPr>
          <w:ilvl w:val="0"/>
          <w:numId w:val="1"/>
        </w:numPr>
        <w:contextualSpacing w:val="0"/>
        <w:jc w:val="both"/>
        <w:rPr>
          <w:rFonts w:ascii="Arial" w:hAnsi="Arial" w:cs="Arial"/>
          <w:sz w:val="20"/>
          <w:szCs w:val="20"/>
        </w:rPr>
      </w:pPr>
      <w:r w:rsidRPr="0029393A">
        <w:rPr>
          <w:rFonts w:ascii="Arial" w:hAnsi="Arial" w:cs="Arial"/>
          <w:b/>
          <w:bCs/>
          <w:sz w:val="20"/>
          <w:szCs w:val="20"/>
        </w:rPr>
        <w:t>Strategy A – Cointegration / Clustering:</w:t>
      </w:r>
      <w:r w:rsidRPr="007B1737">
        <w:rPr>
          <w:rFonts w:ascii="Arial" w:hAnsi="Arial" w:cs="Arial"/>
          <w:sz w:val="20"/>
          <w:szCs w:val="20"/>
        </w:rPr>
        <w:t xml:space="preserve"> Identifies mean-reverting spread relationships among S&amp;P 500 equity pairs using ML-driven clustering (HDBSCAN) and cointegration testing (Engle-Granger ADF). Positions are sized relative to the spread z-score, with disciplined entry, exit, and stop-loss thresholds.</w:t>
      </w:r>
    </w:p>
    <w:p w14:paraId="2773AF45" w14:textId="6146353C" w:rsidR="0029393A" w:rsidRPr="0029393A" w:rsidRDefault="007B1737" w:rsidP="0029393A">
      <w:pPr>
        <w:pStyle w:val="ListParagraph"/>
        <w:numPr>
          <w:ilvl w:val="0"/>
          <w:numId w:val="1"/>
        </w:numPr>
        <w:contextualSpacing w:val="0"/>
        <w:jc w:val="both"/>
        <w:rPr>
          <w:rFonts w:ascii="Arial" w:hAnsi="Arial" w:cs="Arial"/>
          <w:sz w:val="20"/>
          <w:szCs w:val="20"/>
        </w:rPr>
      </w:pPr>
      <w:r w:rsidRPr="0029393A">
        <w:rPr>
          <w:rFonts w:ascii="Arial" w:hAnsi="Arial" w:cs="Arial"/>
          <w:b/>
          <w:bCs/>
          <w:sz w:val="20"/>
          <w:szCs w:val="20"/>
        </w:rPr>
        <w:t>Strategy B – ADR Arbitrage:</w:t>
      </w:r>
      <w:r w:rsidRPr="007B1737">
        <w:rPr>
          <w:rFonts w:ascii="Arial" w:hAnsi="Arial" w:cs="Arial"/>
          <w:sz w:val="20"/>
          <w:szCs w:val="20"/>
        </w:rPr>
        <w:t xml:space="preserve"> Exploits pricing inefficiencies between US-listed American Depositary Receipts and their underlying foreign shares, with FX exposure fully neutralised via real-time spot hedges.</w:t>
      </w:r>
    </w:p>
    <w:p w14:paraId="6769BE1A" w14:textId="77777777" w:rsidR="0029393A" w:rsidRPr="0029393A" w:rsidRDefault="0029393A" w:rsidP="0029393A">
      <w:pPr>
        <w:spacing w:after="120"/>
        <w:jc w:val="both"/>
        <w:rPr>
          <w:rFonts w:ascii="Arial" w:hAnsi="Arial" w:cs="Arial"/>
          <w:sz w:val="20"/>
          <w:szCs w:val="20"/>
        </w:rPr>
      </w:pPr>
    </w:p>
    <w:p w14:paraId="71C37F86" w14:textId="3EB7E1C6" w:rsidR="007B1737" w:rsidRPr="007B1737" w:rsidRDefault="007B1737" w:rsidP="007B1737">
      <w:pPr>
        <w:spacing w:after="120"/>
        <w:jc w:val="both"/>
        <w:rPr>
          <w:rFonts w:ascii="Arial" w:hAnsi="Arial" w:cs="Arial"/>
          <w:sz w:val="20"/>
          <w:szCs w:val="20"/>
        </w:rPr>
      </w:pPr>
      <w:r w:rsidRPr="007B1737">
        <w:rPr>
          <w:rFonts w:ascii="Arial" w:hAnsi="Arial" w:cs="Arial"/>
          <w:sz w:val="20"/>
          <w:szCs w:val="20"/>
        </w:rPr>
        <w:t>Key platform characteristics</w:t>
      </w:r>
      <w:r w:rsidR="0029393A">
        <w:rPr>
          <w:rFonts w:ascii="Arial" w:hAnsi="Arial" w:cs="Arial"/>
          <w:sz w:val="20"/>
          <w:szCs w:val="20"/>
        </w:rPr>
        <w:t xml:space="preserve"> for the strategies mentioned above</w:t>
      </w:r>
      <w:r w:rsidRPr="007B1737">
        <w:rPr>
          <w:rFonts w:ascii="Arial" w:hAnsi="Arial" w:cs="Arial"/>
          <w:sz w:val="20"/>
          <w:szCs w:val="20"/>
        </w:rPr>
        <w:t>:</w:t>
      </w:r>
    </w:p>
    <w:p w14:paraId="7400327C" w14:textId="77777777" w:rsidR="007B1737" w:rsidRPr="007B1737" w:rsidRDefault="007B1737" w:rsidP="007B1737">
      <w:pPr>
        <w:pStyle w:val="ListParagraph"/>
        <w:numPr>
          <w:ilvl w:val="0"/>
          <w:numId w:val="1"/>
        </w:numPr>
        <w:contextualSpacing w:val="0"/>
        <w:jc w:val="both"/>
        <w:rPr>
          <w:rFonts w:ascii="Arial" w:hAnsi="Arial" w:cs="Arial"/>
          <w:sz w:val="20"/>
          <w:szCs w:val="20"/>
        </w:rPr>
      </w:pPr>
      <w:r w:rsidRPr="007B1737">
        <w:rPr>
          <w:rFonts w:ascii="Arial" w:hAnsi="Arial" w:cs="Arial"/>
          <w:sz w:val="20"/>
          <w:szCs w:val="20"/>
        </w:rPr>
        <w:t>Market-neutral: Both strategies target pair-level P&amp;L, not directional equity exposure.</w:t>
      </w:r>
    </w:p>
    <w:p w14:paraId="469DB429" w14:textId="77777777" w:rsidR="007B1737" w:rsidRPr="007B1737" w:rsidRDefault="007B1737" w:rsidP="007B1737">
      <w:pPr>
        <w:pStyle w:val="ListParagraph"/>
        <w:numPr>
          <w:ilvl w:val="0"/>
          <w:numId w:val="1"/>
        </w:numPr>
        <w:contextualSpacing w:val="0"/>
        <w:jc w:val="both"/>
        <w:rPr>
          <w:rFonts w:ascii="Arial" w:hAnsi="Arial" w:cs="Arial"/>
          <w:sz w:val="20"/>
          <w:szCs w:val="20"/>
        </w:rPr>
      </w:pPr>
      <w:r w:rsidRPr="007B1737">
        <w:rPr>
          <w:rFonts w:ascii="Arial" w:hAnsi="Arial" w:cs="Arial"/>
          <w:sz w:val="20"/>
          <w:szCs w:val="20"/>
        </w:rPr>
        <w:t xml:space="preserve">Low latency: Total signal-to-order latency under 70 </w:t>
      </w:r>
      <w:proofErr w:type="spellStart"/>
      <w:r w:rsidRPr="007B1737">
        <w:rPr>
          <w:rFonts w:ascii="Arial" w:hAnsi="Arial" w:cs="Arial"/>
          <w:sz w:val="20"/>
          <w:szCs w:val="20"/>
        </w:rPr>
        <w:t>ms</w:t>
      </w:r>
      <w:proofErr w:type="spellEnd"/>
      <w:r w:rsidRPr="007B1737">
        <w:rPr>
          <w:rFonts w:ascii="Arial" w:hAnsi="Arial" w:cs="Arial"/>
          <w:sz w:val="20"/>
          <w:szCs w:val="20"/>
        </w:rPr>
        <w:t xml:space="preserve"> (Strategy A) and 80 </w:t>
      </w:r>
      <w:proofErr w:type="spellStart"/>
      <w:r w:rsidRPr="007B1737">
        <w:rPr>
          <w:rFonts w:ascii="Arial" w:hAnsi="Arial" w:cs="Arial"/>
          <w:sz w:val="20"/>
          <w:szCs w:val="20"/>
        </w:rPr>
        <w:t>ms</w:t>
      </w:r>
      <w:proofErr w:type="spellEnd"/>
      <w:r w:rsidRPr="007B1737">
        <w:rPr>
          <w:rFonts w:ascii="Arial" w:hAnsi="Arial" w:cs="Arial"/>
          <w:sz w:val="20"/>
          <w:szCs w:val="20"/>
        </w:rPr>
        <w:t xml:space="preserve"> (Strategy B), excluding broker round-trip.</w:t>
      </w:r>
    </w:p>
    <w:p w14:paraId="2B155F23" w14:textId="77777777" w:rsidR="007B1737" w:rsidRPr="007B1737" w:rsidRDefault="007B1737" w:rsidP="007B1737">
      <w:pPr>
        <w:pStyle w:val="ListParagraph"/>
        <w:numPr>
          <w:ilvl w:val="0"/>
          <w:numId w:val="1"/>
        </w:numPr>
        <w:contextualSpacing w:val="0"/>
        <w:jc w:val="both"/>
        <w:rPr>
          <w:rFonts w:ascii="Arial" w:hAnsi="Arial" w:cs="Arial"/>
          <w:sz w:val="20"/>
          <w:szCs w:val="20"/>
        </w:rPr>
      </w:pPr>
      <w:r w:rsidRPr="007B1737">
        <w:rPr>
          <w:rFonts w:ascii="Arial" w:hAnsi="Arial" w:cs="Arial"/>
          <w:sz w:val="20"/>
          <w:szCs w:val="20"/>
        </w:rPr>
        <w:t>Fully automated: From pair selection to order routing, position tracking, and risk management, with no discretionary intervention required during normal operation.</w:t>
      </w:r>
    </w:p>
    <w:p w14:paraId="6FEC3501" w14:textId="42D492DF" w:rsidR="007B1737" w:rsidRDefault="007B1737" w:rsidP="007B1737">
      <w:pPr>
        <w:pStyle w:val="ListParagraph"/>
        <w:numPr>
          <w:ilvl w:val="0"/>
          <w:numId w:val="1"/>
        </w:numPr>
        <w:contextualSpacing w:val="0"/>
        <w:jc w:val="both"/>
        <w:rPr>
          <w:rFonts w:ascii="Arial" w:hAnsi="Arial" w:cs="Arial"/>
          <w:sz w:val="20"/>
          <w:szCs w:val="20"/>
        </w:rPr>
      </w:pPr>
      <w:proofErr w:type="spellStart"/>
      <w:r w:rsidRPr="007B1737">
        <w:rPr>
          <w:rFonts w:ascii="Arial" w:hAnsi="Arial" w:cs="Arial"/>
          <w:sz w:val="20"/>
          <w:szCs w:val="20"/>
        </w:rPr>
        <w:t>Backtested</w:t>
      </w:r>
      <w:proofErr w:type="spellEnd"/>
      <w:r w:rsidRPr="007B1737">
        <w:rPr>
          <w:rFonts w:ascii="Arial" w:hAnsi="Arial" w:cs="Arial"/>
          <w:sz w:val="20"/>
          <w:szCs w:val="20"/>
        </w:rPr>
        <w:t xml:space="preserve"> and forward-tested on the same code paths, ensuring no look-ahead bias or simulation artefacts.</w:t>
      </w:r>
    </w:p>
    <w:p w14:paraId="01669C91" w14:textId="77777777" w:rsidR="0029393A" w:rsidRPr="0029393A" w:rsidRDefault="0029393A" w:rsidP="0029393A">
      <w:pPr>
        <w:jc w:val="both"/>
        <w:rPr>
          <w:rFonts w:ascii="Arial" w:hAnsi="Arial" w:cs="Arial"/>
          <w:sz w:val="20"/>
          <w:szCs w:val="20"/>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B1737" w:rsidRPr="007B1737" w14:paraId="69DC95C2" w14:textId="77777777" w:rsidTr="007B1737">
        <w:trPr>
          <w:jc w:val="center"/>
        </w:trPr>
        <w:tc>
          <w:tcPr>
            <w:tcW w:w="3120" w:type="dxa"/>
            <w:tcBorders>
              <w:top w:val="single" w:sz="1" w:space="0" w:color="2E6EA6"/>
              <w:left w:val="single" w:sz="1" w:space="0" w:color="2E6EA6"/>
              <w:bottom w:val="single" w:sz="1" w:space="0" w:color="2E6EA6"/>
              <w:right w:val="single" w:sz="1" w:space="0" w:color="2E6EA6"/>
            </w:tcBorders>
            <w:shd w:val="clear" w:color="auto" w:fill="1B3A5C"/>
            <w:tcMar>
              <w:top w:w="80" w:type="dxa"/>
              <w:left w:w="120" w:type="dxa"/>
              <w:bottom w:w="80" w:type="dxa"/>
              <w:right w:w="120" w:type="dxa"/>
            </w:tcMar>
          </w:tcPr>
          <w:p w14:paraId="7EDE0C56" w14:textId="77777777" w:rsidR="007B1737" w:rsidRPr="007B1737" w:rsidRDefault="007B1737" w:rsidP="00741870">
            <w:pPr>
              <w:jc w:val="center"/>
              <w:rPr>
                <w:rFonts w:ascii="Arial" w:hAnsi="Arial" w:cs="Arial"/>
                <w:sz w:val="20"/>
                <w:szCs w:val="20"/>
              </w:rPr>
            </w:pPr>
            <w:r w:rsidRPr="007B1737">
              <w:rPr>
                <w:rFonts w:ascii="Arial" w:hAnsi="Arial" w:cs="Arial"/>
                <w:b/>
                <w:bCs/>
                <w:color w:val="FFFFFF"/>
                <w:sz w:val="20"/>
                <w:szCs w:val="20"/>
              </w:rPr>
              <w:t>Metric</w:t>
            </w:r>
          </w:p>
        </w:tc>
        <w:tc>
          <w:tcPr>
            <w:tcW w:w="3120" w:type="dxa"/>
            <w:tcBorders>
              <w:top w:val="single" w:sz="1" w:space="0" w:color="2E6EA6"/>
              <w:left w:val="single" w:sz="1" w:space="0" w:color="2E6EA6"/>
              <w:bottom w:val="single" w:sz="1" w:space="0" w:color="2E6EA6"/>
              <w:right w:val="single" w:sz="1" w:space="0" w:color="2E6EA6"/>
            </w:tcBorders>
            <w:shd w:val="clear" w:color="auto" w:fill="1B3A5C"/>
            <w:tcMar>
              <w:top w:w="80" w:type="dxa"/>
              <w:left w:w="120" w:type="dxa"/>
              <w:bottom w:w="80" w:type="dxa"/>
              <w:right w:w="120" w:type="dxa"/>
            </w:tcMar>
          </w:tcPr>
          <w:p w14:paraId="278C4B6F" w14:textId="77777777" w:rsidR="007B1737" w:rsidRPr="007B1737" w:rsidRDefault="007B1737" w:rsidP="00741870">
            <w:pPr>
              <w:jc w:val="center"/>
              <w:rPr>
                <w:rFonts w:ascii="Arial" w:hAnsi="Arial" w:cs="Arial"/>
                <w:sz w:val="20"/>
                <w:szCs w:val="20"/>
              </w:rPr>
            </w:pPr>
            <w:r w:rsidRPr="007B1737">
              <w:rPr>
                <w:rFonts w:ascii="Arial" w:hAnsi="Arial" w:cs="Arial"/>
                <w:b/>
                <w:bCs/>
                <w:color w:val="FFFFFF"/>
                <w:sz w:val="20"/>
                <w:szCs w:val="20"/>
              </w:rPr>
              <w:t>Strategy A (Cointegration)</w:t>
            </w:r>
          </w:p>
        </w:tc>
        <w:tc>
          <w:tcPr>
            <w:tcW w:w="3120" w:type="dxa"/>
            <w:tcBorders>
              <w:top w:val="single" w:sz="1" w:space="0" w:color="2E6EA6"/>
              <w:left w:val="single" w:sz="1" w:space="0" w:color="2E6EA6"/>
              <w:bottom w:val="single" w:sz="1" w:space="0" w:color="2E6EA6"/>
              <w:right w:val="single" w:sz="1" w:space="0" w:color="2E6EA6"/>
            </w:tcBorders>
            <w:shd w:val="clear" w:color="auto" w:fill="1B3A5C"/>
            <w:tcMar>
              <w:top w:w="80" w:type="dxa"/>
              <w:left w:w="120" w:type="dxa"/>
              <w:bottom w:w="80" w:type="dxa"/>
              <w:right w:w="120" w:type="dxa"/>
            </w:tcMar>
          </w:tcPr>
          <w:p w14:paraId="4C36B578" w14:textId="58E8A4B5" w:rsidR="007B1737" w:rsidRPr="007B1737" w:rsidRDefault="007B1737" w:rsidP="00741870">
            <w:pPr>
              <w:jc w:val="center"/>
              <w:rPr>
                <w:rFonts w:ascii="Arial" w:hAnsi="Arial" w:cs="Arial"/>
                <w:sz w:val="20"/>
                <w:szCs w:val="20"/>
              </w:rPr>
            </w:pPr>
            <w:r w:rsidRPr="007B1737">
              <w:rPr>
                <w:rFonts w:ascii="Arial" w:hAnsi="Arial" w:cs="Arial"/>
                <w:b/>
                <w:bCs/>
                <w:color w:val="FFFFFF"/>
                <w:sz w:val="20"/>
                <w:szCs w:val="20"/>
              </w:rPr>
              <w:t>Strategy B (ADR)</w:t>
            </w:r>
          </w:p>
        </w:tc>
      </w:tr>
      <w:tr w:rsidR="007B1737" w:rsidRPr="007B1737" w14:paraId="7FAA35FF" w14:textId="77777777" w:rsidTr="007B1737">
        <w:trPr>
          <w:jc w:val="center"/>
        </w:trPr>
        <w:tc>
          <w:tcPr>
            <w:tcW w:w="31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4E6A1329" w14:textId="77777777" w:rsidR="007B1737" w:rsidRPr="007B1737" w:rsidRDefault="007B1737" w:rsidP="00741870">
            <w:pPr>
              <w:rPr>
                <w:rFonts w:ascii="Arial" w:hAnsi="Arial" w:cs="Arial"/>
                <w:sz w:val="20"/>
                <w:szCs w:val="20"/>
              </w:rPr>
            </w:pPr>
            <w:r w:rsidRPr="007B1737">
              <w:rPr>
                <w:rFonts w:ascii="Arial" w:hAnsi="Arial" w:cs="Arial"/>
                <w:sz w:val="20"/>
                <w:szCs w:val="20"/>
              </w:rPr>
              <w:t>Universe</w:t>
            </w:r>
          </w:p>
        </w:tc>
        <w:tc>
          <w:tcPr>
            <w:tcW w:w="31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566DE402" w14:textId="77777777" w:rsidR="007B1737" w:rsidRPr="007B1737" w:rsidRDefault="007B1737" w:rsidP="00741870">
            <w:pPr>
              <w:rPr>
                <w:rFonts w:ascii="Arial" w:hAnsi="Arial" w:cs="Arial"/>
                <w:sz w:val="20"/>
                <w:szCs w:val="20"/>
              </w:rPr>
            </w:pPr>
            <w:r w:rsidRPr="007B1737">
              <w:rPr>
                <w:rFonts w:ascii="Arial" w:hAnsi="Arial" w:cs="Arial"/>
                <w:sz w:val="20"/>
                <w:szCs w:val="20"/>
              </w:rPr>
              <w:t>S&amp;P 500 equity pairs</w:t>
            </w:r>
          </w:p>
        </w:tc>
        <w:tc>
          <w:tcPr>
            <w:tcW w:w="31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50D111F1" w14:textId="77777777" w:rsidR="007B1737" w:rsidRPr="007B1737" w:rsidRDefault="007B1737" w:rsidP="00741870">
            <w:pPr>
              <w:rPr>
                <w:rFonts w:ascii="Arial" w:hAnsi="Arial" w:cs="Arial"/>
                <w:sz w:val="20"/>
                <w:szCs w:val="20"/>
              </w:rPr>
            </w:pPr>
            <w:r w:rsidRPr="007B1737">
              <w:rPr>
                <w:rFonts w:ascii="Arial" w:hAnsi="Arial" w:cs="Arial"/>
                <w:sz w:val="20"/>
                <w:szCs w:val="20"/>
              </w:rPr>
              <w:t>U.S. ADR + foreign underlying</w:t>
            </w:r>
          </w:p>
        </w:tc>
      </w:tr>
      <w:tr w:rsidR="007B1737" w:rsidRPr="007B1737" w14:paraId="714C5DF1" w14:textId="77777777" w:rsidTr="007B1737">
        <w:trPr>
          <w:jc w:val="center"/>
        </w:trPr>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6639C" w14:textId="77777777" w:rsidR="007B1737" w:rsidRPr="007B1737" w:rsidRDefault="007B1737" w:rsidP="00741870">
            <w:pPr>
              <w:rPr>
                <w:rFonts w:ascii="Arial" w:hAnsi="Arial" w:cs="Arial"/>
                <w:sz w:val="20"/>
                <w:szCs w:val="20"/>
              </w:rPr>
            </w:pPr>
            <w:r w:rsidRPr="007B1737">
              <w:rPr>
                <w:rFonts w:ascii="Arial" w:hAnsi="Arial" w:cs="Arial"/>
                <w:sz w:val="20"/>
                <w:szCs w:val="20"/>
              </w:rPr>
              <w:t>Signal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827C6" w14:textId="77777777" w:rsidR="007B1737" w:rsidRPr="007B1737" w:rsidRDefault="007B1737" w:rsidP="00741870">
            <w:pPr>
              <w:rPr>
                <w:rFonts w:ascii="Arial" w:hAnsi="Arial" w:cs="Arial"/>
                <w:sz w:val="20"/>
                <w:szCs w:val="20"/>
              </w:rPr>
            </w:pPr>
            <w:r w:rsidRPr="007B1737">
              <w:rPr>
                <w:rFonts w:ascii="Arial" w:hAnsi="Arial" w:cs="Arial"/>
                <w:sz w:val="20"/>
                <w:szCs w:val="20"/>
              </w:rPr>
              <w:t>Spread z-score (OLS / Kalman)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A9112" w14:textId="77777777" w:rsidR="007B1737" w:rsidRPr="007B1737" w:rsidRDefault="007B1737" w:rsidP="00741870">
            <w:pPr>
              <w:rPr>
                <w:rFonts w:ascii="Arial" w:hAnsi="Arial" w:cs="Arial"/>
                <w:sz w:val="20"/>
                <w:szCs w:val="20"/>
              </w:rPr>
            </w:pPr>
            <w:r w:rsidRPr="007B1737">
              <w:rPr>
                <w:rFonts w:ascii="Arial" w:hAnsi="Arial" w:cs="Arial"/>
                <w:sz w:val="20"/>
                <w:szCs w:val="20"/>
              </w:rPr>
              <w:t>FX-adjusted parity premium/discount</w:t>
            </w:r>
          </w:p>
        </w:tc>
      </w:tr>
      <w:tr w:rsidR="007B1737" w:rsidRPr="007B1737" w14:paraId="5372740D" w14:textId="77777777" w:rsidTr="007B1737">
        <w:trPr>
          <w:jc w:val="center"/>
        </w:trPr>
        <w:tc>
          <w:tcPr>
            <w:tcW w:w="31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19BCD0E0" w14:textId="77777777" w:rsidR="007B1737" w:rsidRPr="007B1737" w:rsidRDefault="007B1737" w:rsidP="00741870">
            <w:pPr>
              <w:rPr>
                <w:rFonts w:ascii="Arial" w:hAnsi="Arial" w:cs="Arial"/>
                <w:sz w:val="20"/>
                <w:szCs w:val="20"/>
              </w:rPr>
            </w:pPr>
            <w:r w:rsidRPr="007B1737">
              <w:rPr>
                <w:rFonts w:ascii="Arial" w:hAnsi="Arial" w:cs="Arial"/>
                <w:sz w:val="20"/>
                <w:szCs w:val="20"/>
              </w:rPr>
              <w:t>Entry Threshold</w:t>
            </w:r>
          </w:p>
        </w:tc>
        <w:tc>
          <w:tcPr>
            <w:tcW w:w="31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7BA5F19F" w14:textId="77777777" w:rsidR="007B1737" w:rsidRPr="007B1737" w:rsidRDefault="007B1737" w:rsidP="00741870">
            <w:pPr>
              <w:rPr>
                <w:rFonts w:ascii="Arial" w:hAnsi="Arial" w:cs="Arial"/>
                <w:sz w:val="20"/>
                <w:szCs w:val="20"/>
              </w:rPr>
            </w:pPr>
            <w:r w:rsidRPr="007B1737">
              <w:rPr>
                <w:rFonts w:ascii="Arial" w:hAnsi="Arial" w:cs="Arial"/>
                <w:sz w:val="20"/>
                <w:szCs w:val="20"/>
              </w:rPr>
              <w:t>± 2.0 σ</w:t>
            </w:r>
          </w:p>
        </w:tc>
        <w:tc>
          <w:tcPr>
            <w:tcW w:w="31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28334F35" w14:textId="77777777" w:rsidR="007B1737" w:rsidRPr="007B1737" w:rsidRDefault="007B1737" w:rsidP="00741870">
            <w:pPr>
              <w:rPr>
                <w:rFonts w:ascii="Arial" w:hAnsi="Arial" w:cs="Arial"/>
                <w:sz w:val="20"/>
                <w:szCs w:val="20"/>
              </w:rPr>
            </w:pPr>
            <w:r w:rsidRPr="007B1737">
              <w:rPr>
                <w:rFonts w:ascii="Arial" w:hAnsi="Arial" w:cs="Arial"/>
                <w:sz w:val="20"/>
                <w:szCs w:val="20"/>
              </w:rPr>
              <w:t>± 0.50% (50 bps)</w:t>
            </w:r>
          </w:p>
        </w:tc>
      </w:tr>
      <w:tr w:rsidR="007B1737" w:rsidRPr="007B1737" w14:paraId="68582CD8" w14:textId="77777777" w:rsidTr="007B1737">
        <w:trPr>
          <w:jc w:val="center"/>
        </w:trPr>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B01B8" w14:textId="77777777" w:rsidR="007B1737" w:rsidRPr="007B1737" w:rsidRDefault="007B1737" w:rsidP="00741870">
            <w:pPr>
              <w:rPr>
                <w:rFonts w:ascii="Arial" w:hAnsi="Arial" w:cs="Arial"/>
                <w:sz w:val="20"/>
                <w:szCs w:val="20"/>
              </w:rPr>
            </w:pPr>
            <w:r w:rsidRPr="007B1737">
              <w:rPr>
                <w:rFonts w:ascii="Arial" w:hAnsi="Arial" w:cs="Arial"/>
                <w:sz w:val="20"/>
                <w:szCs w:val="20"/>
              </w:rPr>
              <w:t>Exit Threshold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DD85F" w14:textId="77777777" w:rsidR="007B1737" w:rsidRPr="007B1737" w:rsidRDefault="007B1737" w:rsidP="00741870">
            <w:pPr>
              <w:rPr>
                <w:rFonts w:ascii="Arial" w:hAnsi="Arial" w:cs="Arial"/>
                <w:sz w:val="20"/>
                <w:szCs w:val="20"/>
              </w:rPr>
            </w:pPr>
            <w:r w:rsidRPr="007B1737">
              <w:rPr>
                <w:rFonts w:ascii="Arial" w:hAnsi="Arial" w:cs="Arial"/>
                <w:sz w:val="20"/>
                <w:szCs w:val="20"/>
              </w:rPr>
              <w:t>± 0.5 σ</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276E6" w14:textId="77777777" w:rsidR="007B1737" w:rsidRPr="007B1737" w:rsidRDefault="007B1737" w:rsidP="00741870">
            <w:pPr>
              <w:rPr>
                <w:rFonts w:ascii="Arial" w:hAnsi="Arial" w:cs="Arial"/>
                <w:sz w:val="20"/>
                <w:szCs w:val="20"/>
              </w:rPr>
            </w:pPr>
            <w:r w:rsidRPr="007B1737">
              <w:rPr>
                <w:rFonts w:ascii="Arial" w:hAnsi="Arial" w:cs="Arial"/>
                <w:sz w:val="20"/>
                <w:szCs w:val="20"/>
              </w:rPr>
              <w:t>± 0.10% (10 bps)</w:t>
            </w:r>
          </w:p>
        </w:tc>
      </w:tr>
      <w:tr w:rsidR="007B1737" w:rsidRPr="007B1737" w14:paraId="0128089D" w14:textId="77777777" w:rsidTr="007B1737">
        <w:trPr>
          <w:jc w:val="center"/>
        </w:trPr>
        <w:tc>
          <w:tcPr>
            <w:tcW w:w="31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19BD4BC3" w14:textId="77777777" w:rsidR="007B1737" w:rsidRPr="007B1737" w:rsidRDefault="007B1737" w:rsidP="00741870">
            <w:pPr>
              <w:rPr>
                <w:rFonts w:ascii="Arial" w:hAnsi="Arial" w:cs="Arial"/>
                <w:sz w:val="20"/>
                <w:szCs w:val="20"/>
              </w:rPr>
            </w:pPr>
            <w:r w:rsidRPr="007B1737">
              <w:rPr>
                <w:rFonts w:ascii="Arial" w:hAnsi="Arial" w:cs="Arial"/>
                <w:sz w:val="20"/>
                <w:szCs w:val="20"/>
              </w:rPr>
              <w:t>Stop-Loss</w:t>
            </w:r>
          </w:p>
        </w:tc>
        <w:tc>
          <w:tcPr>
            <w:tcW w:w="31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0E1043E5" w14:textId="77777777" w:rsidR="007B1737" w:rsidRPr="007B1737" w:rsidRDefault="007B1737" w:rsidP="00741870">
            <w:pPr>
              <w:rPr>
                <w:rFonts w:ascii="Arial" w:hAnsi="Arial" w:cs="Arial"/>
                <w:sz w:val="20"/>
                <w:szCs w:val="20"/>
              </w:rPr>
            </w:pPr>
            <w:r w:rsidRPr="007B1737">
              <w:rPr>
                <w:rFonts w:ascii="Arial" w:hAnsi="Arial" w:cs="Arial"/>
                <w:sz w:val="20"/>
                <w:szCs w:val="20"/>
              </w:rPr>
              <w:t>± 3.5 σ</w:t>
            </w:r>
          </w:p>
        </w:tc>
        <w:tc>
          <w:tcPr>
            <w:tcW w:w="31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210969AE" w14:textId="77777777" w:rsidR="007B1737" w:rsidRPr="007B1737" w:rsidRDefault="007B1737" w:rsidP="00741870">
            <w:pPr>
              <w:rPr>
                <w:rFonts w:ascii="Arial" w:hAnsi="Arial" w:cs="Arial"/>
                <w:sz w:val="20"/>
                <w:szCs w:val="20"/>
              </w:rPr>
            </w:pPr>
            <w:r w:rsidRPr="007B1737">
              <w:rPr>
                <w:rFonts w:ascii="Arial" w:hAnsi="Arial" w:cs="Arial"/>
                <w:sz w:val="20"/>
                <w:szCs w:val="20"/>
              </w:rPr>
              <w:t>± 1.50% (150 bps)</w:t>
            </w:r>
          </w:p>
        </w:tc>
      </w:tr>
      <w:tr w:rsidR="007B1737" w:rsidRPr="007B1737" w14:paraId="6FFC1207" w14:textId="77777777" w:rsidTr="007B1737">
        <w:trPr>
          <w:jc w:val="center"/>
        </w:trPr>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F1EB0" w14:textId="77777777" w:rsidR="007B1737" w:rsidRPr="007B1737" w:rsidRDefault="007B1737" w:rsidP="00741870">
            <w:pPr>
              <w:rPr>
                <w:rFonts w:ascii="Arial" w:hAnsi="Arial" w:cs="Arial"/>
                <w:sz w:val="20"/>
                <w:szCs w:val="20"/>
              </w:rPr>
            </w:pPr>
            <w:r w:rsidRPr="007B1737">
              <w:rPr>
                <w:rFonts w:ascii="Arial" w:hAnsi="Arial" w:cs="Arial"/>
                <w:sz w:val="20"/>
                <w:szCs w:val="20"/>
              </w:rPr>
              <w:t>Max Open Pairs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933DC" w14:textId="77777777" w:rsidR="007B1737" w:rsidRPr="007B1737" w:rsidRDefault="007B1737" w:rsidP="00741870">
            <w:pPr>
              <w:rPr>
                <w:rFonts w:ascii="Arial" w:hAnsi="Arial" w:cs="Arial"/>
                <w:sz w:val="20"/>
                <w:szCs w:val="20"/>
              </w:rPr>
            </w:pPr>
            <w:r w:rsidRPr="007B1737">
              <w:rPr>
                <w:rFonts w:ascii="Arial" w:hAnsi="Arial" w:cs="Arial"/>
                <w:sz w:val="20"/>
                <w:szCs w:val="20"/>
              </w:rPr>
              <w:t>20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74FC6" w14:textId="77777777" w:rsidR="007B1737" w:rsidRPr="007B1737" w:rsidRDefault="007B1737" w:rsidP="00741870">
            <w:pPr>
              <w:rPr>
                <w:rFonts w:ascii="Arial" w:hAnsi="Arial" w:cs="Arial"/>
                <w:sz w:val="20"/>
                <w:szCs w:val="20"/>
              </w:rPr>
            </w:pPr>
            <w:r w:rsidRPr="007B1737">
              <w:rPr>
                <w:rFonts w:ascii="Arial" w:hAnsi="Arial" w:cs="Arial"/>
                <w:sz w:val="20"/>
                <w:szCs w:val="20"/>
              </w:rPr>
              <w:t>10</w:t>
            </w:r>
          </w:p>
        </w:tc>
      </w:tr>
      <w:tr w:rsidR="007B1737" w:rsidRPr="007B1737" w14:paraId="06A962A7" w14:textId="77777777" w:rsidTr="007B1737">
        <w:trPr>
          <w:jc w:val="center"/>
        </w:trPr>
        <w:tc>
          <w:tcPr>
            <w:tcW w:w="31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344C921A" w14:textId="77777777" w:rsidR="007B1737" w:rsidRPr="007B1737" w:rsidRDefault="007B1737" w:rsidP="00741870">
            <w:pPr>
              <w:rPr>
                <w:rFonts w:ascii="Arial" w:hAnsi="Arial" w:cs="Arial"/>
                <w:sz w:val="20"/>
                <w:szCs w:val="20"/>
              </w:rPr>
            </w:pPr>
            <w:r w:rsidRPr="007B1737">
              <w:rPr>
                <w:rFonts w:ascii="Arial" w:hAnsi="Arial" w:cs="Arial"/>
                <w:sz w:val="20"/>
                <w:szCs w:val="20"/>
              </w:rPr>
              <w:t>Rescreen Frequency</w:t>
            </w:r>
          </w:p>
        </w:tc>
        <w:tc>
          <w:tcPr>
            <w:tcW w:w="31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788DB726" w14:textId="77777777" w:rsidR="007B1737" w:rsidRPr="007B1737" w:rsidRDefault="007B1737" w:rsidP="00741870">
            <w:pPr>
              <w:rPr>
                <w:rFonts w:ascii="Arial" w:hAnsi="Arial" w:cs="Arial"/>
                <w:sz w:val="20"/>
                <w:szCs w:val="20"/>
              </w:rPr>
            </w:pPr>
            <w:r w:rsidRPr="007B1737">
              <w:rPr>
                <w:rFonts w:ascii="Arial" w:hAnsi="Arial" w:cs="Arial"/>
                <w:sz w:val="20"/>
                <w:szCs w:val="20"/>
              </w:rPr>
              <w:t>Weekly (Sundays)</w:t>
            </w:r>
          </w:p>
        </w:tc>
        <w:tc>
          <w:tcPr>
            <w:tcW w:w="312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6FB8267C" w14:textId="77777777" w:rsidR="007B1737" w:rsidRPr="007B1737" w:rsidRDefault="007B1737" w:rsidP="00741870">
            <w:pPr>
              <w:rPr>
                <w:rFonts w:ascii="Arial" w:hAnsi="Arial" w:cs="Arial"/>
                <w:sz w:val="20"/>
                <w:szCs w:val="20"/>
              </w:rPr>
            </w:pPr>
            <w:r w:rsidRPr="007B1737">
              <w:rPr>
                <w:rFonts w:ascii="Arial" w:hAnsi="Arial" w:cs="Arial"/>
                <w:sz w:val="20"/>
                <w:szCs w:val="20"/>
              </w:rPr>
              <w:t>Weekly (Sundays)</w:t>
            </w:r>
          </w:p>
        </w:tc>
      </w:tr>
      <w:tr w:rsidR="007B1737" w:rsidRPr="007B1737" w14:paraId="0DD2AB47" w14:textId="77777777" w:rsidTr="007B1737">
        <w:trPr>
          <w:jc w:val="center"/>
        </w:trPr>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A6108" w14:textId="77777777" w:rsidR="007B1737" w:rsidRPr="007B1737" w:rsidRDefault="007B1737" w:rsidP="00741870">
            <w:pPr>
              <w:rPr>
                <w:rFonts w:ascii="Arial" w:hAnsi="Arial" w:cs="Arial"/>
                <w:sz w:val="20"/>
                <w:szCs w:val="20"/>
              </w:rPr>
            </w:pPr>
            <w:r w:rsidRPr="007B1737">
              <w:rPr>
                <w:rFonts w:ascii="Arial" w:hAnsi="Arial" w:cs="Arial"/>
                <w:sz w:val="20"/>
                <w:szCs w:val="20"/>
              </w:rPr>
              <w:t>Execution Venue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94ADE" w14:textId="77777777" w:rsidR="007B1737" w:rsidRPr="007B1737" w:rsidRDefault="007B1737" w:rsidP="00741870">
            <w:pPr>
              <w:rPr>
                <w:rFonts w:ascii="Arial" w:hAnsi="Arial" w:cs="Arial"/>
                <w:sz w:val="20"/>
                <w:szCs w:val="20"/>
              </w:rPr>
            </w:pPr>
            <w:r w:rsidRPr="007B1737">
              <w:rPr>
                <w:rFonts w:ascii="Arial" w:hAnsi="Arial" w:cs="Arial"/>
                <w:sz w:val="20"/>
                <w:szCs w:val="20"/>
              </w:rPr>
              <w:t>Alpaca / IB (U.S.)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A141E" w14:textId="77777777" w:rsidR="007B1737" w:rsidRPr="007B1737" w:rsidRDefault="007B1737" w:rsidP="00741870">
            <w:pPr>
              <w:rPr>
                <w:rFonts w:ascii="Arial" w:hAnsi="Arial" w:cs="Arial"/>
                <w:sz w:val="20"/>
                <w:szCs w:val="20"/>
              </w:rPr>
            </w:pPr>
            <w:r w:rsidRPr="007B1737">
              <w:rPr>
                <w:rFonts w:ascii="Arial" w:hAnsi="Arial" w:cs="Arial"/>
                <w:sz w:val="20"/>
                <w:szCs w:val="20"/>
              </w:rPr>
              <w:t>U.S. + IB International + FX</w:t>
            </w:r>
          </w:p>
        </w:tc>
      </w:tr>
    </w:tbl>
    <w:p w14:paraId="2205EE07" w14:textId="77777777" w:rsidR="0029393A" w:rsidRDefault="0029393A">
      <w:pPr>
        <w:rPr>
          <w:rFonts w:ascii="Arial" w:hAnsi="Arial" w:cs="Arial"/>
          <w:b/>
          <w:bCs/>
          <w:sz w:val="20"/>
          <w:szCs w:val="20"/>
          <w:lang w:val="en-US"/>
        </w:rPr>
      </w:pPr>
    </w:p>
    <w:p w14:paraId="6A249198" w14:textId="77777777" w:rsidR="0029393A" w:rsidRDefault="0029393A">
      <w:pPr>
        <w:rPr>
          <w:rFonts w:ascii="Arial" w:hAnsi="Arial" w:cs="Arial"/>
          <w:sz w:val="20"/>
          <w:szCs w:val="20"/>
        </w:rPr>
      </w:pPr>
    </w:p>
    <w:p w14:paraId="3CD70CF5" w14:textId="037993B7" w:rsidR="007B1737" w:rsidRDefault="0029393A">
      <w:pPr>
        <w:rPr>
          <w:rFonts w:ascii="Arial" w:hAnsi="Arial" w:cs="Arial"/>
          <w:b/>
          <w:bCs/>
          <w:sz w:val="20"/>
          <w:szCs w:val="20"/>
          <w:lang w:val="en-US"/>
        </w:rPr>
      </w:pPr>
      <w:r>
        <w:rPr>
          <w:rFonts w:ascii="Arial" w:hAnsi="Arial" w:cs="Arial"/>
          <w:sz w:val="20"/>
          <w:szCs w:val="20"/>
        </w:rPr>
        <w:t>We will explore both, if time permits. If not we will only focus on one of the two strategy mentioned.</w:t>
      </w:r>
    </w:p>
    <w:p w14:paraId="52969F69" w14:textId="77777777" w:rsidR="007B1737" w:rsidRDefault="007B1737">
      <w:pPr>
        <w:rPr>
          <w:rFonts w:ascii="Arial" w:hAnsi="Arial" w:cs="Arial"/>
          <w:b/>
          <w:bCs/>
          <w:sz w:val="20"/>
          <w:szCs w:val="20"/>
          <w:lang w:val="en-US"/>
        </w:rPr>
      </w:pPr>
    </w:p>
    <w:p w14:paraId="5F4FED9B" w14:textId="77777777" w:rsidR="007B1737" w:rsidRDefault="007B1737">
      <w:pPr>
        <w:rPr>
          <w:rFonts w:ascii="Arial" w:hAnsi="Arial" w:cs="Arial"/>
          <w:b/>
          <w:bCs/>
          <w:sz w:val="20"/>
          <w:szCs w:val="20"/>
          <w:lang w:val="en-US"/>
        </w:rPr>
      </w:pPr>
    </w:p>
    <w:p w14:paraId="7EABC7C8" w14:textId="77777777" w:rsidR="007B1737" w:rsidRDefault="007B1737">
      <w:pPr>
        <w:rPr>
          <w:rFonts w:ascii="Arial" w:hAnsi="Arial" w:cs="Arial"/>
          <w:b/>
          <w:bCs/>
          <w:sz w:val="20"/>
          <w:szCs w:val="20"/>
          <w:lang w:val="en-US"/>
        </w:rPr>
      </w:pPr>
    </w:p>
    <w:p w14:paraId="193EEDDD" w14:textId="77777777" w:rsidR="007B1737" w:rsidRDefault="007B1737">
      <w:pPr>
        <w:rPr>
          <w:rFonts w:ascii="Arial" w:hAnsi="Arial" w:cs="Arial"/>
          <w:b/>
          <w:bCs/>
          <w:sz w:val="20"/>
          <w:szCs w:val="20"/>
          <w:lang w:val="en-US"/>
        </w:rPr>
      </w:pPr>
    </w:p>
    <w:p w14:paraId="2BAE9C1E" w14:textId="77777777" w:rsidR="007B1737" w:rsidRDefault="007B1737">
      <w:pPr>
        <w:rPr>
          <w:rFonts w:ascii="Arial" w:hAnsi="Arial" w:cs="Arial"/>
          <w:b/>
          <w:bCs/>
          <w:sz w:val="20"/>
          <w:szCs w:val="20"/>
          <w:lang w:val="en-US"/>
        </w:rPr>
      </w:pPr>
    </w:p>
    <w:p w14:paraId="1C68DCBB" w14:textId="77777777" w:rsidR="007B1737" w:rsidRDefault="007B1737">
      <w:pPr>
        <w:rPr>
          <w:rFonts w:ascii="Arial" w:hAnsi="Arial" w:cs="Arial"/>
          <w:b/>
          <w:bCs/>
          <w:sz w:val="20"/>
          <w:szCs w:val="20"/>
          <w:lang w:val="en-US"/>
        </w:rPr>
      </w:pPr>
    </w:p>
    <w:p w14:paraId="64CD5465" w14:textId="77777777" w:rsidR="007B1737" w:rsidRDefault="007B1737">
      <w:pPr>
        <w:rPr>
          <w:rFonts w:ascii="Arial" w:hAnsi="Arial" w:cs="Arial"/>
          <w:b/>
          <w:bCs/>
          <w:sz w:val="20"/>
          <w:szCs w:val="20"/>
          <w:lang w:val="en-US"/>
        </w:rPr>
      </w:pPr>
    </w:p>
    <w:p w14:paraId="08444129" w14:textId="77777777" w:rsidR="007B1737" w:rsidRDefault="007B1737">
      <w:pPr>
        <w:rPr>
          <w:rFonts w:ascii="Arial" w:hAnsi="Arial" w:cs="Arial"/>
          <w:b/>
          <w:bCs/>
          <w:sz w:val="20"/>
          <w:szCs w:val="20"/>
          <w:lang w:val="en-US"/>
        </w:rPr>
      </w:pPr>
    </w:p>
    <w:p w14:paraId="2099EC87" w14:textId="77777777" w:rsidR="007B1737" w:rsidRDefault="007B1737">
      <w:pPr>
        <w:rPr>
          <w:rFonts w:ascii="Arial" w:hAnsi="Arial" w:cs="Arial"/>
          <w:b/>
          <w:bCs/>
          <w:sz w:val="20"/>
          <w:szCs w:val="20"/>
          <w:lang w:val="en-US"/>
        </w:rPr>
      </w:pPr>
    </w:p>
    <w:p w14:paraId="62F0E41B" w14:textId="77777777" w:rsidR="007B1737" w:rsidRDefault="007B1737">
      <w:pPr>
        <w:rPr>
          <w:rFonts w:ascii="Arial" w:hAnsi="Arial" w:cs="Arial"/>
          <w:b/>
          <w:bCs/>
          <w:sz w:val="20"/>
          <w:szCs w:val="20"/>
          <w:lang w:val="en-US"/>
        </w:rPr>
      </w:pPr>
    </w:p>
    <w:p w14:paraId="2476182B" w14:textId="77777777" w:rsidR="0029393A" w:rsidRDefault="0029393A">
      <w:pPr>
        <w:rPr>
          <w:rFonts w:ascii="Arial" w:hAnsi="Arial" w:cs="Arial"/>
          <w:b/>
          <w:bCs/>
          <w:sz w:val="20"/>
          <w:szCs w:val="20"/>
          <w:lang w:val="en-US"/>
        </w:rPr>
      </w:pPr>
    </w:p>
    <w:p w14:paraId="02CE246B" w14:textId="77777777" w:rsidR="0029393A" w:rsidRDefault="0029393A">
      <w:pPr>
        <w:rPr>
          <w:rFonts w:ascii="Arial" w:hAnsi="Arial" w:cs="Arial"/>
          <w:b/>
          <w:bCs/>
          <w:sz w:val="20"/>
          <w:szCs w:val="20"/>
          <w:lang w:val="en-US"/>
        </w:rPr>
      </w:pPr>
    </w:p>
    <w:p w14:paraId="7A64C68B" w14:textId="77777777" w:rsidR="0029393A" w:rsidRDefault="0029393A">
      <w:pPr>
        <w:rPr>
          <w:rFonts w:ascii="Arial" w:hAnsi="Arial" w:cs="Arial"/>
          <w:b/>
          <w:bCs/>
          <w:sz w:val="20"/>
          <w:szCs w:val="20"/>
          <w:lang w:val="en-US"/>
        </w:rPr>
      </w:pPr>
    </w:p>
    <w:p w14:paraId="35B59916" w14:textId="77777777" w:rsidR="0029393A" w:rsidRDefault="0029393A">
      <w:pPr>
        <w:rPr>
          <w:rFonts w:ascii="Arial" w:hAnsi="Arial" w:cs="Arial"/>
          <w:b/>
          <w:bCs/>
          <w:sz w:val="20"/>
          <w:szCs w:val="20"/>
          <w:lang w:val="en-US"/>
        </w:rPr>
      </w:pPr>
    </w:p>
    <w:p w14:paraId="36DF13E9" w14:textId="77777777" w:rsidR="0029393A" w:rsidRDefault="0029393A">
      <w:pPr>
        <w:rPr>
          <w:rFonts w:ascii="Arial" w:hAnsi="Arial" w:cs="Arial"/>
          <w:b/>
          <w:bCs/>
          <w:sz w:val="20"/>
          <w:szCs w:val="20"/>
          <w:lang w:val="en-US"/>
        </w:rPr>
      </w:pPr>
    </w:p>
    <w:p w14:paraId="48FF20B6" w14:textId="77777777" w:rsidR="0029393A" w:rsidRDefault="0029393A">
      <w:pPr>
        <w:rPr>
          <w:rFonts w:ascii="Arial" w:hAnsi="Arial" w:cs="Arial"/>
          <w:b/>
          <w:bCs/>
          <w:sz w:val="20"/>
          <w:szCs w:val="20"/>
          <w:lang w:val="en-US"/>
        </w:rPr>
      </w:pPr>
    </w:p>
    <w:p w14:paraId="0376FFFA" w14:textId="77777777" w:rsidR="0029393A" w:rsidRDefault="0029393A">
      <w:pPr>
        <w:rPr>
          <w:rFonts w:ascii="Arial" w:hAnsi="Arial" w:cs="Arial"/>
          <w:b/>
          <w:bCs/>
          <w:sz w:val="20"/>
          <w:szCs w:val="20"/>
          <w:lang w:val="en-US"/>
        </w:rPr>
      </w:pPr>
    </w:p>
    <w:p w14:paraId="15C68697" w14:textId="721476EF" w:rsidR="007B1737" w:rsidRDefault="007B1737">
      <w:pPr>
        <w:rPr>
          <w:rFonts w:ascii="Arial" w:hAnsi="Arial" w:cs="Arial"/>
          <w:b/>
          <w:bCs/>
          <w:sz w:val="28"/>
          <w:szCs w:val="28"/>
          <w:lang w:val="en-US"/>
        </w:rPr>
      </w:pPr>
      <w:r>
        <w:rPr>
          <w:rFonts w:ascii="Arial" w:hAnsi="Arial" w:cs="Arial"/>
          <w:b/>
          <w:bCs/>
          <w:sz w:val="28"/>
          <w:szCs w:val="28"/>
          <w:lang w:val="en-US"/>
        </w:rPr>
        <w:lastRenderedPageBreak/>
        <w:t>Strategy A – Cointegration/Clustering Pair</w:t>
      </w:r>
    </w:p>
    <w:p w14:paraId="61002661" w14:textId="77777777" w:rsidR="007B1737" w:rsidRPr="007B1737" w:rsidRDefault="007B1737" w:rsidP="007B1737">
      <w:pPr>
        <w:rPr>
          <w:rFonts w:ascii="Arial" w:hAnsi="Arial" w:cs="Arial"/>
          <w:b/>
          <w:bCs/>
          <w:sz w:val="20"/>
          <w:szCs w:val="20"/>
          <w:lang w:val="en-US"/>
        </w:rPr>
      </w:pPr>
    </w:p>
    <w:p w14:paraId="1903910A" w14:textId="6A3A7DFC" w:rsidR="007B1737" w:rsidRPr="007B1737" w:rsidRDefault="007B1737" w:rsidP="007B1737">
      <w:pPr>
        <w:jc w:val="both"/>
        <w:rPr>
          <w:rFonts w:ascii="Arial" w:hAnsi="Arial" w:cs="Arial"/>
          <w:b/>
          <w:bCs/>
          <w:lang w:val="en-US"/>
        </w:rPr>
      </w:pPr>
      <w:r w:rsidRPr="007B1737">
        <w:rPr>
          <w:rFonts w:ascii="Arial" w:hAnsi="Arial" w:cs="Arial"/>
          <w:b/>
          <w:bCs/>
          <w:lang w:val="en-US"/>
        </w:rPr>
        <w:t>Investment Thesis</w:t>
      </w:r>
    </w:p>
    <w:p w14:paraId="38DFE953" w14:textId="7B93FE08" w:rsidR="007B1737" w:rsidRPr="007B1737" w:rsidRDefault="007B1737" w:rsidP="007B1737">
      <w:pPr>
        <w:spacing w:after="120"/>
        <w:jc w:val="both"/>
        <w:rPr>
          <w:rFonts w:ascii="Arial" w:hAnsi="Arial" w:cs="Arial"/>
          <w:sz w:val="20"/>
          <w:szCs w:val="20"/>
        </w:rPr>
      </w:pPr>
      <w:r w:rsidRPr="007B1737">
        <w:rPr>
          <w:rFonts w:ascii="Arial" w:hAnsi="Arial" w:cs="Arial"/>
          <w:sz w:val="20"/>
          <w:szCs w:val="20"/>
        </w:rPr>
        <w:t xml:space="preserve">Many S&amp;P 500 stocks share common fundamental drivers </w:t>
      </w:r>
      <w:r w:rsidR="0029393A">
        <w:rPr>
          <w:rFonts w:ascii="Arial" w:hAnsi="Arial" w:cs="Arial"/>
          <w:sz w:val="20"/>
          <w:szCs w:val="20"/>
        </w:rPr>
        <w:t>–</w:t>
      </w:r>
      <w:r w:rsidRPr="007B1737">
        <w:rPr>
          <w:rFonts w:ascii="Arial" w:hAnsi="Arial" w:cs="Arial"/>
          <w:sz w:val="20"/>
          <w:szCs w:val="20"/>
        </w:rPr>
        <w:t xml:space="preserve"> overlapping business lines, shared input costs, or the same macro sensitivities. When two such stocks are cointegrated, their price spread is stationary: it fluctuates around a long-run equilibrium and reverts to the mean with a measurable half-life. Strategy A systematically identifies these relationships and trades the temporary dislocations.</w:t>
      </w:r>
    </w:p>
    <w:p w14:paraId="25E046EB" w14:textId="280D7A1E" w:rsidR="007B1737" w:rsidRPr="007B1737" w:rsidRDefault="007B1737" w:rsidP="007B1737">
      <w:pPr>
        <w:spacing w:after="120"/>
        <w:jc w:val="both"/>
        <w:rPr>
          <w:rFonts w:ascii="Arial" w:hAnsi="Arial" w:cs="Arial"/>
          <w:sz w:val="20"/>
          <w:szCs w:val="20"/>
        </w:rPr>
      </w:pPr>
      <w:r w:rsidRPr="007B1737">
        <w:rPr>
          <w:rFonts w:ascii="Arial" w:hAnsi="Arial" w:cs="Arial"/>
          <w:sz w:val="20"/>
          <w:szCs w:val="20"/>
        </w:rPr>
        <w:t>The strategy is equity-market-neutral by construction: each position is long the relatively cheap leg and short the relatively expensive leg. Net dollar exposure is approximately zero at the pair level, isolating the spread return from broad market movements.</w:t>
      </w:r>
    </w:p>
    <w:p w14:paraId="4110DBDC" w14:textId="77777777" w:rsidR="0029393A" w:rsidRDefault="0029393A" w:rsidP="007B1737">
      <w:pPr>
        <w:jc w:val="both"/>
        <w:rPr>
          <w:rFonts w:ascii="Arial" w:hAnsi="Arial" w:cs="Arial"/>
          <w:b/>
          <w:bCs/>
          <w:lang w:val="en-US"/>
        </w:rPr>
      </w:pPr>
    </w:p>
    <w:p w14:paraId="02C90F6A" w14:textId="0746C56F" w:rsidR="007B1737" w:rsidRPr="007B1737" w:rsidRDefault="007B1737" w:rsidP="007B1737">
      <w:pPr>
        <w:jc w:val="both"/>
        <w:rPr>
          <w:rFonts w:ascii="Arial" w:hAnsi="Arial" w:cs="Arial"/>
          <w:b/>
          <w:bCs/>
          <w:lang w:val="en-US"/>
        </w:rPr>
      </w:pPr>
      <w:r w:rsidRPr="007B1737">
        <w:rPr>
          <w:rFonts w:ascii="Arial" w:hAnsi="Arial" w:cs="Arial"/>
          <w:b/>
          <w:bCs/>
          <w:lang w:val="en-US"/>
        </w:rPr>
        <w:t>Pair Selection Pipeline</w:t>
      </w:r>
    </w:p>
    <w:p w14:paraId="76610516" w14:textId="77777777" w:rsidR="007B1737" w:rsidRPr="007B1737" w:rsidRDefault="007B1737" w:rsidP="007B1737">
      <w:pPr>
        <w:spacing w:after="120"/>
        <w:jc w:val="both"/>
        <w:rPr>
          <w:rFonts w:ascii="Arial" w:hAnsi="Arial" w:cs="Arial"/>
          <w:sz w:val="20"/>
          <w:szCs w:val="20"/>
        </w:rPr>
      </w:pPr>
      <w:r w:rsidRPr="007B1737">
        <w:rPr>
          <w:rFonts w:ascii="Arial" w:hAnsi="Arial" w:cs="Arial"/>
          <w:sz w:val="20"/>
          <w:szCs w:val="20"/>
        </w:rPr>
        <w:t>Pair candidates are sourced from the S&amp;P 500 constituent universe and filtered through a three-stage offline research pipeline:</w:t>
      </w:r>
    </w:p>
    <w:p w14:paraId="030D0F72" w14:textId="77777777" w:rsidR="007B1737" w:rsidRPr="007B1737" w:rsidRDefault="007B1737" w:rsidP="007B1737">
      <w:pPr>
        <w:pStyle w:val="ListParagraph"/>
        <w:numPr>
          <w:ilvl w:val="0"/>
          <w:numId w:val="1"/>
        </w:numPr>
        <w:contextualSpacing w:val="0"/>
        <w:jc w:val="both"/>
        <w:rPr>
          <w:rFonts w:ascii="Arial" w:hAnsi="Arial" w:cs="Arial"/>
          <w:sz w:val="20"/>
          <w:szCs w:val="20"/>
        </w:rPr>
      </w:pPr>
      <w:r w:rsidRPr="007B1737">
        <w:rPr>
          <w:rFonts w:ascii="Arial" w:hAnsi="Arial" w:cs="Arial"/>
          <w:sz w:val="20"/>
          <w:szCs w:val="20"/>
        </w:rPr>
        <w:t xml:space="preserve">Universe Building: Daily OHLCV and fundamental data pulled from WRDS </w:t>
      </w:r>
      <w:proofErr w:type="spellStart"/>
      <w:r w:rsidRPr="007B1737">
        <w:rPr>
          <w:rFonts w:ascii="Arial" w:hAnsi="Arial" w:cs="Arial"/>
          <w:sz w:val="20"/>
          <w:szCs w:val="20"/>
        </w:rPr>
        <w:t>Compustat</w:t>
      </w:r>
      <w:proofErr w:type="spellEnd"/>
      <w:r w:rsidRPr="007B1737">
        <w:rPr>
          <w:rFonts w:ascii="Arial" w:hAnsi="Arial" w:cs="Arial"/>
          <w:sz w:val="20"/>
          <w:szCs w:val="20"/>
        </w:rPr>
        <w:t xml:space="preserve"> / CRSP. Minimum 252-day price history, minimum 30-day average dollar volume of $5 M, and rolling 252-day correlation ≥ 0.80 are required.</w:t>
      </w:r>
    </w:p>
    <w:p w14:paraId="27164987" w14:textId="77777777" w:rsidR="007B1737" w:rsidRPr="007B1737" w:rsidRDefault="007B1737" w:rsidP="007B1737">
      <w:pPr>
        <w:pStyle w:val="ListParagraph"/>
        <w:numPr>
          <w:ilvl w:val="0"/>
          <w:numId w:val="1"/>
        </w:numPr>
        <w:contextualSpacing w:val="0"/>
        <w:jc w:val="both"/>
        <w:rPr>
          <w:rFonts w:ascii="Arial" w:hAnsi="Arial" w:cs="Arial"/>
          <w:sz w:val="20"/>
          <w:szCs w:val="20"/>
        </w:rPr>
      </w:pPr>
      <w:r w:rsidRPr="007B1737">
        <w:rPr>
          <w:rFonts w:ascii="Arial" w:hAnsi="Arial" w:cs="Arial"/>
          <w:sz w:val="20"/>
          <w:szCs w:val="20"/>
        </w:rPr>
        <w:t>ML Clustering (HDBSCAN): Stocks are embedded using sector, industry, and return-correlation features. HDBSCAN groups stocks by economic similarity without requiring a pre-specified cluster count. Only clusters with a Jaccard bootstrapped stability score ≥ 0.75 proceed to cointegration testing.</w:t>
      </w:r>
    </w:p>
    <w:p w14:paraId="1D0F93F8" w14:textId="77777777" w:rsidR="007B1737" w:rsidRPr="007B1737" w:rsidRDefault="007B1737" w:rsidP="007B1737">
      <w:pPr>
        <w:pStyle w:val="ListParagraph"/>
        <w:numPr>
          <w:ilvl w:val="0"/>
          <w:numId w:val="1"/>
        </w:numPr>
        <w:contextualSpacing w:val="0"/>
        <w:jc w:val="both"/>
        <w:rPr>
          <w:rFonts w:ascii="Arial" w:hAnsi="Arial" w:cs="Arial"/>
          <w:sz w:val="20"/>
          <w:szCs w:val="20"/>
        </w:rPr>
      </w:pPr>
      <w:r w:rsidRPr="007B1737">
        <w:rPr>
          <w:rFonts w:ascii="Arial" w:hAnsi="Arial" w:cs="Arial"/>
          <w:sz w:val="20"/>
          <w:szCs w:val="20"/>
        </w:rPr>
        <w:t>Cointegration Validation (Engle-Granger ADF): Pairs within approved clusters are tested for cointegration. Only pairs with p-value &lt; 0.05 and mean-reversion half-life between 5 and 60 trading days are approved and stored in the pair registry.</w:t>
      </w:r>
    </w:p>
    <w:p w14:paraId="79AC45FD" w14:textId="77777777" w:rsidR="007B1737" w:rsidRPr="007B1737" w:rsidRDefault="007B1737" w:rsidP="007B1737">
      <w:pPr>
        <w:spacing w:after="120"/>
        <w:jc w:val="both"/>
        <w:rPr>
          <w:rFonts w:ascii="Arial" w:hAnsi="Arial" w:cs="Arial"/>
          <w:sz w:val="20"/>
          <w:szCs w:val="20"/>
        </w:rPr>
      </w:pPr>
      <w:r w:rsidRPr="007B1737">
        <w:rPr>
          <w:rFonts w:ascii="Arial" w:hAnsi="Arial" w:cs="Arial"/>
          <w:sz w:val="20"/>
          <w:szCs w:val="20"/>
        </w:rPr>
        <w:t>The pipeline re-runs every Sunday pre-market. Approved pairs auto-expire after 90 days unless reconfirmed.</w:t>
      </w:r>
    </w:p>
    <w:p w14:paraId="3649B8CC" w14:textId="77777777" w:rsidR="0029393A" w:rsidRDefault="0029393A" w:rsidP="007B1737">
      <w:pPr>
        <w:jc w:val="both"/>
        <w:rPr>
          <w:rFonts w:ascii="Arial" w:hAnsi="Arial" w:cs="Arial"/>
          <w:b/>
          <w:bCs/>
          <w:lang w:val="en-US"/>
        </w:rPr>
      </w:pPr>
    </w:p>
    <w:p w14:paraId="61060441" w14:textId="3ECF6B07" w:rsidR="007B1737" w:rsidRPr="007B1737" w:rsidRDefault="007B1737" w:rsidP="007B1737">
      <w:pPr>
        <w:jc w:val="both"/>
        <w:rPr>
          <w:rFonts w:ascii="Arial" w:hAnsi="Arial" w:cs="Arial"/>
          <w:b/>
          <w:bCs/>
          <w:lang w:val="en-US"/>
        </w:rPr>
      </w:pPr>
      <w:r w:rsidRPr="007B1737">
        <w:rPr>
          <w:rFonts w:ascii="Arial" w:hAnsi="Arial" w:cs="Arial"/>
          <w:b/>
          <w:bCs/>
          <w:lang w:val="en-US"/>
        </w:rPr>
        <w:t>Signal Generation</w:t>
      </w:r>
    </w:p>
    <w:p w14:paraId="3EDE0981" w14:textId="77777777" w:rsidR="007B1737" w:rsidRPr="007B1737" w:rsidRDefault="007B1737" w:rsidP="007B1737">
      <w:pPr>
        <w:spacing w:after="120"/>
        <w:jc w:val="both"/>
        <w:rPr>
          <w:rFonts w:ascii="Arial" w:hAnsi="Arial" w:cs="Arial"/>
          <w:sz w:val="20"/>
          <w:szCs w:val="20"/>
        </w:rPr>
      </w:pPr>
      <w:r w:rsidRPr="007B1737">
        <w:rPr>
          <w:rFonts w:ascii="Arial" w:hAnsi="Arial" w:cs="Arial"/>
          <w:sz w:val="20"/>
          <w:szCs w:val="20"/>
        </w:rPr>
        <w:t>For each approved pair (A, B) with hedge ratio β:</w:t>
      </w:r>
    </w:p>
    <w:p w14:paraId="671F762C" w14:textId="77777777" w:rsidR="007B1737" w:rsidRPr="007B1737" w:rsidRDefault="007B1737" w:rsidP="007B1737">
      <w:pPr>
        <w:pStyle w:val="ListParagraph"/>
        <w:numPr>
          <w:ilvl w:val="0"/>
          <w:numId w:val="1"/>
        </w:numPr>
        <w:contextualSpacing w:val="0"/>
        <w:jc w:val="both"/>
        <w:rPr>
          <w:rFonts w:ascii="Arial" w:hAnsi="Arial" w:cs="Arial"/>
          <w:sz w:val="20"/>
          <w:szCs w:val="20"/>
        </w:rPr>
      </w:pPr>
      <w:r w:rsidRPr="007B1737">
        <w:rPr>
          <w:rFonts w:ascii="Arial" w:hAnsi="Arial" w:cs="Arial"/>
          <w:sz w:val="20"/>
          <w:szCs w:val="20"/>
        </w:rPr>
        <w:t xml:space="preserve">Spread: spread = </w:t>
      </w:r>
      <w:proofErr w:type="spellStart"/>
      <w:r w:rsidRPr="007B1737">
        <w:rPr>
          <w:rFonts w:ascii="Arial" w:hAnsi="Arial" w:cs="Arial"/>
          <w:sz w:val="20"/>
          <w:szCs w:val="20"/>
        </w:rPr>
        <w:t>price_A</w:t>
      </w:r>
      <w:proofErr w:type="spellEnd"/>
      <w:r w:rsidRPr="007B1737">
        <w:rPr>
          <w:rFonts w:ascii="Arial" w:hAnsi="Arial" w:cs="Arial"/>
          <w:sz w:val="20"/>
          <w:szCs w:val="20"/>
        </w:rPr>
        <w:t xml:space="preserve"> − β · </w:t>
      </w:r>
      <w:proofErr w:type="spellStart"/>
      <w:r w:rsidRPr="007B1737">
        <w:rPr>
          <w:rFonts w:ascii="Arial" w:hAnsi="Arial" w:cs="Arial"/>
          <w:sz w:val="20"/>
          <w:szCs w:val="20"/>
        </w:rPr>
        <w:t>price_B</w:t>
      </w:r>
      <w:proofErr w:type="spellEnd"/>
    </w:p>
    <w:p w14:paraId="3D056DCC" w14:textId="77777777" w:rsidR="007B1737" w:rsidRPr="007B1737" w:rsidRDefault="007B1737" w:rsidP="007B1737">
      <w:pPr>
        <w:pStyle w:val="ListParagraph"/>
        <w:numPr>
          <w:ilvl w:val="0"/>
          <w:numId w:val="1"/>
        </w:numPr>
        <w:contextualSpacing w:val="0"/>
        <w:jc w:val="both"/>
        <w:rPr>
          <w:rFonts w:ascii="Arial" w:hAnsi="Arial" w:cs="Arial"/>
          <w:sz w:val="20"/>
          <w:szCs w:val="20"/>
        </w:rPr>
      </w:pPr>
      <w:r w:rsidRPr="007B1737">
        <w:rPr>
          <w:rFonts w:ascii="Arial" w:hAnsi="Arial" w:cs="Arial"/>
          <w:sz w:val="20"/>
          <w:szCs w:val="20"/>
        </w:rPr>
        <w:t>Z-score: z = (spread − μ) / σ, computed over a rolling 60-day window using Welford online statistics (numerically stable, constant memory).</w:t>
      </w:r>
    </w:p>
    <w:p w14:paraId="1451EF99" w14:textId="77777777" w:rsidR="007B1737" w:rsidRPr="007B1737" w:rsidRDefault="007B1737" w:rsidP="007B1737">
      <w:pPr>
        <w:pStyle w:val="ListParagraph"/>
        <w:numPr>
          <w:ilvl w:val="0"/>
          <w:numId w:val="1"/>
        </w:numPr>
        <w:contextualSpacing w:val="0"/>
        <w:jc w:val="both"/>
        <w:rPr>
          <w:rFonts w:ascii="Arial" w:hAnsi="Arial" w:cs="Arial"/>
          <w:sz w:val="20"/>
          <w:szCs w:val="20"/>
        </w:rPr>
      </w:pPr>
      <w:r w:rsidRPr="007B1737">
        <w:rPr>
          <w:rFonts w:ascii="Arial" w:hAnsi="Arial" w:cs="Arial"/>
          <w:sz w:val="20"/>
          <w:szCs w:val="20"/>
        </w:rPr>
        <w:t>Long spread signal (buy A / sell B): z ≤ −2.0</w:t>
      </w:r>
    </w:p>
    <w:p w14:paraId="266174CF" w14:textId="77777777" w:rsidR="007B1737" w:rsidRPr="007B1737" w:rsidRDefault="007B1737" w:rsidP="007B1737">
      <w:pPr>
        <w:pStyle w:val="ListParagraph"/>
        <w:numPr>
          <w:ilvl w:val="0"/>
          <w:numId w:val="1"/>
        </w:numPr>
        <w:contextualSpacing w:val="0"/>
        <w:jc w:val="both"/>
        <w:rPr>
          <w:rFonts w:ascii="Arial" w:hAnsi="Arial" w:cs="Arial"/>
          <w:sz w:val="20"/>
          <w:szCs w:val="20"/>
        </w:rPr>
      </w:pPr>
      <w:r w:rsidRPr="007B1737">
        <w:rPr>
          <w:rFonts w:ascii="Arial" w:hAnsi="Arial" w:cs="Arial"/>
          <w:sz w:val="20"/>
          <w:szCs w:val="20"/>
        </w:rPr>
        <w:t>Short spread signal (sell A / buy B): z ≥ +2.0</w:t>
      </w:r>
    </w:p>
    <w:p w14:paraId="03CAF3D5" w14:textId="77777777" w:rsidR="007B1737" w:rsidRPr="007B1737" w:rsidRDefault="007B1737" w:rsidP="007B1737">
      <w:pPr>
        <w:pStyle w:val="ListParagraph"/>
        <w:numPr>
          <w:ilvl w:val="0"/>
          <w:numId w:val="1"/>
        </w:numPr>
        <w:contextualSpacing w:val="0"/>
        <w:jc w:val="both"/>
        <w:rPr>
          <w:rFonts w:ascii="Arial" w:hAnsi="Arial" w:cs="Arial"/>
          <w:sz w:val="20"/>
          <w:szCs w:val="20"/>
        </w:rPr>
      </w:pPr>
      <w:r w:rsidRPr="007B1737">
        <w:rPr>
          <w:rFonts w:ascii="Arial" w:hAnsi="Arial" w:cs="Arial"/>
          <w:sz w:val="20"/>
          <w:szCs w:val="20"/>
        </w:rPr>
        <w:t>Exit signal: |z| ≤ 0.5 (mean reversion complete)</w:t>
      </w:r>
    </w:p>
    <w:p w14:paraId="1BF8E28F" w14:textId="77777777" w:rsidR="007B1737" w:rsidRPr="007B1737" w:rsidRDefault="007B1737" w:rsidP="007B1737">
      <w:pPr>
        <w:pStyle w:val="ListParagraph"/>
        <w:numPr>
          <w:ilvl w:val="0"/>
          <w:numId w:val="1"/>
        </w:numPr>
        <w:contextualSpacing w:val="0"/>
        <w:jc w:val="both"/>
        <w:rPr>
          <w:rFonts w:ascii="Arial" w:hAnsi="Arial" w:cs="Arial"/>
          <w:sz w:val="20"/>
          <w:szCs w:val="20"/>
        </w:rPr>
      </w:pPr>
      <w:r w:rsidRPr="007B1737">
        <w:rPr>
          <w:rFonts w:ascii="Arial" w:hAnsi="Arial" w:cs="Arial"/>
          <w:sz w:val="20"/>
          <w:szCs w:val="20"/>
        </w:rPr>
        <w:t>Stop-loss: |z| ≥ 3.5 (spread divergence)</w:t>
      </w:r>
    </w:p>
    <w:p w14:paraId="361859EC" w14:textId="77777777" w:rsidR="007B1737" w:rsidRPr="007B1737" w:rsidRDefault="007B1737" w:rsidP="007B1737">
      <w:pPr>
        <w:spacing w:after="120"/>
        <w:jc w:val="both"/>
        <w:rPr>
          <w:rFonts w:ascii="Arial" w:hAnsi="Arial" w:cs="Arial"/>
          <w:sz w:val="20"/>
          <w:szCs w:val="20"/>
        </w:rPr>
      </w:pPr>
      <w:r w:rsidRPr="007B1737">
        <w:rPr>
          <w:rFonts w:ascii="Arial" w:hAnsi="Arial" w:cs="Arial"/>
          <w:sz w:val="20"/>
          <w:szCs w:val="20"/>
        </w:rPr>
        <w:t>Hedge ratios are updated daily via OLS regression; a Kalman filter variant is available for pairs exhibiting time-varying betas.</w:t>
      </w:r>
    </w:p>
    <w:p w14:paraId="3C626330" w14:textId="77777777" w:rsidR="0029393A" w:rsidRDefault="0029393A" w:rsidP="007B1737">
      <w:pPr>
        <w:jc w:val="both"/>
        <w:rPr>
          <w:rFonts w:ascii="Arial" w:hAnsi="Arial" w:cs="Arial"/>
          <w:b/>
          <w:bCs/>
          <w:lang w:val="en-US"/>
        </w:rPr>
      </w:pPr>
    </w:p>
    <w:p w14:paraId="5F3E81A2" w14:textId="45432800" w:rsidR="007B1737" w:rsidRPr="007B1737" w:rsidRDefault="007B1737" w:rsidP="007B1737">
      <w:pPr>
        <w:jc w:val="both"/>
        <w:rPr>
          <w:rFonts w:ascii="Arial" w:hAnsi="Arial" w:cs="Arial"/>
          <w:b/>
          <w:bCs/>
          <w:lang w:val="en-US"/>
        </w:rPr>
      </w:pPr>
      <w:r w:rsidRPr="007B1737">
        <w:rPr>
          <w:rFonts w:ascii="Arial" w:hAnsi="Arial" w:cs="Arial"/>
          <w:b/>
          <w:bCs/>
          <w:lang w:val="en-US"/>
        </w:rPr>
        <w:t>Execution</w:t>
      </w:r>
    </w:p>
    <w:p w14:paraId="6D8C2480" w14:textId="798877D7" w:rsidR="007B1737" w:rsidRDefault="007B1737" w:rsidP="007B1737">
      <w:pPr>
        <w:spacing w:after="120"/>
        <w:jc w:val="both"/>
        <w:rPr>
          <w:rFonts w:ascii="Arial" w:hAnsi="Arial" w:cs="Arial"/>
          <w:sz w:val="20"/>
          <w:szCs w:val="20"/>
        </w:rPr>
      </w:pPr>
      <w:r w:rsidRPr="007B1737">
        <w:rPr>
          <w:rFonts w:ascii="Arial" w:hAnsi="Arial" w:cs="Arial"/>
          <w:sz w:val="20"/>
          <w:szCs w:val="20"/>
        </w:rPr>
        <w:t>Signals are routed through the Risk Engine before order submission. Approved signals generate simultaneous market-on-open or limit orders for both legs via Alpaca or Interactive Brokers REST/FIX APIs. Fills are tracked by the OMS and reconciled with the Position Engine for mark-to-market P&amp;L.</w:t>
      </w:r>
    </w:p>
    <w:p w14:paraId="222629D2" w14:textId="77777777" w:rsidR="007B1737" w:rsidRDefault="007B1737" w:rsidP="007B1737">
      <w:pPr>
        <w:spacing w:after="120"/>
        <w:jc w:val="both"/>
        <w:rPr>
          <w:rFonts w:ascii="Arial" w:hAnsi="Arial" w:cs="Arial"/>
          <w:sz w:val="20"/>
          <w:szCs w:val="20"/>
        </w:rPr>
      </w:pPr>
    </w:p>
    <w:p w14:paraId="1CE41497" w14:textId="77777777" w:rsidR="007B1737" w:rsidRDefault="007B1737" w:rsidP="007B1737">
      <w:pPr>
        <w:spacing w:after="120"/>
        <w:jc w:val="both"/>
        <w:rPr>
          <w:rFonts w:ascii="Arial" w:hAnsi="Arial" w:cs="Arial"/>
          <w:sz w:val="20"/>
          <w:szCs w:val="20"/>
        </w:rPr>
      </w:pPr>
    </w:p>
    <w:p w14:paraId="37BF72B1" w14:textId="77777777" w:rsidR="007B1737" w:rsidRDefault="007B1737" w:rsidP="007B1737">
      <w:pPr>
        <w:spacing w:after="120"/>
        <w:jc w:val="both"/>
        <w:rPr>
          <w:rFonts w:ascii="Arial" w:hAnsi="Arial" w:cs="Arial"/>
          <w:sz w:val="20"/>
          <w:szCs w:val="20"/>
        </w:rPr>
      </w:pPr>
    </w:p>
    <w:p w14:paraId="7A9C1E70" w14:textId="77777777" w:rsidR="007B1737" w:rsidRDefault="007B1737" w:rsidP="007B1737">
      <w:pPr>
        <w:spacing w:after="120"/>
        <w:jc w:val="both"/>
        <w:rPr>
          <w:rFonts w:ascii="Arial" w:hAnsi="Arial" w:cs="Arial"/>
          <w:sz w:val="20"/>
          <w:szCs w:val="20"/>
        </w:rPr>
      </w:pPr>
    </w:p>
    <w:p w14:paraId="47C68575" w14:textId="77777777" w:rsidR="007B1737" w:rsidRDefault="007B1737" w:rsidP="007B1737">
      <w:pPr>
        <w:spacing w:after="120"/>
        <w:jc w:val="both"/>
        <w:rPr>
          <w:rFonts w:ascii="Arial" w:hAnsi="Arial" w:cs="Arial"/>
          <w:sz w:val="20"/>
          <w:szCs w:val="20"/>
        </w:rPr>
      </w:pPr>
    </w:p>
    <w:p w14:paraId="2138359A" w14:textId="77777777" w:rsidR="007B1737" w:rsidRDefault="007B1737" w:rsidP="007B1737">
      <w:pPr>
        <w:spacing w:after="120"/>
        <w:jc w:val="both"/>
        <w:rPr>
          <w:rFonts w:ascii="Arial" w:hAnsi="Arial" w:cs="Arial"/>
          <w:sz w:val="20"/>
          <w:szCs w:val="20"/>
        </w:rPr>
      </w:pPr>
    </w:p>
    <w:p w14:paraId="54AB8BB7" w14:textId="77777777" w:rsidR="0029393A" w:rsidRDefault="0029393A" w:rsidP="007B1737">
      <w:pPr>
        <w:spacing w:after="120"/>
        <w:jc w:val="both"/>
        <w:rPr>
          <w:rFonts w:ascii="Arial" w:hAnsi="Arial" w:cs="Arial"/>
          <w:sz w:val="20"/>
          <w:szCs w:val="20"/>
        </w:rPr>
      </w:pPr>
    </w:p>
    <w:p w14:paraId="448FBF4C" w14:textId="33874341" w:rsidR="007B1737" w:rsidRDefault="007B1737" w:rsidP="007B1737">
      <w:pPr>
        <w:rPr>
          <w:rFonts w:ascii="Arial" w:hAnsi="Arial" w:cs="Arial"/>
          <w:b/>
          <w:bCs/>
          <w:sz w:val="28"/>
          <w:szCs w:val="28"/>
          <w:lang w:val="en-US"/>
        </w:rPr>
      </w:pPr>
      <w:r>
        <w:rPr>
          <w:rFonts w:ascii="Arial" w:hAnsi="Arial" w:cs="Arial"/>
          <w:b/>
          <w:bCs/>
          <w:sz w:val="28"/>
          <w:szCs w:val="28"/>
          <w:lang w:val="en-US"/>
        </w:rPr>
        <w:lastRenderedPageBreak/>
        <w:t>Strategy B – ADR Arbitrage</w:t>
      </w:r>
    </w:p>
    <w:p w14:paraId="1F8633DE" w14:textId="77777777" w:rsidR="007B1737" w:rsidRPr="007B1737" w:rsidRDefault="007B1737" w:rsidP="007B1737">
      <w:pPr>
        <w:jc w:val="both"/>
        <w:rPr>
          <w:rFonts w:ascii="Arial" w:hAnsi="Arial" w:cs="Arial"/>
          <w:b/>
          <w:bCs/>
          <w:sz w:val="20"/>
          <w:szCs w:val="20"/>
          <w:lang w:val="en-US"/>
        </w:rPr>
      </w:pPr>
    </w:p>
    <w:p w14:paraId="2D3DC69D" w14:textId="68F52480" w:rsidR="007B1737" w:rsidRPr="007B1737" w:rsidRDefault="007B1737" w:rsidP="007B1737">
      <w:pPr>
        <w:jc w:val="both"/>
        <w:rPr>
          <w:rFonts w:ascii="Arial" w:hAnsi="Arial" w:cs="Arial"/>
          <w:b/>
          <w:bCs/>
          <w:lang w:val="en-US"/>
        </w:rPr>
      </w:pPr>
      <w:r w:rsidRPr="007B1737">
        <w:rPr>
          <w:rFonts w:ascii="Arial" w:hAnsi="Arial" w:cs="Arial"/>
          <w:b/>
          <w:bCs/>
          <w:lang w:val="en-US"/>
        </w:rPr>
        <w:t>Investment Thesis</w:t>
      </w:r>
    </w:p>
    <w:p w14:paraId="35F931E1" w14:textId="77777777" w:rsidR="007B1737" w:rsidRPr="007B1737" w:rsidRDefault="007B1737" w:rsidP="007B1737">
      <w:pPr>
        <w:spacing w:after="120"/>
        <w:jc w:val="both"/>
        <w:rPr>
          <w:rFonts w:ascii="Arial" w:hAnsi="Arial" w:cs="Arial"/>
          <w:sz w:val="20"/>
          <w:szCs w:val="20"/>
        </w:rPr>
      </w:pPr>
      <w:r w:rsidRPr="007B1737">
        <w:rPr>
          <w:rFonts w:ascii="Arial" w:hAnsi="Arial" w:cs="Arial"/>
          <w:sz w:val="20"/>
          <w:szCs w:val="20"/>
        </w:rPr>
        <w:t>American Depositary Receipts (ADRs) represent fractional ownership of foreign shares held in custody by a U.S. depositary bank. In theory, the ADR price should equal the underlying foreign share price multiplied by the prevailing FX rate and adjusted for the ADR ratio. In practice, supply/demand imbalances, custody mechanics, and cross-market timing create temporary price gaps — the parity premium or discount.</w:t>
      </w:r>
    </w:p>
    <w:p w14:paraId="33FB4B19" w14:textId="77777777" w:rsidR="007B1737" w:rsidRPr="007B1737" w:rsidRDefault="007B1737" w:rsidP="007B1737">
      <w:pPr>
        <w:spacing w:after="120"/>
        <w:jc w:val="both"/>
        <w:rPr>
          <w:rFonts w:ascii="Arial" w:hAnsi="Arial" w:cs="Arial"/>
          <w:sz w:val="20"/>
          <w:szCs w:val="20"/>
        </w:rPr>
      </w:pPr>
      <w:r w:rsidRPr="007B1737">
        <w:rPr>
          <w:rFonts w:ascii="Arial" w:hAnsi="Arial" w:cs="Arial"/>
          <w:sz w:val="20"/>
          <w:szCs w:val="20"/>
        </w:rPr>
        <w:t>Strategy B captures these gaps by simultaneously buying the cheaper instrument and selling the more expensive one, with a concurrent FX spot trade to eliminate currency risk. The arbitrage window closes as market participants rebalance inventory, typically within minutes to days.</w:t>
      </w:r>
    </w:p>
    <w:p w14:paraId="47B2D4DE" w14:textId="77777777" w:rsidR="0029393A" w:rsidRDefault="0029393A" w:rsidP="007B1737">
      <w:pPr>
        <w:jc w:val="both"/>
        <w:rPr>
          <w:rFonts w:ascii="Arial" w:hAnsi="Arial" w:cs="Arial"/>
          <w:b/>
          <w:bCs/>
          <w:lang w:val="en-US"/>
        </w:rPr>
      </w:pPr>
    </w:p>
    <w:p w14:paraId="4A7CC710" w14:textId="541BC073" w:rsidR="007B1737" w:rsidRPr="007B1737" w:rsidRDefault="007B1737" w:rsidP="007B1737">
      <w:pPr>
        <w:jc w:val="both"/>
        <w:rPr>
          <w:rFonts w:ascii="Arial" w:hAnsi="Arial" w:cs="Arial"/>
          <w:b/>
          <w:bCs/>
          <w:lang w:val="en-US"/>
        </w:rPr>
      </w:pPr>
      <w:r w:rsidRPr="007B1737">
        <w:rPr>
          <w:rFonts w:ascii="Arial" w:hAnsi="Arial" w:cs="Arial"/>
          <w:b/>
          <w:bCs/>
          <w:lang w:val="en-US"/>
        </w:rPr>
        <w:t>Pair Eligibility Criteria</w:t>
      </w:r>
    </w:p>
    <w:p w14:paraId="2FED8781" w14:textId="77777777" w:rsidR="007B1737" w:rsidRPr="007B1737" w:rsidRDefault="007B1737" w:rsidP="007B1737">
      <w:pPr>
        <w:pStyle w:val="ListParagraph"/>
        <w:numPr>
          <w:ilvl w:val="0"/>
          <w:numId w:val="1"/>
        </w:numPr>
        <w:contextualSpacing w:val="0"/>
        <w:jc w:val="both"/>
        <w:rPr>
          <w:rFonts w:ascii="Arial" w:hAnsi="Arial" w:cs="Arial"/>
          <w:sz w:val="20"/>
          <w:szCs w:val="20"/>
        </w:rPr>
      </w:pPr>
      <w:r w:rsidRPr="007B1737">
        <w:rPr>
          <w:rFonts w:ascii="Arial" w:hAnsi="Arial" w:cs="Arial"/>
          <w:sz w:val="20"/>
          <w:szCs w:val="20"/>
        </w:rPr>
        <w:t>Minimum U.S. (ADR) average daily volume: $5 M/day</w:t>
      </w:r>
    </w:p>
    <w:p w14:paraId="46743FC5" w14:textId="77777777" w:rsidR="007B1737" w:rsidRPr="007B1737" w:rsidRDefault="007B1737" w:rsidP="007B1737">
      <w:pPr>
        <w:pStyle w:val="ListParagraph"/>
        <w:numPr>
          <w:ilvl w:val="0"/>
          <w:numId w:val="1"/>
        </w:numPr>
        <w:contextualSpacing w:val="0"/>
        <w:jc w:val="both"/>
        <w:rPr>
          <w:rFonts w:ascii="Arial" w:hAnsi="Arial" w:cs="Arial"/>
          <w:sz w:val="20"/>
          <w:szCs w:val="20"/>
        </w:rPr>
      </w:pPr>
      <w:r w:rsidRPr="007B1737">
        <w:rPr>
          <w:rFonts w:ascii="Arial" w:hAnsi="Arial" w:cs="Arial"/>
          <w:sz w:val="20"/>
          <w:szCs w:val="20"/>
        </w:rPr>
        <w:t>Minimum foreign underlying ADV: $5 M/day (USD equivalent)</w:t>
      </w:r>
    </w:p>
    <w:p w14:paraId="74BF5596" w14:textId="77777777" w:rsidR="007B1737" w:rsidRPr="007B1737" w:rsidRDefault="007B1737" w:rsidP="007B1737">
      <w:pPr>
        <w:pStyle w:val="ListParagraph"/>
        <w:numPr>
          <w:ilvl w:val="0"/>
          <w:numId w:val="1"/>
        </w:numPr>
        <w:contextualSpacing w:val="0"/>
        <w:jc w:val="both"/>
        <w:rPr>
          <w:rFonts w:ascii="Arial" w:hAnsi="Arial" w:cs="Arial"/>
          <w:sz w:val="20"/>
          <w:szCs w:val="20"/>
        </w:rPr>
      </w:pPr>
      <w:r w:rsidRPr="007B1737">
        <w:rPr>
          <w:rFonts w:ascii="Arial" w:hAnsi="Arial" w:cs="Arial"/>
          <w:sz w:val="20"/>
          <w:szCs w:val="20"/>
        </w:rPr>
        <w:t>Maximum estimated round-trip transaction cost: 50 bps</w:t>
      </w:r>
    </w:p>
    <w:p w14:paraId="6B434058" w14:textId="77777777" w:rsidR="007B1737" w:rsidRPr="007B1737" w:rsidRDefault="007B1737" w:rsidP="007B1737">
      <w:pPr>
        <w:pStyle w:val="ListParagraph"/>
        <w:numPr>
          <w:ilvl w:val="0"/>
          <w:numId w:val="1"/>
        </w:numPr>
        <w:contextualSpacing w:val="0"/>
        <w:jc w:val="both"/>
        <w:rPr>
          <w:rFonts w:ascii="Arial" w:hAnsi="Arial" w:cs="Arial"/>
          <w:sz w:val="20"/>
          <w:szCs w:val="20"/>
        </w:rPr>
      </w:pPr>
      <w:r w:rsidRPr="007B1737">
        <w:rPr>
          <w:rFonts w:ascii="Arial" w:hAnsi="Arial" w:cs="Arial"/>
          <w:sz w:val="20"/>
          <w:szCs w:val="20"/>
        </w:rPr>
        <w:t>Active market overlap window required: at least 2 hours of simultaneous trading</w:t>
      </w:r>
    </w:p>
    <w:p w14:paraId="0E085C8B" w14:textId="77777777" w:rsidR="007B1737" w:rsidRPr="007B1737" w:rsidRDefault="007B1737" w:rsidP="007B1737">
      <w:pPr>
        <w:pStyle w:val="ListParagraph"/>
        <w:numPr>
          <w:ilvl w:val="0"/>
          <w:numId w:val="1"/>
        </w:numPr>
        <w:contextualSpacing w:val="0"/>
        <w:jc w:val="both"/>
        <w:rPr>
          <w:rFonts w:ascii="Arial" w:hAnsi="Arial" w:cs="Arial"/>
          <w:sz w:val="20"/>
          <w:szCs w:val="20"/>
        </w:rPr>
      </w:pPr>
      <w:r w:rsidRPr="007B1737">
        <w:rPr>
          <w:rFonts w:ascii="Arial" w:hAnsi="Arial" w:cs="Arial"/>
          <w:sz w:val="20"/>
          <w:szCs w:val="20"/>
        </w:rPr>
        <w:t>FX rate must be available from OANDA or IB FX with staleness &lt; 60 seconds</w:t>
      </w:r>
    </w:p>
    <w:p w14:paraId="5115C905" w14:textId="77777777" w:rsidR="0029393A" w:rsidRDefault="0029393A" w:rsidP="007B1737">
      <w:pPr>
        <w:jc w:val="both"/>
        <w:rPr>
          <w:rFonts w:ascii="Arial" w:hAnsi="Arial" w:cs="Arial"/>
          <w:b/>
          <w:bCs/>
          <w:lang w:val="en-US"/>
        </w:rPr>
      </w:pPr>
    </w:p>
    <w:p w14:paraId="71D2FB9D" w14:textId="329D215D" w:rsidR="007B1737" w:rsidRPr="007B1737" w:rsidRDefault="007B1737" w:rsidP="007B1737">
      <w:pPr>
        <w:jc w:val="both"/>
        <w:rPr>
          <w:rFonts w:ascii="Arial" w:hAnsi="Arial" w:cs="Arial"/>
          <w:b/>
          <w:bCs/>
          <w:lang w:val="en-US"/>
        </w:rPr>
      </w:pPr>
      <w:r w:rsidRPr="007B1737">
        <w:rPr>
          <w:rFonts w:ascii="Arial" w:hAnsi="Arial" w:cs="Arial"/>
          <w:b/>
          <w:bCs/>
          <w:lang w:val="en-US"/>
        </w:rPr>
        <w:t>Signal Generation</w:t>
      </w:r>
    </w:p>
    <w:p w14:paraId="460B9BF0" w14:textId="77777777" w:rsidR="007B1737" w:rsidRPr="007B1737" w:rsidRDefault="007B1737" w:rsidP="007B1737">
      <w:pPr>
        <w:spacing w:after="120"/>
        <w:jc w:val="both"/>
        <w:rPr>
          <w:rFonts w:ascii="Arial" w:hAnsi="Arial" w:cs="Arial"/>
          <w:sz w:val="20"/>
          <w:szCs w:val="20"/>
        </w:rPr>
      </w:pPr>
      <w:r w:rsidRPr="007B1737">
        <w:rPr>
          <w:rFonts w:ascii="Arial" w:hAnsi="Arial" w:cs="Arial"/>
          <w:sz w:val="20"/>
          <w:szCs w:val="20"/>
        </w:rPr>
        <w:t>For each approved ADR pair, a parity price is computed in real time:</w:t>
      </w:r>
    </w:p>
    <w:p w14:paraId="466A213A" w14:textId="77777777" w:rsidR="007B1737" w:rsidRPr="007B1737" w:rsidRDefault="007B1737" w:rsidP="007B1737">
      <w:pPr>
        <w:pStyle w:val="ListParagraph"/>
        <w:numPr>
          <w:ilvl w:val="0"/>
          <w:numId w:val="1"/>
        </w:numPr>
        <w:contextualSpacing w:val="0"/>
        <w:jc w:val="both"/>
        <w:rPr>
          <w:rFonts w:ascii="Arial" w:hAnsi="Arial" w:cs="Arial"/>
          <w:sz w:val="20"/>
          <w:szCs w:val="20"/>
        </w:rPr>
      </w:pPr>
      <w:r w:rsidRPr="007B1737">
        <w:rPr>
          <w:rFonts w:ascii="Arial" w:hAnsi="Arial" w:cs="Arial"/>
          <w:sz w:val="20"/>
          <w:szCs w:val="20"/>
        </w:rPr>
        <w:t xml:space="preserve">Parity price (USD) = </w:t>
      </w:r>
      <w:proofErr w:type="spellStart"/>
      <w:r w:rsidRPr="007B1737">
        <w:rPr>
          <w:rFonts w:ascii="Arial" w:hAnsi="Arial" w:cs="Arial"/>
          <w:sz w:val="20"/>
          <w:szCs w:val="20"/>
        </w:rPr>
        <w:t>foreign_price_local</w:t>
      </w:r>
      <w:proofErr w:type="spellEnd"/>
      <w:r w:rsidRPr="007B1737">
        <w:rPr>
          <w:rFonts w:ascii="Arial" w:hAnsi="Arial" w:cs="Arial"/>
          <w:sz w:val="20"/>
          <w:szCs w:val="20"/>
        </w:rPr>
        <w:t xml:space="preserve"> × </w:t>
      </w:r>
      <w:proofErr w:type="spellStart"/>
      <w:r w:rsidRPr="007B1737">
        <w:rPr>
          <w:rFonts w:ascii="Arial" w:hAnsi="Arial" w:cs="Arial"/>
          <w:sz w:val="20"/>
          <w:szCs w:val="20"/>
        </w:rPr>
        <w:t>FX_rate</w:t>
      </w:r>
      <w:proofErr w:type="spellEnd"/>
      <w:r w:rsidRPr="007B1737">
        <w:rPr>
          <w:rFonts w:ascii="Arial" w:hAnsi="Arial" w:cs="Arial"/>
          <w:sz w:val="20"/>
          <w:szCs w:val="20"/>
        </w:rPr>
        <w:t xml:space="preserve"> × (1 / </w:t>
      </w:r>
      <w:proofErr w:type="spellStart"/>
      <w:r w:rsidRPr="007B1737">
        <w:rPr>
          <w:rFonts w:ascii="Arial" w:hAnsi="Arial" w:cs="Arial"/>
          <w:sz w:val="20"/>
          <w:szCs w:val="20"/>
        </w:rPr>
        <w:t>ADR_ratio</w:t>
      </w:r>
      <w:proofErr w:type="spellEnd"/>
      <w:r w:rsidRPr="007B1737">
        <w:rPr>
          <w:rFonts w:ascii="Arial" w:hAnsi="Arial" w:cs="Arial"/>
          <w:sz w:val="20"/>
          <w:szCs w:val="20"/>
        </w:rPr>
        <w:t>)</w:t>
      </w:r>
    </w:p>
    <w:p w14:paraId="70897C25" w14:textId="77777777" w:rsidR="007B1737" w:rsidRPr="007B1737" w:rsidRDefault="007B1737" w:rsidP="007B1737">
      <w:pPr>
        <w:pStyle w:val="ListParagraph"/>
        <w:numPr>
          <w:ilvl w:val="0"/>
          <w:numId w:val="1"/>
        </w:numPr>
        <w:contextualSpacing w:val="0"/>
        <w:jc w:val="both"/>
        <w:rPr>
          <w:rFonts w:ascii="Arial" w:hAnsi="Arial" w:cs="Arial"/>
          <w:sz w:val="20"/>
          <w:szCs w:val="20"/>
        </w:rPr>
      </w:pPr>
      <w:r w:rsidRPr="007B1737">
        <w:rPr>
          <w:rFonts w:ascii="Arial" w:hAnsi="Arial" w:cs="Arial"/>
          <w:sz w:val="20"/>
          <w:szCs w:val="20"/>
        </w:rPr>
        <w:t>Parity premium = (</w:t>
      </w:r>
      <w:proofErr w:type="spellStart"/>
      <w:r w:rsidRPr="007B1737">
        <w:rPr>
          <w:rFonts w:ascii="Arial" w:hAnsi="Arial" w:cs="Arial"/>
          <w:sz w:val="20"/>
          <w:szCs w:val="20"/>
        </w:rPr>
        <w:t>ADR_price</w:t>
      </w:r>
      <w:proofErr w:type="spellEnd"/>
      <w:r w:rsidRPr="007B1737">
        <w:rPr>
          <w:rFonts w:ascii="Arial" w:hAnsi="Arial" w:cs="Arial"/>
          <w:sz w:val="20"/>
          <w:szCs w:val="20"/>
        </w:rPr>
        <w:t xml:space="preserve"> − </w:t>
      </w:r>
      <w:proofErr w:type="spellStart"/>
      <w:r w:rsidRPr="007B1737">
        <w:rPr>
          <w:rFonts w:ascii="Arial" w:hAnsi="Arial" w:cs="Arial"/>
          <w:sz w:val="20"/>
          <w:szCs w:val="20"/>
        </w:rPr>
        <w:t>parity_price</w:t>
      </w:r>
      <w:proofErr w:type="spellEnd"/>
      <w:r w:rsidRPr="007B1737">
        <w:rPr>
          <w:rFonts w:ascii="Arial" w:hAnsi="Arial" w:cs="Arial"/>
          <w:sz w:val="20"/>
          <w:szCs w:val="20"/>
        </w:rPr>
        <w:t xml:space="preserve">) / </w:t>
      </w:r>
      <w:proofErr w:type="spellStart"/>
      <w:r w:rsidRPr="007B1737">
        <w:rPr>
          <w:rFonts w:ascii="Arial" w:hAnsi="Arial" w:cs="Arial"/>
          <w:sz w:val="20"/>
          <w:szCs w:val="20"/>
        </w:rPr>
        <w:t>parity_price</w:t>
      </w:r>
      <w:proofErr w:type="spellEnd"/>
    </w:p>
    <w:p w14:paraId="656C7B9E" w14:textId="77777777" w:rsidR="007B1737" w:rsidRPr="007B1737" w:rsidRDefault="007B1737" w:rsidP="007B1737">
      <w:pPr>
        <w:pStyle w:val="ListParagraph"/>
        <w:numPr>
          <w:ilvl w:val="0"/>
          <w:numId w:val="1"/>
        </w:numPr>
        <w:contextualSpacing w:val="0"/>
        <w:jc w:val="both"/>
        <w:rPr>
          <w:rFonts w:ascii="Arial" w:hAnsi="Arial" w:cs="Arial"/>
          <w:sz w:val="20"/>
          <w:szCs w:val="20"/>
        </w:rPr>
      </w:pPr>
      <w:r w:rsidRPr="007B1737">
        <w:rPr>
          <w:rFonts w:ascii="Arial" w:hAnsi="Arial" w:cs="Arial"/>
          <w:sz w:val="20"/>
          <w:szCs w:val="20"/>
        </w:rPr>
        <w:t>Entry: |premium| ≥ 0.50%</w:t>
      </w:r>
    </w:p>
    <w:p w14:paraId="0DCF570F" w14:textId="77777777" w:rsidR="007B1737" w:rsidRPr="007B1737" w:rsidRDefault="007B1737" w:rsidP="007B1737">
      <w:pPr>
        <w:pStyle w:val="ListParagraph"/>
        <w:numPr>
          <w:ilvl w:val="0"/>
          <w:numId w:val="1"/>
        </w:numPr>
        <w:contextualSpacing w:val="0"/>
        <w:jc w:val="both"/>
        <w:rPr>
          <w:rFonts w:ascii="Arial" w:hAnsi="Arial" w:cs="Arial"/>
          <w:sz w:val="20"/>
          <w:szCs w:val="20"/>
        </w:rPr>
      </w:pPr>
      <w:r w:rsidRPr="007B1737">
        <w:rPr>
          <w:rFonts w:ascii="Arial" w:hAnsi="Arial" w:cs="Arial"/>
          <w:sz w:val="20"/>
          <w:szCs w:val="20"/>
        </w:rPr>
        <w:t>Exit: |premium| ≤ 0.10%</w:t>
      </w:r>
    </w:p>
    <w:p w14:paraId="664B9B2F" w14:textId="77777777" w:rsidR="007B1737" w:rsidRPr="007B1737" w:rsidRDefault="007B1737" w:rsidP="007B1737">
      <w:pPr>
        <w:pStyle w:val="ListParagraph"/>
        <w:numPr>
          <w:ilvl w:val="0"/>
          <w:numId w:val="1"/>
        </w:numPr>
        <w:contextualSpacing w:val="0"/>
        <w:jc w:val="both"/>
        <w:rPr>
          <w:rFonts w:ascii="Arial" w:hAnsi="Arial" w:cs="Arial"/>
          <w:sz w:val="20"/>
          <w:szCs w:val="20"/>
        </w:rPr>
      </w:pPr>
      <w:r w:rsidRPr="007B1737">
        <w:rPr>
          <w:rFonts w:ascii="Arial" w:hAnsi="Arial" w:cs="Arial"/>
          <w:sz w:val="20"/>
          <w:szCs w:val="20"/>
        </w:rPr>
        <w:t>Stop-loss: |premium| ≥ 1.50%</w:t>
      </w:r>
    </w:p>
    <w:p w14:paraId="7D8D57E0" w14:textId="77777777" w:rsidR="007B1737" w:rsidRPr="007B1737" w:rsidRDefault="007B1737" w:rsidP="007B1737">
      <w:pPr>
        <w:spacing w:after="120"/>
        <w:jc w:val="both"/>
        <w:rPr>
          <w:rFonts w:ascii="Arial" w:hAnsi="Arial" w:cs="Arial"/>
          <w:sz w:val="20"/>
          <w:szCs w:val="20"/>
        </w:rPr>
      </w:pPr>
      <w:r w:rsidRPr="007B1737">
        <w:rPr>
          <w:rFonts w:ascii="Arial" w:hAnsi="Arial" w:cs="Arial"/>
          <w:sz w:val="20"/>
          <w:szCs w:val="20"/>
        </w:rPr>
        <w:t>FX rates are cached in a sub-second ring buffer and refreshed on every tick from the OANDA streaming API.</w:t>
      </w:r>
    </w:p>
    <w:p w14:paraId="2DBEDD00" w14:textId="77777777" w:rsidR="0029393A" w:rsidRDefault="0029393A" w:rsidP="007B1737">
      <w:pPr>
        <w:jc w:val="both"/>
        <w:rPr>
          <w:rFonts w:ascii="Arial" w:hAnsi="Arial" w:cs="Arial"/>
          <w:b/>
          <w:bCs/>
          <w:lang w:val="en-US"/>
        </w:rPr>
      </w:pPr>
    </w:p>
    <w:p w14:paraId="32712B9B" w14:textId="4BCDB5A8" w:rsidR="007B1737" w:rsidRPr="007B1737" w:rsidRDefault="007B1737" w:rsidP="007B1737">
      <w:pPr>
        <w:jc w:val="both"/>
        <w:rPr>
          <w:rFonts w:ascii="Arial" w:hAnsi="Arial" w:cs="Arial"/>
          <w:b/>
          <w:bCs/>
          <w:lang w:val="en-US"/>
        </w:rPr>
      </w:pPr>
      <w:r w:rsidRPr="007B1737">
        <w:rPr>
          <w:rFonts w:ascii="Arial" w:hAnsi="Arial" w:cs="Arial"/>
          <w:b/>
          <w:bCs/>
          <w:lang w:val="en-US"/>
        </w:rPr>
        <w:t>Three-Leg Execution</w:t>
      </w:r>
    </w:p>
    <w:p w14:paraId="3AA29D1F" w14:textId="08FD4F82" w:rsidR="007B1737" w:rsidRPr="007B1737" w:rsidRDefault="007B1737" w:rsidP="007B1737">
      <w:pPr>
        <w:spacing w:after="120"/>
        <w:jc w:val="both"/>
        <w:rPr>
          <w:rFonts w:ascii="Arial" w:hAnsi="Arial" w:cs="Arial"/>
          <w:sz w:val="20"/>
          <w:szCs w:val="20"/>
        </w:rPr>
      </w:pPr>
      <w:r w:rsidRPr="007B1737">
        <w:rPr>
          <w:rFonts w:ascii="Arial" w:hAnsi="Arial" w:cs="Arial"/>
          <w:sz w:val="20"/>
          <w:szCs w:val="20"/>
        </w:rPr>
        <w:t>Each ADR trade consists of three coordinated legs</w:t>
      </w:r>
      <w:r w:rsidR="0029393A">
        <w:rPr>
          <w:rFonts w:ascii="Arial" w:hAnsi="Arial" w:cs="Arial"/>
          <w:sz w:val="20"/>
          <w:szCs w:val="20"/>
        </w:rPr>
        <w:t xml:space="preserve"> as shown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3000"/>
        <w:gridCol w:w="4800"/>
      </w:tblGrid>
      <w:tr w:rsidR="007B1737" w:rsidRPr="007B1737" w14:paraId="6045843C" w14:textId="77777777" w:rsidTr="00741870">
        <w:tc>
          <w:tcPr>
            <w:tcW w:w="1560" w:type="dxa"/>
            <w:tcBorders>
              <w:top w:val="single" w:sz="1" w:space="0" w:color="2E6EA6"/>
              <w:left w:val="single" w:sz="1" w:space="0" w:color="2E6EA6"/>
              <w:bottom w:val="single" w:sz="1" w:space="0" w:color="2E6EA6"/>
              <w:right w:val="single" w:sz="1" w:space="0" w:color="2E6EA6"/>
            </w:tcBorders>
            <w:shd w:val="clear" w:color="auto" w:fill="1B3A5C"/>
            <w:tcMar>
              <w:top w:w="80" w:type="dxa"/>
              <w:left w:w="120" w:type="dxa"/>
              <w:bottom w:w="80" w:type="dxa"/>
              <w:right w:w="120" w:type="dxa"/>
            </w:tcMar>
          </w:tcPr>
          <w:p w14:paraId="0B727080" w14:textId="77777777" w:rsidR="007B1737" w:rsidRPr="007B1737" w:rsidRDefault="007B1737" w:rsidP="007B1737">
            <w:pPr>
              <w:jc w:val="both"/>
              <w:rPr>
                <w:rFonts w:ascii="Arial" w:hAnsi="Arial" w:cs="Arial"/>
                <w:sz w:val="20"/>
                <w:szCs w:val="20"/>
              </w:rPr>
            </w:pPr>
            <w:r w:rsidRPr="007B1737">
              <w:rPr>
                <w:rFonts w:ascii="Arial" w:hAnsi="Arial" w:cs="Arial"/>
                <w:b/>
                <w:bCs/>
                <w:color w:val="FFFFFF"/>
                <w:sz w:val="20"/>
                <w:szCs w:val="20"/>
              </w:rPr>
              <w:t>Leg</w:t>
            </w:r>
          </w:p>
        </w:tc>
        <w:tc>
          <w:tcPr>
            <w:tcW w:w="3000" w:type="dxa"/>
            <w:tcBorders>
              <w:top w:val="single" w:sz="1" w:space="0" w:color="2E6EA6"/>
              <w:left w:val="single" w:sz="1" w:space="0" w:color="2E6EA6"/>
              <w:bottom w:val="single" w:sz="1" w:space="0" w:color="2E6EA6"/>
              <w:right w:val="single" w:sz="1" w:space="0" w:color="2E6EA6"/>
            </w:tcBorders>
            <w:shd w:val="clear" w:color="auto" w:fill="1B3A5C"/>
            <w:tcMar>
              <w:top w:w="80" w:type="dxa"/>
              <w:left w:w="120" w:type="dxa"/>
              <w:bottom w:w="80" w:type="dxa"/>
              <w:right w:w="120" w:type="dxa"/>
            </w:tcMar>
          </w:tcPr>
          <w:p w14:paraId="4052A7DB" w14:textId="77777777" w:rsidR="007B1737" w:rsidRPr="007B1737" w:rsidRDefault="007B1737" w:rsidP="007B1737">
            <w:pPr>
              <w:jc w:val="both"/>
              <w:rPr>
                <w:rFonts w:ascii="Arial" w:hAnsi="Arial" w:cs="Arial"/>
                <w:sz w:val="20"/>
                <w:szCs w:val="20"/>
              </w:rPr>
            </w:pPr>
            <w:r w:rsidRPr="007B1737">
              <w:rPr>
                <w:rFonts w:ascii="Arial" w:hAnsi="Arial" w:cs="Arial"/>
                <w:b/>
                <w:bCs/>
                <w:color w:val="FFFFFF"/>
                <w:sz w:val="20"/>
                <w:szCs w:val="20"/>
              </w:rPr>
              <w:t>Instrument</w:t>
            </w:r>
          </w:p>
        </w:tc>
        <w:tc>
          <w:tcPr>
            <w:tcW w:w="4800" w:type="dxa"/>
            <w:tcBorders>
              <w:top w:val="single" w:sz="1" w:space="0" w:color="2E6EA6"/>
              <w:left w:val="single" w:sz="1" w:space="0" w:color="2E6EA6"/>
              <w:bottom w:val="single" w:sz="1" w:space="0" w:color="2E6EA6"/>
              <w:right w:val="single" w:sz="1" w:space="0" w:color="2E6EA6"/>
            </w:tcBorders>
            <w:shd w:val="clear" w:color="auto" w:fill="1B3A5C"/>
            <w:tcMar>
              <w:top w:w="80" w:type="dxa"/>
              <w:left w:w="120" w:type="dxa"/>
              <w:bottom w:w="80" w:type="dxa"/>
              <w:right w:w="120" w:type="dxa"/>
            </w:tcMar>
          </w:tcPr>
          <w:p w14:paraId="3DFE4FBB" w14:textId="77777777" w:rsidR="007B1737" w:rsidRPr="007B1737" w:rsidRDefault="007B1737" w:rsidP="007B1737">
            <w:pPr>
              <w:jc w:val="both"/>
              <w:rPr>
                <w:rFonts w:ascii="Arial" w:hAnsi="Arial" w:cs="Arial"/>
                <w:sz w:val="20"/>
                <w:szCs w:val="20"/>
              </w:rPr>
            </w:pPr>
            <w:r w:rsidRPr="007B1737">
              <w:rPr>
                <w:rFonts w:ascii="Arial" w:hAnsi="Arial" w:cs="Arial"/>
                <w:b/>
                <w:bCs/>
                <w:color w:val="FFFFFF"/>
                <w:sz w:val="20"/>
                <w:szCs w:val="20"/>
              </w:rPr>
              <w:t>Venue</w:t>
            </w:r>
          </w:p>
        </w:tc>
      </w:tr>
      <w:tr w:rsidR="007B1737" w:rsidRPr="007B1737" w14:paraId="7D0B96C2" w14:textId="77777777" w:rsidTr="00741870">
        <w:tc>
          <w:tcPr>
            <w:tcW w:w="15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65EEE0B0" w14:textId="77777777" w:rsidR="007B1737" w:rsidRPr="007B1737" w:rsidRDefault="007B1737" w:rsidP="007B1737">
            <w:pPr>
              <w:jc w:val="both"/>
              <w:rPr>
                <w:rFonts w:ascii="Arial" w:hAnsi="Arial" w:cs="Arial"/>
                <w:sz w:val="20"/>
                <w:szCs w:val="20"/>
              </w:rPr>
            </w:pPr>
            <w:r w:rsidRPr="007B1737">
              <w:rPr>
                <w:rFonts w:ascii="Arial" w:hAnsi="Arial" w:cs="Arial"/>
                <w:sz w:val="20"/>
                <w:szCs w:val="20"/>
              </w:rPr>
              <w:t>1 — U.S. Equity</w:t>
            </w:r>
          </w:p>
        </w:tc>
        <w:tc>
          <w:tcPr>
            <w:tcW w:w="3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182EB98D" w14:textId="77777777" w:rsidR="007B1737" w:rsidRPr="007B1737" w:rsidRDefault="007B1737" w:rsidP="007B1737">
            <w:pPr>
              <w:jc w:val="both"/>
              <w:rPr>
                <w:rFonts w:ascii="Arial" w:hAnsi="Arial" w:cs="Arial"/>
                <w:sz w:val="20"/>
                <w:szCs w:val="20"/>
              </w:rPr>
            </w:pPr>
            <w:r w:rsidRPr="007B1737">
              <w:rPr>
                <w:rFonts w:ascii="Arial" w:hAnsi="Arial" w:cs="Arial"/>
                <w:sz w:val="20"/>
                <w:szCs w:val="20"/>
              </w:rPr>
              <w:t>ADR (buy or sell)</w:t>
            </w:r>
          </w:p>
        </w:tc>
        <w:tc>
          <w:tcPr>
            <w:tcW w:w="48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53910221" w14:textId="77777777" w:rsidR="007B1737" w:rsidRPr="007B1737" w:rsidRDefault="007B1737" w:rsidP="007B1737">
            <w:pPr>
              <w:jc w:val="both"/>
              <w:rPr>
                <w:rFonts w:ascii="Arial" w:hAnsi="Arial" w:cs="Arial"/>
                <w:sz w:val="20"/>
                <w:szCs w:val="20"/>
              </w:rPr>
            </w:pPr>
            <w:r w:rsidRPr="007B1737">
              <w:rPr>
                <w:rFonts w:ascii="Arial" w:hAnsi="Arial" w:cs="Arial"/>
                <w:sz w:val="20"/>
                <w:szCs w:val="20"/>
              </w:rPr>
              <w:t>Alpaca / IB U.S.</w:t>
            </w:r>
          </w:p>
        </w:tc>
      </w:tr>
      <w:tr w:rsidR="007B1737" w:rsidRPr="007B1737" w14:paraId="3812FE2B" w14:textId="77777777" w:rsidTr="0074187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38A76" w14:textId="77777777" w:rsidR="007B1737" w:rsidRPr="007B1737" w:rsidRDefault="007B1737" w:rsidP="007B1737">
            <w:pPr>
              <w:jc w:val="both"/>
              <w:rPr>
                <w:rFonts w:ascii="Arial" w:hAnsi="Arial" w:cs="Arial"/>
                <w:sz w:val="20"/>
                <w:szCs w:val="20"/>
              </w:rPr>
            </w:pPr>
            <w:r w:rsidRPr="007B1737">
              <w:rPr>
                <w:rFonts w:ascii="Arial" w:hAnsi="Arial" w:cs="Arial"/>
                <w:sz w:val="20"/>
                <w:szCs w:val="20"/>
              </w:rPr>
              <w:t>2 — Foreign Equity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39F9E" w14:textId="77777777" w:rsidR="007B1737" w:rsidRPr="007B1737" w:rsidRDefault="007B1737" w:rsidP="007B1737">
            <w:pPr>
              <w:jc w:val="both"/>
              <w:rPr>
                <w:rFonts w:ascii="Arial" w:hAnsi="Arial" w:cs="Arial"/>
                <w:sz w:val="20"/>
                <w:szCs w:val="20"/>
              </w:rPr>
            </w:pPr>
            <w:r w:rsidRPr="007B1737">
              <w:rPr>
                <w:rFonts w:ascii="Arial" w:hAnsi="Arial" w:cs="Arial"/>
                <w:sz w:val="20"/>
                <w:szCs w:val="20"/>
              </w:rPr>
              <w:t>Underlying share (opposite side)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F4690" w14:textId="77777777" w:rsidR="007B1737" w:rsidRPr="007B1737" w:rsidRDefault="007B1737" w:rsidP="007B1737">
            <w:pPr>
              <w:jc w:val="both"/>
              <w:rPr>
                <w:rFonts w:ascii="Arial" w:hAnsi="Arial" w:cs="Arial"/>
                <w:sz w:val="20"/>
                <w:szCs w:val="20"/>
              </w:rPr>
            </w:pPr>
            <w:r w:rsidRPr="007B1737">
              <w:rPr>
                <w:rFonts w:ascii="Arial" w:hAnsi="Arial" w:cs="Arial"/>
                <w:sz w:val="20"/>
                <w:szCs w:val="20"/>
              </w:rPr>
              <w:t>IB International Routing</w:t>
            </w:r>
          </w:p>
        </w:tc>
      </w:tr>
      <w:tr w:rsidR="007B1737" w:rsidRPr="007B1737" w14:paraId="0337FD45" w14:textId="77777777" w:rsidTr="00741870">
        <w:tc>
          <w:tcPr>
            <w:tcW w:w="15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4BAD9B33" w14:textId="77777777" w:rsidR="007B1737" w:rsidRPr="007B1737" w:rsidRDefault="007B1737" w:rsidP="007B1737">
            <w:pPr>
              <w:jc w:val="both"/>
              <w:rPr>
                <w:rFonts w:ascii="Arial" w:hAnsi="Arial" w:cs="Arial"/>
                <w:sz w:val="20"/>
                <w:szCs w:val="20"/>
              </w:rPr>
            </w:pPr>
            <w:r w:rsidRPr="007B1737">
              <w:rPr>
                <w:rFonts w:ascii="Arial" w:hAnsi="Arial" w:cs="Arial"/>
                <w:sz w:val="20"/>
                <w:szCs w:val="20"/>
              </w:rPr>
              <w:t>3 — FX Hedge</w:t>
            </w:r>
          </w:p>
        </w:tc>
        <w:tc>
          <w:tcPr>
            <w:tcW w:w="30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5E27DCBA" w14:textId="77777777" w:rsidR="007B1737" w:rsidRPr="007B1737" w:rsidRDefault="007B1737" w:rsidP="007B1737">
            <w:pPr>
              <w:jc w:val="both"/>
              <w:rPr>
                <w:rFonts w:ascii="Arial" w:hAnsi="Arial" w:cs="Arial"/>
                <w:sz w:val="20"/>
                <w:szCs w:val="20"/>
              </w:rPr>
            </w:pPr>
            <w:r w:rsidRPr="007B1737">
              <w:rPr>
                <w:rFonts w:ascii="Arial" w:hAnsi="Arial" w:cs="Arial"/>
                <w:sz w:val="20"/>
                <w:szCs w:val="20"/>
              </w:rPr>
              <w:t>Spot FX (foreign currency vs USD)</w:t>
            </w:r>
          </w:p>
        </w:tc>
        <w:tc>
          <w:tcPr>
            <w:tcW w:w="48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3A4BA64F" w14:textId="77777777" w:rsidR="007B1737" w:rsidRPr="007B1737" w:rsidRDefault="007B1737" w:rsidP="007B1737">
            <w:pPr>
              <w:jc w:val="both"/>
              <w:rPr>
                <w:rFonts w:ascii="Arial" w:hAnsi="Arial" w:cs="Arial"/>
                <w:sz w:val="20"/>
                <w:szCs w:val="20"/>
              </w:rPr>
            </w:pPr>
            <w:r w:rsidRPr="007B1737">
              <w:rPr>
                <w:rFonts w:ascii="Arial" w:hAnsi="Arial" w:cs="Arial"/>
                <w:sz w:val="20"/>
                <w:szCs w:val="20"/>
              </w:rPr>
              <w:t>OANDA v20 / IB FX</w:t>
            </w:r>
          </w:p>
        </w:tc>
      </w:tr>
    </w:tbl>
    <w:p w14:paraId="15FBE802" w14:textId="77777777" w:rsidR="007B1737" w:rsidRPr="007B1737" w:rsidRDefault="007B1737" w:rsidP="007B1737">
      <w:pPr>
        <w:spacing w:after="120"/>
        <w:jc w:val="both"/>
        <w:rPr>
          <w:rFonts w:ascii="Arial" w:hAnsi="Arial" w:cs="Arial"/>
          <w:sz w:val="20"/>
          <w:szCs w:val="20"/>
        </w:rPr>
      </w:pPr>
    </w:p>
    <w:p w14:paraId="7C004115" w14:textId="77777777" w:rsidR="007B1737" w:rsidRPr="007B1737" w:rsidRDefault="007B1737" w:rsidP="007B1737">
      <w:pPr>
        <w:spacing w:after="120"/>
        <w:jc w:val="both"/>
        <w:rPr>
          <w:rFonts w:ascii="Arial" w:hAnsi="Arial" w:cs="Arial"/>
          <w:sz w:val="20"/>
          <w:szCs w:val="20"/>
        </w:rPr>
      </w:pPr>
      <w:r w:rsidRPr="007B1737">
        <w:rPr>
          <w:rFonts w:ascii="Arial" w:hAnsi="Arial" w:cs="Arial"/>
          <w:sz w:val="20"/>
          <w:szCs w:val="20"/>
        </w:rPr>
        <w:t>The FX hedge neutralises the currency P&amp;L component of the foreign leg, leaving only the pure arbitrage spread as the return driver. Only trades with estimated round-trip costs below 50 bps enter the OMS; higher-cost pairs are filtered at the risk layer.</w:t>
      </w:r>
    </w:p>
    <w:p w14:paraId="1B566A97" w14:textId="77777777" w:rsidR="007B1737" w:rsidRDefault="007B1737" w:rsidP="007B1737">
      <w:pPr>
        <w:rPr>
          <w:rFonts w:ascii="Arial" w:hAnsi="Arial" w:cs="Arial"/>
          <w:b/>
          <w:bCs/>
          <w:sz w:val="28"/>
          <w:szCs w:val="28"/>
          <w:lang w:val="en-US"/>
        </w:rPr>
      </w:pPr>
    </w:p>
    <w:p w14:paraId="6919442D" w14:textId="77777777" w:rsidR="007B1737" w:rsidRPr="007B1737" w:rsidRDefault="007B1737" w:rsidP="007B1737">
      <w:pPr>
        <w:spacing w:after="120"/>
        <w:jc w:val="both"/>
        <w:rPr>
          <w:rFonts w:ascii="Arial" w:hAnsi="Arial" w:cs="Arial"/>
          <w:sz w:val="20"/>
          <w:szCs w:val="20"/>
        </w:rPr>
      </w:pPr>
    </w:p>
    <w:sectPr w:rsidR="007B1737" w:rsidRPr="007B1737" w:rsidSect="007B1737">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DF66C5"/>
    <w:multiLevelType w:val="hybridMultilevel"/>
    <w:tmpl w:val="B150DB0E"/>
    <w:lvl w:ilvl="0" w:tplc="36EA1F98">
      <w:start w:val="1"/>
      <w:numFmt w:val="bullet"/>
      <w:lvlText w:val="•"/>
      <w:lvlJc w:val="left"/>
      <w:pPr>
        <w:spacing w:after="60"/>
        <w:ind w:left="360" w:hanging="360"/>
      </w:pPr>
    </w:lvl>
    <w:lvl w:ilvl="1" w:tplc="739EDCF8">
      <w:numFmt w:val="decimal"/>
      <w:lvlText w:val=""/>
      <w:lvlJc w:val="left"/>
    </w:lvl>
    <w:lvl w:ilvl="2" w:tplc="A992E25C">
      <w:numFmt w:val="decimal"/>
      <w:lvlText w:val=""/>
      <w:lvlJc w:val="left"/>
    </w:lvl>
    <w:lvl w:ilvl="3" w:tplc="93ACD23A">
      <w:numFmt w:val="decimal"/>
      <w:lvlText w:val=""/>
      <w:lvlJc w:val="left"/>
    </w:lvl>
    <w:lvl w:ilvl="4" w:tplc="95D46CE2">
      <w:numFmt w:val="decimal"/>
      <w:lvlText w:val=""/>
      <w:lvlJc w:val="left"/>
    </w:lvl>
    <w:lvl w:ilvl="5" w:tplc="98E03074">
      <w:numFmt w:val="decimal"/>
      <w:lvlText w:val=""/>
      <w:lvlJc w:val="left"/>
    </w:lvl>
    <w:lvl w:ilvl="6" w:tplc="4F68A508">
      <w:numFmt w:val="decimal"/>
      <w:lvlText w:val=""/>
      <w:lvlJc w:val="left"/>
    </w:lvl>
    <w:lvl w:ilvl="7" w:tplc="A9A82AC8">
      <w:numFmt w:val="decimal"/>
      <w:lvlText w:val=""/>
      <w:lvlJc w:val="left"/>
    </w:lvl>
    <w:lvl w:ilvl="8" w:tplc="BD32AA02">
      <w:numFmt w:val="decimal"/>
      <w:lvlText w:val=""/>
      <w:lvlJc w:val="left"/>
    </w:lvl>
  </w:abstractNum>
  <w:num w:numId="1" w16cid:durableId="8007320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537"/>
    <w:rsid w:val="00217537"/>
    <w:rsid w:val="0029393A"/>
    <w:rsid w:val="006E44BB"/>
    <w:rsid w:val="006F4841"/>
    <w:rsid w:val="00733873"/>
    <w:rsid w:val="007B1737"/>
    <w:rsid w:val="00D01AA9"/>
    <w:rsid w:val="00E0181D"/>
    <w:rsid w:val="00F31AF7"/>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5FE23"/>
  <w15:chartTrackingRefBased/>
  <w15:docId w15:val="{64EECCED-6ED1-6F49-9582-B27105959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75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175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75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75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75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753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53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53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53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5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75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75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75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75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75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5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5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537"/>
    <w:rPr>
      <w:rFonts w:eastAsiaTheme="majorEastAsia" w:cstheme="majorBidi"/>
      <w:color w:val="272727" w:themeColor="text1" w:themeTint="D8"/>
    </w:rPr>
  </w:style>
  <w:style w:type="paragraph" w:styleId="Title">
    <w:name w:val="Title"/>
    <w:basedOn w:val="Normal"/>
    <w:next w:val="Normal"/>
    <w:link w:val="TitleChar"/>
    <w:uiPriority w:val="10"/>
    <w:qFormat/>
    <w:rsid w:val="0021753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5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53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5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53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17537"/>
    <w:rPr>
      <w:i/>
      <w:iCs/>
      <w:color w:val="404040" w:themeColor="text1" w:themeTint="BF"/>
    </w:rPr>
  </w:style>
  <w:style w:type="paragraph" w:styleId="ListParagraph">
    <w:name w:val="List Paragraph"/>
    <w:basedOn w:val="Normal"/>
    <w:qFormat/>
    <w:rsid w:val="00217537"/>
    <w:pPr>
      <w:ind w:left="720"/>
      <w:contextualSpacing/>
    </w:pPr>
  </w:style>
  <w:style w:type="character" w:styleId="IntenseEmphasis">
    <w:name w:val="Intense Emphasis"/>
    <w:basedOn w:val="DefaultParagraphFont"/>
    <w:uiPriority w:val="21"/>
    <w:qFormat/>
    <w:rsid w:val="00217537"/>
    <w:rPr>
      <w:i/>
      <w:iCs/>
      <w:color w:val="0F4761" w:themeColor="accent1" w:themeShade="BF"/>
    </w:rPr>
  </w:style>
  <w:style w:type="paragraph" w:styleId="IntenseQuote">
    <w:name w:val="Intense Quote"/>
    <w:basedOn w:val="Normal"/>
    <w:next w:val="Normal"/>
    <w:link w:val="IntenseQuoteChar"/>
    <w:uiPriority w:val="30"/>
    <w:qFormat/>
    <w:rsid w:val="002175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7537"/>
    <w:rPr>
      <w:i/>
      <w:iCs/>
      <w:color w:val="0F4761" w:themeColor="accent1" w:themeShade="BF"/>
    </w:rPr>
  </w:style>
  <w:style w:type="character" w:styleId="IntenseReference">
    <w:name w:val="Intense Reference"/>
    <w:basedOn w:val="DefaultParagraphFont"/>
    <w:uiPriority w:val="32"/>
    <w:qFormat/>
    <w:rsid w:val="002175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969</Words>
  <Characters>5524</Characters>
  <Application>Microsoft Office Word</Application>
  <DocSecurity>0</DocSecurity>
  <Lines>46</Lines>
  <Paragraphs>12</Paragraphs>
  <ScaleCrop>false</ScaleCrop>
  <Company/>
  <LinksUpToDate>false</LinksUpToDate>
  <CharactersWithSpaces>6481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 Lei</dc:creator>
  <cp:keywords/>
  <dc:description/>
  <cp:lastModifiedBy>Priscilla Nicole SANTA MARIA</cp:lastModifiedBy>
  <cp:revision>2</cp:revision>
  <dcterms:created xsi:type="dcterms:W3CDTF">2026-05-21T14:55:00Z</dcterms:created>
  <dcterms:modified xsi:type="dcterms:W3CDTF">2026-05-21T14:55:00Z</dcterms:modified>
</cp:coreProperties>
</file>