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1D07" w14:textId="77777777" w:rsidR="0079631A" w:rsidRPr="00423EE0" w:rsidRDefault="00000000">
      <w:pPr>
        <w:spacing w:after="200"/>
        <w:jc w:val="center"/>
        <w:rPr>
          <w:rFonts w:ascii="Arial" w:hAnsi="Arial" w:cs="Arial"/>
          <w:color w:val="000000" w:themeColor="text1"/>
        </w:rPr>
      </w:pPr>
      <w:r w:rsidRPr="00423EE0">
        <w:rPr>
          <w:rFonts w:ascii="Arial" w:eastAsia="Cambria" w:hAnsi="Arial" w:cs="Arial"/>
          <w:b/>
          <w:bCs/>
          <w:color w:val="000000" w:themeColor="text1"/>
          <w:sz w:val="30"/>
          <w:szCs w:val="30"/>
        </w:rPr>
        <w:t>Evidence-Graded Confidence Scoring for Remote Musculoskeletal Movement Screening Using Single-Camera Pose Estimation: Development and Technical Validation</w:t>
      </w:r>
    </w:p>
    <w:p w14:paraId="14C27CB9" w14:textId="26BE15D7" w:rsidR="0079631A" w:rsidRPr="00423EE0" w:rsidRDefault="00000000">
      <w:pPr>
        <w:spacing w:after="40"/>
        <w:jc w:val="center"/>
        <w:rPr>
          <w:rFonts w:ascii="Arial" w:hAnsi="Arial" w:cs="Arial"/>
          <w:color w:val="000000" w:themeColor="text1"/>
        </w:rPr>
      </w:pPr>
      <w:r w:rsidRPr="00423EE0">
        <w:rPr>
          <w:rFonts w:ascii="Arial" w:hAnsi="Arial" w:cs="Arial"/>
          <w:b/>
          <w:bCs/>
          <w:color w:val="000000" w:themeColor="text1"/>
          <w:sz w:val="22"/>
          <w:szCs w:val="22"/>
        </w:rPr>
        <w:t>Anthony Onoja</w:t>
      </w:r>
      <w:r w:rsidR="00423EE0" w:rsidRPr="00423EE0">
        <w:rPr>
          <w:rFonts w:ascii="Arial" w:hAnsi="Arial" w:cs="Arial"/>
          <w:b/>
          <w:bCs/>
          <w:color w:val="000000" w:themeColor="text1"/>
          <w:sz w:val="22"/>
          <w:szCs w:val="22"/>
          <w:vertAlign w:val="superscript"/>
        </w:rPr>
        <w:t>1</w:t>
      </w:r>
      <w:r w:rsidR="00423EE0">
        <w:rPr>
          <w:rFonts w:ascii="Arial" w:hAnsi="Arial" w:cs="Arial"/>
          <w:b/>
          <w:bCs/>
          <w:color w:val="000000" w:themeColor="text1"/>
          <w:sz w:val="22"/>
          <w:szCs w:val="22"/>
        </w:rPr>
        <w:t xml:space="preserve">., </w:t>
      </w:r>
    </w:p>
    <w:p w14:paraId="04377D42" w14:textId="77777777" w:rsidR="0079631A" w:rsidRPr="00423EE0" w:rsidRDefault="00000000">
      <w:pPr>
        <w:spacing w:after="200"/>
        <w:jc w:val="center"/>
        <w:rPr>
          <w:rFonts w:ascii="Arial" w:hAnsi="Arial" w:cs="Arial"/>
          <w:color w:val="000000" w:themeColor="text1"/>
        </w:rPr>
      </w:pPr>
      <w:r w:rsidRPr="00423EE0">
        <w:rPr>
          <w:rFonts w:ascii="Arial" w:hAnsi="Arial" w:cs="Arial"/>
          <w:i/>
          <w:iCs/>
          <w:color w:val="000000" w:themeColor="text1"/>
          <w:sz w:val="19"/>
          <w:szCs w:val="19"/>
        </w:rPr>
        <w:t>School of Health Sciences, Faculty of Health and Medical Sciences, University of Surrey, Guildford, United Kingdom</w:t>
      </w:r>
    </w:p>
    <w:p w14:paraId="5FCCFB5B" w14:textId="77777777" w:rsidR="0079631A" w:rsidRPr="00423EE0" w:rsidRDefault="00000000">
      <w:pPr>
        <w:pStyle w:val="Heading3"/>
        <w:spacing w:before="160" w:after="80"/>
        <w:rPr>
          <w:rFonts w:ascii="Arial" w:hAnsi="Arial" w:cs="Arial"/>
          <w:color w:val="000000" w:themeColor="text1"/>
        </w:rPr>
      </w:pPr>
      <w:r w:rsidRPr="00423EE0">
        <w:rPr>
          <w:rFonts w:ascii="Arial" w:hAnsi="Arial" w:cs="Arial"/>
          <w:b/>
          <w:bCs/>
          <w:i/>
          <w:iCs/>
          <w:color w:val="000000" w:themeColor="text1"/>
          <w:sz w:val="21"/>
          <w:szCs w:val="21"/>
        </w:rPr>
        <w:t>Corresponding Author:</w:t>
      </w:r>
    </w:p>
    <w:p w14:paraId="55D3BC9B" w14:textId="77777777" w:rsidR="0079631A" w:rsidRPr="00423EE0" w:rsidRDefault="00000000">
      <w:pPr>
        <w:spacing w:after="160" w:line="288" w:lineRule="auto"/>
        <w:rPr>
          <w:rFonts w:ascii="Arial" w:hAnsi="Arial" w:cs="Arial"/>
          <w:color w:val="000000" w:themeColor="text1"/>
        </w:rPr>
      </w:pPr>
      <w:r w:rsidRPr="00423EE0">
        <w:rPr>
          <w:rFonts w:ascii="Arial" w:hAnsi="Arial" w:cs="Arial"/>
          <w:color w:val="000000" w:themeColor="text1"/>
        </w:rPr>
        <w:t>Anthony Onoja</w:t>
      </w:r>
    </w:p>
    <w:p w14:paraId="36F76B63" w14:textId="77777777" w:rsidR="0079631A" w:rsidRPr="00423EE0" w:rsidRDefault="00000000">
      <w:pPr>
        <w:spacing w:after="160" w:line="288" w:lineRule="auto"/>
        <w:rPr>
          <w:rFonts w:ascii="Arial" w:hAnsi="Arial" w:cs="Arial"/>
          <w:color w:val="000000" w:themeColor="text1"/>
        </w:rPr>
      </w:pPr>
      <w:r w:rsidRPr="00423EE0">
        <w:rPr>
          <w:rFonts w:ascii="Arial" w:hAnsi="Arial" w:cs="Arial"/>
          <w:color w:val="000000" w:themeColor="text1"/>
        </w:rPr>
        <w:t>School of Health Sciences, Faculty of Health and Medical Sciences</w:t>
      </w:r>
    </w:p>
    <w:p w14:paraId="4CDF9014" w14:textId="77777777" w:rsidR="0079631A" w:rsidRPr="00423EE0" w:rsidRDefault="00000000">
      <w:pPr>
        <w:spacing w:after="160" w:line="288" w:lineRule="auto"/>
        <w:rPr>
          <w:rFonts w:ascii="Arial" w:hAnsi="Arial" w:cs="Arial"/>
          <w:color w:val="000000" w:themeColor="text1"/>
        </w:rPr>
      </w:pPr>
      <w:r w:rsidRPr="00423EE0">
        <w:rPr>
          <w:rFonts w:ascii="Arial" w:hAnsi="Arial" w:cs="Arial"/>
          <w:color w:val="000000" w:themeColor="text1"/>
        </w:rPr>
        <w:t>University of Surrey</w:t>
      </w:r>
    </w:p>
    <w:p w14:paraId="37A7244F" w14:textId="77777777" w:rsidR="0079631A" w:rsidRPr="00423EE0" w:rsidRDefault="00000000">
      <w:pPr>
        <w:spacing w:after="160" w:line="288" w:lineRule="auto"/>
        <w:rPr>
          <w:rFonts w:ascii="Arial" w:hAnsi="Arial" w:cs="Arial"/>
          <w:color w:val="000000" w:themeColor="text1"/>
        </w:rPr>
      </w:pPr>
      <w:r w:rsidRPr="00423EE0">
        <w:rPr>
          <w:rFonts w:ascii="Arial" w:hAnsi="Arial" w:cs="Arial"/>
          <w:color w:val="000000" w:themeColor="text1"/>
        </w:rPr>
        <w:t>Guildford</w:t>
      </w:r>
    </w:p>
    <w:p w14:paraId="2228CAC2" w14:textId="77777777" w:rsidR="0079631A" w:rsidRPr="00423EE0" w:rsidRDefault="00000000">
      <w:pPr>
        <w:spacing w:after="160" w:line="288" w:lineRule="auto"/>
        <w:rPr>
          <w:rFonts w:ascii="Arial" w:hAnsi="Arial" w:cs="Arial"/>
          <w:color w:val="000000" w:themeColor="text1"/>
        </w:rPr>
      </w:pPr>
      <w:r w:rsidRPr="00423EE0">
        <w:rPr>
          <w:rFonts w:ascii="Arial" w:hAnsi="Arial" w:cs="Arial"/>
          <w:color w:val="000000" w:themeColor="text1"/>
        </w:rPr>
        <w:t>United Kingdom</w:t>
      </w:r>
    </w:p>
    <w:p w14:paraId="11F74913" w14:textId="77777777" w:rsidR="0079631A" w:rsidRPr="00423EE0" w:rsidRDefault="00000000">
      <w:pPr>
        <w:spacing w:after="160" w:line="288" w:lineRule="auto"/>
        <w:rPr>
          <w:rFonts w:ascii="Arial" w:hAnsi="Arial" w:cs="Arial"/>
          <w:color w:val="000000" w:themeColor="text1"/>
        </w:rPr>
      </w:pPr>
      <w:r w:rsidRPr="00423EE0">
        <w:rPr>
          <w:rFonts w:ascii="Arial" w:hAnsi="Arial" w:cs="Arial"/>
          <w:color w:val="000000" w:themeColor="text1"/>
        </w:rPr>
        <w:t xml:space="preserve">Email: </w:t>
      </w:r>
      <w:r w:rsidRPr="00423EE0">
        <w:rPr>
          <w:rFonts w:ascii="Arial" w:hAnsi="Arial" w:cs="Arial"/>
          <w:i/>
          <w:iCs/>
          <w:color w:val="000000" w:themeColor="text1"/>
        </w:rPr>
        <w:t>a.onoja@surrey.ac.uk</w:t>
      </w:r>
    </w:p>
    <w:p w14:paraId="56BB1426" w14:textId="77777777" w:rsidR="0079631A" w:rsidRPr="00423EE0" w:rsidRDefault="00000000">
      <w:pPr>
        <w:pStyle w:val="Heading1"/>
        <w:spacing w:before="340" w:after="140"/>
        <w:rPr>
          <w:rFonts w:ascii="Arial" w:hAnsi="Arial" w:cs="Arial"/>
          <w:color w:val="000000" w:themeColor="text1"/>
        </w:rPr>
      </w:pPr>
      <w:r w:rsidRPr="00423EE0">
        <w:rPr>
          <w:rFonts w:ascii="Arial" w:eastAsia="Cambria" w:hAnsi="Arial" w:cs="Arial"/>
          <w:b/>
          <w:bCs/>
          <w:color w:val="000000" w:themeColor="text1"/>
          <w:sz w:val="25"/>
          <w:szCs w:val="25"/>
        </w:rPr>
        <w:t>Abstract</w:t>
      </w:r>
    </w:p>
    <w:p w14:paraId="6200E320" w14:textId="77777777" w:rsidR="0079631A" w:rsidRPr="00423EE0" w:rsidRDefault="00000000">
      <w:pPr>
        <w:spacing w:after="90" w:line="276" w:lineRule="auto"/>
        <w:jc w:val="both"/>
        <w:rPr>
          <w:rFonts w:ascii="Arial" w:hAnsi="Arial" w:cs="Arial"/>
          <w:color w:val="000000" w:themeColor="text1"/>
        </w:rPr>
      </w:pPr>
      <w:r w:rsidRPr="00423EE0">
        <w:rPr>
          <w:rFonts w:ascii="Arial" w:hAnsi="Arial" w:cs="Arial"/>
          <w:b/>
          <w:bCs/>
          <w:color w:val="000000" w:themeColor="text1"/>
          <w:sz w:val="20"/>
          <w:szCs w:val="20"/>
        </w:rPr>
        <w:t>Background:</w:t>
      </w:r>
      <w:r w:rsidRPr="00423EE0">
        <w:rPr>
          <w:rFonts w:ascii="Arial" w:hAnsi="Arial" w:cs="Arial"/>
          <w:b/>
          <w:bCs/>
          <w:i/>
          <w:iCs/>
          <w:color w:val="000000" w:themeColor="text1"/>
          <w:sz w:val="20"/>
          <w:szCs w:val="20"/>
        </w:rPr>
        <w:t xml:space="preserve"> </w:t>
      </w:r>
      <w:r w:rsidRPr="00423EE0">
        <w:rPr>
          <w:rFonts w:ascii="Arial" w:hAnsi="Arial" w:cs="Arial"/>
          <w:color w:val="000000" w:themeColor="text1"/>
          <w:sz w:val="20"/>
          <w:szCs w:val="20"/>
        </w:rPr>
        <w:t xml:space="preserve">Telehealth expanded rapidly for musculoskeletal (MSK) care, yet video consultations do not reproduce the physical examination component of an in-person MSK assessment. Surveyed physiatrists report that they cannot effectively perform remote MSK and neurological examinations despite high engagement with telemedicine generally. Single-camera </w:t>
      </w:r>
      <w:proofErr w:type="spellStart"/>
      <w:r w:rsidRPr="00423EE0">
        <w:rPr>
          <w:rFonts w:ascii="Arial" w:hAnsi="Arial" w:cs="Arial"/>
          <w:color w:val="000000" w:themeColor="text1"/>
          <w:sz w:val="20"/>
          <w:szCs w:val="20"/>
        </w:rPr>
        <w:t>markerless</w:t>
      </w:r>
      <w:proofErr w:type="spellEnd"/>
      <w:r w:rsidRPr="00423EE0">
        <w:rPr>
          <w:rFonts w:ascii="Arial" w:hAnsi="Arial" w:cs="Arial"/>
          <w:color w:val="000000" w:themeColor="text1"/>
          <w:sz w:val="20"/>
          <w:szCs w:val="20"/>
        </w:rPr>
        <w:t xml:space="preserve"> motion capture has been proposed as a partial remedy, but the supporting literature shows accuracy that varies sharply by joint, plane of motion, and task, a distinction rarely reflected in consumer or clinician-facing products.</w:t>
      </w:r>
    </w:p>
    <w:p w14:paraId="57161CFD" w14:textId="4885369F" w:rsidR="0079631A" w:rsidRPr="00423EE0" w:rsidRDefault="00000000">
      <w:pPr>
        <w:spacing w:after="90" w:line="276" w:lineRule="auto"/>
        <w:jc w:val="both"/>
        <w:rPr>
          <w:rFonts w:ascii="Arial" w:hAnsi="Arial" w:cs="Arial"/>
          <w:color w:val="000000" w:themeColor="text1"/>
        </w:rPr>
      </w:pPr>
      <w:r w:rsidRPr="00423EE0">
        <w:rPr>
          <w:rFonts w:ascii="Arial" w:hAnsi="Arial" w:cs="Arial"/>
          <w:b/>
          <w:bCs/>
          <w:color w:val="000000" w:themeColor="text1"/>
          <w:sz w:val="20"/>
          <w:szCs w:val="20"/>
        </w:rPr>
        <w:t xml:space="preserve">Objective: </w:t>
      </w:r>
      <w:r w:rsidRPr="00423EE0">
        <w:rPr>
          <w:rFonts w:ascii="Arial" w:hAnsi="Arial" w:cs="Arial"/>
          <w:color w:val="000000" w:themeColor="text1"/>
          <w:sz w:val="20"/>
          <w:szCs w:val="20"/>
        </w:rPr>
        <w:t>The objective of this</w:t>
      </w:r>
      <w:r w:rsidR="00423EE0">
        <w:rPr>
          <w:rFonts w:ascii="Arial" w:hAnsi="Arial" w:cs="Arial"/>
          <w:color w:val="000000" w:themeColor="text1"/>
          <w:sz w:val="20"/>
          <w:szCs w:val="20"/>
        </w:rPr>
        <w:t xml:space="preserve"> study</w:t>
      </w:r>
      <w:r w:rsidRPr="00423EE0">
        <w:rPr>
          <w:rFonts w:ascii="Arial" w:hAnsi="Arial" w:cs="Arial"/>
          <w:color w:val="000000" w:themeColor="text1"/>
          <w:sz w:val="20"/>
          <w:szCs w:val="20"/>
        </w:rPr>
        <w:t xml:space="preserve"> was to design, implement, and technically validate a browser-based remote movement screening system that, first, scores a clinically motivated movement battery from single-camera video and, second, explicitly represents at the point of care how much published evidence supports each score it produces.</w:t>
      </w:r>
    </w:p>
    <w:p w14:paraId="0662F200" w14:textId="1C6BA50F" w:rsidR="0079631A" w:rsidRPr="00423EE0" w:rsidRDefault="00000000">
      <w:pPr>
        <w:spacing w:after="90" w:line="276" w:lineRule="auto"/>
        <w:jc w:val="both"/>
        <w:rPr>
          <w:rFonts w:ascii="Arial" w:hAnsi="Arial" w:cs="Arial"/>
          <w:color w:val="000000" w:themeColor="text1"/>
        </w:rPr>
      </w:pPr>
      <w:r w:rsidRPr="00423EE0">
        <w:rPr>
          <w:rFonts w:ascii="Arial" w:hAnsi="Arial" w:cs="Arial"/>
          <w:b/>
          <w:bCs/>
          <w:color w:val="000000" w:themeColor="text1"/>
          <w:sz w:val="20"/>
          <w:szCs w:val="20"/>
        </w:rPr>
        <w:t>Methods:</w:t>
      </w:r>
      <w:r w:rsidRPr="00423EE0">
        <w:rPr>
          <w:rFonts w:ascii="Arial" w:hAnsi="Arial" w:cs="Arial"/>
          <w:b/>
          <w:bCs/>
          <w:i/>
          <w:iCs/>
          <w:color w:val="000000" w:themeColor="text1"/>
          <w:sz w:val="20"/>
          <w:szCs w:val="20"/>
        </w:rPr>
        <w:t xml:space="preserve"> </w:t>
      </w:r>
      <w:r w:rsidRPr="00423EE0">
        <w:rPr>
          <w:rFonts w:ascii="Arial" w:hAnsi="Arial" w:cs="Arial"/>
          <w:color w:val="000000" w:themeColor="text1"/>
          <w:sz w:val="20"/>
          <w:szCs w:val="20"/>
        </w:rPr>
        <w:t xml:space="preserve">A synthesis of 20 peer-reviewed studies on telehealth MSK examination and </w:t>
      </w:r>
      <w:proofErr w:type="spellStart"/>
      <w:r w:rsidRPr="00423EE0">
        <w:rPr>
          <w:rFonts w:ascii="Arial" w:hAnsi="Arial" w:cs="Arial"/>
          <w:color w:val="000000" w:themeColor="text1"/>
          <w:sz w:val="20"/>
          <w:szCs w:val="20"/>
        </w:rPr>
        <w:t>markerless</w:t>
      </w:r>
      <w:proofErr w:type="spellEnd"/>
      <w:r w:rsidRPr="00423EE0">
        <w:rPr>
          <w:rFonts w:ascii="Arial" w:hAnsi="Arial" w:cs="Arial"/>
          <w:color w:val="000000" w:themeColor="text1"/>
          <w:sz w:val="20"/>
          <w:szCs w:val="20"/>
        </w:rPr>
        <w:t xml:space="preserve"> or single-camera motion capture was used to drive two design decisions directly: an evidence-tiering framework (High, Moderate, or Exploratory confidence, each tied to a specific citation) attached to every scored movement, and a five-movement battery, comprising bodyweight squat, a Five-Times-Sit-to-Stand (FTSTS) functional test, bilateral arm raise, single-leg balance, and a walk-in-place gait proxy, chosen and scored according to where the literature indicates single-camera capture is reliable. The system runs pose estimation on-device (</w:t>
      </w:r>
      <w:proofErr w:type="spellStart"/>
      <w:r w:rsidRPr="00423EE0">
        <w:rPr>
          <w:rFonts w:ascii="Arial" w:hAnsi="Arial" w:cs="Arial"/>
          <w:color w:val="000000" w:themeColor="text1"/>
          <w:sz w:val="20"/>
          <w:szCs w:val="20"/>
        </w:rPr>
        <w:t>MediaPipe</w:t>
      </w:r>
      <w:proofErr w:type="spellEnd"/>
      <w:r w:rsidRPr="00423EE0">
        <w:rPr>
          <w:rFonts w:ascii="Arial" w:hAnsi="Arial" w:cs="Arial"/>
          <w:color w:val="000000" w:themeColor="text1"/>
          <w:sz w:val="20"/>
          <w:szCs w:val="20"/>
        </w:rPr>
        <w:t xml:space="preserve"> </w:t>
      </w:r>
      <w:proofErr w:type="spellStart"/>
      <w:r w:rsidRPr="00423EE0">
        <w:rPr>
          <w:rFonts w:ascii="Arial" w:hAnsi="Arial" w:cs="Arial"/>
          <w:color w:val="000000" w:themeColor="text1"/>
          <w:sz w:val="20"/>
          <w:szCs w:val="20"/>
        </w:rPr>
        <w:t>BlazePose</w:t>
      </w:r>
      <w:proofErr w:type="spellEnd"/>
      <w:r w:rsidRPr="00423EE0">
        <w:rPr>
          <w:rFonts w:ascii="Arial" w:hAnsi="Arial" w:cs="Arial"/>
          <w:color w:val="000000" w:themeColor="text1"/>
          <w:sz w:val="20"/>
          <w:szCs w:val="20"/>
        </w:rPr>
        <w:t xml:space="preserve">, 33 landmarks) and computes joint angles, repetitions, range of motion, symmetry, and stability metrics with a dependency-free scoring engine, validated with </w:t>
      </w:r>
      <w:r w:rsidR="00423EE0" w:rsidRPr="00423EE0">
        <w:rPr>
          <w:rFonts w:ascii="Arial" w:hAnsi="Arial" w:cs="Arial"/>
          <w:color w:val="000000" w:themeColor="text1"/>
          <w:sz w:val="20"/>
          <w:szCs w:val="20"/>
        </w:rPr>
        <w:t>20-unit</w:t>
      </w:r>
      <w:r w:rsidRPr="00423EE0">
        <w:rPr>
          <w:rFonts w:ascii="Arial" w:hAnsi="Arial" w:cs="Arial"/>
          <w:color w:val="000000" w:themeColor="text1"/>
          <w:sz w:val="20"/>
          <w:szCs w:val="20"/>
        </w:rPr>
        <w:t xml:space="preserve"> tests against synthetically constructed landmark sequences with closed-form expected angles.</w:t>
      </w:r>
    </w:p>
    <w:p w14:paraId="1CEAA68B" w14:textId="168B02F4" w:rsidR="0079631A" w:rsidRPr="00423EE0" w:rsidRDefault="00000000">
      <w:pPr>
        <w:spacing w:after="90" w:line="276" w:lineRule="auto"/>
        <w:jc w:val="both"/>
        <w:rPr>
          <w:rFonts w:ascii="Arial" w:hAnsi="Arial" w:cs="Arial"/>
          <w:color w:val="000000" w:themeColor="text1"/>
        </w:rPr>
      </w:pPr>
      <w:r w:rsidRPr="00423EE0">
        <w:rPr>
          <w:rFonts w:ascii="Arial" w:hAnsi="Arial" w:cs="Arial"/>
          <w:b/>
          <w:bCs/>
          <w:color w:val="000000" w:themeColor="text1"/>
          <w:sz w:val="20"/>
          <w:szCs w:val="20"/>
        </w:rPr>
        <w:t>Results:</w:t>
      </w:r>
      <w:r w:rsidRPr="00423EE0">
        <w:rPr>
          <w:rFonts w:ascii="Arial" w:hAnsi="Arial" w:cs="Arial"/>
          <w:b/>
          <w:bCs/>
          <w:i/>
          <w:iCs/>
          <w:color w:val="000000" w:themeColor="text1"/>
          <w:sz w:val="20"/>
          <w:szCs w:val="20"/>
        </w:rPr>
        <w:t xml:space="preserve"> </w:t>
      </w:r>
      <w:r w:rsidRPr="00423EE0">
        <w:rPr>
          <w:rFonts w:ascii="Arial" w:hAnsi="Arial" w:cs="Arial"/>
          <w:color w:val="000000" w:themeColor="text1"/>
          <w:sz w:val="20"/>
          <w:szCs w:val="20"/>
        </w:rPr>
        <w:t xml:space="preserve">All </w:t>
      </w:r>
      <w:r w:rsidR="00423EE0" w:rsidRPr="00423EE0">
        <w:rPr>
          <w:rFonts w:ascii="Arial" w:hAnsi="Arial" w:cs="Arial"/>
          <w:color w:val="000000" w:themeColor="text1"/>
          <w:sz w:val="20"/>
          <w:szCs w:val="20"/>
        </w:rPr>
        <w:t>20-unit</w:t>
      </w:r>
      <w:r w:rsidRPr="00423EE0">
        <w:rPr>
          <w:rFonts w:ascii="Arial" w:hAnsi="Arial" w:cs="Arial"/>
          <w:color w:val="000000" w:themeColor="text1"/>
          <w:sz w:val="20"/>
          <w:szCs w:val="20"/>
        </w:rPr>
        <w:t xml:space="preserve"> tests passed, confirming the internal correctness of the angle-computation geometry, repetition-counting state machines, evidence-tier attachment, and a frame-quality heuristic used to gate scoring on adequate camera framing. The FTSTS module deliberately reports repetition count and elapsed time rather than a knee-flexion angle, reflecting a specific literature finding that sit-to-stand joint angles show wide limits of agreement (12 to 20 degrees) even when other </w:t>
      </w:r>
      <w:proofErr w:type="spellStart"/>
      <w:r w:rsidRPr="00423EE0">
        <w:rPr>
          <w:rFonts w:ascii="Arial" w:hAnsi="Arial" w:cs="Arial"/>
          <w:color w:val="000000" w:themeColor="text1"/>
          <w:sz w:val="20"/>
          <w:szCs w:val="20"/>
        </w:rPr>
        <w:t>markerless</w:t>
      </w:r>
      <w:proofErr w:type="spellEnd"/>
      <w:r w:rsidRPr="00423EE0">
        <w:rPr>
          <w:rFonts w:ascii="Arial" w:hAnsi="Arial" w:cs="Arial"/>
          <w:color w:val="000000" w:themeColor="text1"/>
          <w:sz w:val="20"/>
          <w:szCs w:val="20"/>
        </w:rPr>
        <w:t xml:space="preserve"> measures in the same study were accurate.</w:t>
      </w:r>
    </w:p>
    <w:p w14:paraId="7103F357" w14:textId="77777777" w:rsidR="0079631A" w:rsidRPr="00423EE0" w:rsidRDefault="00000000">
      <w:pPr>
        <w:spacing w:after="90" w:line="276" w:lineRule="auto"/>
        <w:jc w:val="both"/>
        <w:rPr>
          <w:rFonts w:ascii="Arial" w:hAnsi="Arial" w:cs="Arial"/>
          <w:color w:val="000000" w:themeColor="text1"/>
        </w:rPr>
      </w:pPr>
      <w:r w:rsidRPr="00423EE0">
        <w:rPr>
          <w:rFonts w:ascii="Arial" w:hAnsi="Arial" w:cs="Arial"/>
          <w:b/>
          <w:bCs/>
          <w:color w:val="000000" w:themeColor="text1"/>
          <w:sz w:val="20"/>
          <w:szCs w:val="20"/>
        </w:rPr>
        <w:t>Conclusions:</w:t>
      </w:r>
      <w:r w:rsidRPr="00423EE0">
        <w:rPr>
          <w:rFonts w:ascii="Arial" w:hAnsi="Arial" w:cs="Arial"/>
          <w:b/>
          <w:bCs/>
          <w:i/>
          <w:iCs/>
          <w:color w:val="000000" w:themeColor="text1"/>
          <w:sz w:val="20"/>
          <w:szCs w:val="20"/>
        </w:rPr>
        <w:t xml:space="preserve"> </w:t>
      </w:r>
      <w:r w:rsidRPr="00423EE0">
        <w:rPr>
          <w:rFonts w:ascii="Arial" w:hAnsi="Arial" w:cs="Arial"/>
          <w:color w:val="000000" w:themeColor="text1"/>
          <w:sz w:val="20"/>
          <w:szCs w:val="20"/>
        </w:rPr>
        <w:t xml:space="preserve">Evidence-graded confidence reporting is a practical, literature-traceable design pattern for movement-scoring systems that must be used by clinicians before product-specific validation exists. A proposed concurrent-validity pilot (system score versus physiotherapist assessment, </w:t>
      </w:r>
      <w:proofErr w:type="spellStart"/>
      <w:r w:rsidRPr="00423EE0">
        <w:rPr>
          <w:rFonts w:ascii="Arial" w:hAnsi="Arial" w:cs="Arial"/>
          <w:color w:val="000000" w:themeColor="text1"/>
          <w:sz w:val="20"/>
          <w:szCs w:val="20"/>
        </w:rPr>
        <w:t>analysed</w:t>
      </w:r>
      <w:proofErr w:type="spellEnd"/>
      <w:r w:rsidRPr="00423EE0">
        <w:rPr>
          <w:rFonts w:ascii="Arial" w:hAnsi="Arial" w:cs="Arial"/>
          <w:color w:val="000000" w:themeColor="text1"/>
          <w:sz w:val="20"/>
          <w:szCs w:val="20"/>
        </w:rPr>
        <w:t xml:space="preserve"> by intraclass correlation coefficient and Bland-Altman analysis) is described as the next step towards a clinical accuracy claim, which this technical report does not make.</w:t>
      </w:r>
    </w:p>
    <w:p w14:paraId="3F9B506F" w14:textId="77777777" w:rsidR="0079631A" w:rsidRPr="00423EE0" w:rsidRDefault="00000000">
      <w:pPr>
        <w:spacing w:before="100" w:after="260"/>
        <w:rPr>
          <w:rFonts w:ascii="Arial" w:hAnsi="Arial" w:cs="Arial"/>
          <w:color w:val="000000" w:themeColor="text1"/>
        </w:rPr>
      </w:pPr>
      <w:r w:rsidRPr="00423EE0">
        <w:rPr>
          <w:rFonts w:ascii="Arial" w:hAnsi="Arial" w:cs="Arial"/>
          <w:b/>
          <w:bCs/>
          <w:color w:val="000000" w:themeColor="text1"/>
          <w:sz w:val="20"/>
          <w:szCs w:val="20"/>
        </w:rPr>
        <w:lastRenderedPageBreak/>
        <w:t xml:space="preserve">Keywords: </w:t>
      </w:r>
      <w:r w:rsidRPr="00423EE0">
        <w:rPr>
          <w:rFonts w:ascii="Arial" w:hAnsi="Arial" w:cs="Arial"/>
          <w:color w:val="000000" w:themeColor="text1"/>
          <w:sz w:val="20"/>
          <w:szCs w:val="20"/>
        </w:rPr>
        <w:t xml:space="preserve">telehealth; musculoskeletal examination; </w:t>
      </w:r>
      <w:proofErr w:type="spellStart"/>
      <w:r w:rsidRPr="00423EE0">
        <w:rPr>
          <w:rFonts w:ascii="Arial" w:hAnsi="Arial" w:cs="Arial"/>
          <w:color w:val="000000" w:themeColor="text1"/>
          <w:sz w:val="20"/>
          <w:szCs w:val="20"/>
        </w:rPr>
        <w:t>markerless</w:t>
      </w:r>
      <w:proofErr w:type="spellEnd"/>
      <w:r w:rsidRPr="00423EE0">
        <w:rPr>
          <w:rFonts w:ascii="Arial" w:hAnsi="Arial" w:cs="Arial"/>
          <w:color w:val="000000" w:themeColor="text1"/>
          <w:sz w:val="20"/>
          <w:szCs w:val="20"/>
        </w:rPr>
        <w:t xml:space="preserve"> motion capture; pose estimation; remote therapeutic monitoring; clinical decision support; digital health</w:t>
      </w:r>
    </w:p>
    <w:p w14:paraId="44698785" w14:textId="0BEC7539" w:rsidR="0079631A" w:rsidRPr="00423EE0" w:rsidRDefault="00000000" w:rsidP="00423EE0">
      <w:pPr>
        <w:pStyle w:val="Heading1"/>
        <w:numPr>
          <w:ilvl w:val="0"/>
          <w:numId w:val="4"/>
        </w:numPr>
        <w:spacing w:before="340" w:after="140"/>
        <w:rPr>
          <w:rFonts w:ascii="Arial" w:hAnsi="Arial" w:cs="Arial"/>
          <w:color w:val="000000" w:themeColor="text1"/>
        </w:rPr>
      </w:pPr>
      <w:r w:rsidRPr="00423EE0">
        <w:rPr>
          <w:rFonts w:ascii="Arial" w:eastAsia="Cambria" w:hAnsi="Arial" w:cs="Arial"/>
          <w:b/>
          <w:bCs/>
          <w:color w:val="000000" w:themeColor="text1"/>
          <w:sz w:val="25"/>
          <w:szCs w:val="25"/>
        </w:rPr>
        <w:t>Introduction</w:t>
      </w:r>
    </w:p>
    <w:p w14:paraId="1F80C0F3"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Telehealth and the Musculoskeletal Examination Gap</w:t>
      </w:r>
    </w:p>
    <w:p w14:paraId="2976F6A2"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Telehealth use for musculoskeletal (MSK) and </w:t>
      </w:r>
      <w:proofErr w:type="spellStart"/>
      <w:r w:rsidRPr="00423EE0">
        <w:rPr>
          <w:rFonts w:ascii="Arial" w:hAnsi="Arial" w:cs="Arial"/>
          <w:color w:val="000000" w:themeColor="text1"/>
        </w:rPr>
        <w:t>orthopaedic</w:t>
      </w:r>
      <w:proofErr w:type="spellEnd"/>
      <w:r w:rsidRPr="00423EE0">
        <w:rPr>
          <w:rFonts w:ascii="Arial" w:hAnsi="Arial" w:cs="Arial"/>
          <w:color w:val="000000" w:themeColor="text1"/>
        </w:rPr>
        <w:t xml:space="preserve"> care accelerated sharply during and after the COVID-19 pandemic; hospitals in the United States reported a 75% increase in telemedicine encounters between 2020 and 2021, and many </w:t>
      </w:r>
      <w:proofErr w:type="spellStart"/>
      <w:r w:rsidRPr="00423EE0">
        <w:rPr>
          <w:rFonts w:ascii="Arial" w:hAnsi="Arial" w:cs="Arial"/>
          <w:color w:val="000000" w:themeColor="text1"/>
        </w:rPr>
        <w:t>orthopaedic</w:t>
      </w:r>
      <w:proofErr w:type="spellEnd"/>
      <w:r w:rsidRPr="00423EE0">
        <w:rPr>
          <w:rFonts w:ascii="Arial" w:hAnsi="Arial" w:cs="Arial"/>
          <w:color w:val="000000" w:themeColor="text1"/>
        </w:rPr>
        <w:t xml:space="preserve"> clinicians report intending to continue offering virtual care [1]. This shift exposed a structural limitation rather than a temporary inconvenience: musculoskeletal diagnosis is built on physical observation, namely range of motion, joint alignment, gait, and balance, and a standard video consultation was never designed to capture any of it [2,3].</w:t>
      </w:r>
    </w:p>
    <w:p w14:paraId="53E05BD9"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The clinical literature is direct about the resulting gap. In a 2023 needs-assessment survey of physical medicine and rehabilitation physicians (physiatrists), more than 80% reported that they could not effectively perform telemedicine-based physical assessments, with musculoskeletal and neurological components, namely strength, reflexes, sensation, and range of motion, identified as the clearest unmet needs, even though the same respondents rated telehealth highly for access and follow-up adherence [4]. A 2021 systematic review of synchronous telehealth physiotherapy assessments reached a complementary conclusion from the opposite direction: specific tests (goniometric range of motion, the Berg Balance Scale, the timed-up-and-go test, and several others) can be valid and reliable by video, but only in limited populations, small samples, and inconsistent settings, with clinicians reporting persistent communication and audiovisual barriers [5].</w:t>
      </w:r>
    </w:p>
    <w:p w14:paraId="61307A1C"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 xml:space="preserve">Accuracy of </w:t>
      </w:r>
      <w:proofErr w:type="spellStart"/>
      <w:r w:rsidRPr="00423EE0">
        <w:rPr>
          <w:rFonts w:ascii="Arial" w:eastAsia="Cambria" w:hAnsi="Arial" w:cs="Arial"/>
          <w:b/>
          <w:bCs/>
          <w:color w:val="000000" w:themeColor="text1"/>
          <w:sz w:val="22"/>
          <w:szCs w:val="22"/>
        </w:rPr>
        <w:t>Markerless</w:t>
      </w:r>
      <w:proofErr w:type="spellEnd"/>
      <w:r w:rsidRPr="00423EE0">
        <w:rPr>
          <w:rFonts w:ascii="Arial" w:eastAsia="Cambria" w:hAnsi="Arial" w:cs="Arial"/>
          <w:b/>
          <w:bCs/>
          <w:color w:val="000000" w:themeColor="text1"/>
          <w:sz w:val="22"/>
          <w:szCs w:val="22"/>
        </w:rPr>
        <w:t xml:space="preserve"> Motion Capture: A Task- and Plane-Dependent Picture</w:t>
      </w:r>
    </w:p>
    <w:p w14:paraId="1BC95BB1" w14:textId="77777777" w:rsidR="0079631A" w:rsidRPr="00423EE0" w:rsidRDefault="00000000">
      <w:pPr>
        <w:spacing w:after="160" w:line="288" w:lineRule="auto"/>
        <w:jc w:val="both"/>
        <w:rPr>
          <w:rFonts w:ascii="Arial" w:hAnsi="Arial" w:cs="Arial"/>
          <w:color w:val="000000" w:themeColor="text1"/>
        </w:rPr>
      </w:pP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single-camera pose estimation is the most commonly proposed technical remedy, and a substantial literature has evaluated it. The consistent finding across systematic reviews is that accuracy is not a single figure: spatiotemporal gait parameters and sagittal-plane hip and knee kinematics are well supported, whereas ankle-joint measurement, frontal- and transverse-plane motion, and fine or occluded movement remain comparatively unreliable [6,7,8]. A 2024 meta-analysis of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versus marker-based motion capture reported good-to-excellent inter-rater reliability and concurrent validity for gait spatiotemporal parameters (intraclass correlation coefficient, ICC, 0.81 to 0.98) but only poor concurrent validity for the ankle joint [8]. A recent comparison of a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system deployed in a constrained clinical corridor against a traditional laboratory setup found joint-angle root-mean-square error under 2.33 degrees and limits of agreement under 5 degrees for most tasks, but limits of agreement of 12 to 20 degrees specifically for the </w:t>
      </w:r>
      <w:proofErr w:type="spellStart"/>
      <w:r w:rsidRPr="00423EE0">
        <w:rPr>
          <w:rFonts w:ascii="Arial" w:hAnsi="Arial" w:cs="Arial"/>
          <w:color w:val="000000" w:themeColor="text1"/>
        </w:rPr>
        <w:t>sit</w:t>
      </w:r>
      <w:proofErr w:type="spellEnd"/>
      <w:r w:rsidRPr="00423EE0">
        <w:rPr>
          <w:rFonts w:ascii="Arial" w:hAnsi="Arial" w:cs="Arial"/>
          <w:color w:val="000000" w:themeColor="text1"/>
        </w:rPr>
        <w:t>-to-stand transition, evidence that error is not only joint- and plane-specific but also task-dynamics-specific, since sit-to-stand is a fast, non-steady-state movement compared with quiet standing or level gait [9].</w:t>
      </w:r>
    </w:p>
    <w:p w14:paraId="16CF4EC6" w14:textId="1AE4159E"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Smartphone-camera-specific validation reinforces the same pattern under more consumer-realistic conditions. A validation of a smartphone-based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system against multi-camera motion capture reported an overall gait waveform root-mean-square error of 5.8 degrees with a peak error of 11.3 degrees, worse for crouch and circumduction gait patterns, and above the </w:t>
      </w:r>
      <w:r w:rsidR="00423EE0" w:rsidRPr="00423EE0">
        <w:rPr>
          <w:rFonts w:ascii="Arial" w:hAnsi="Arial" w:cs="Arial"/>
          <w:color w:val="000000" w:themeColor="text1"/>
        </w:rPr>
        <w:t>2-to-5-degree</w:t>
      </w:r>
      <w:r w:rsidRPr="00423EE0">
        <w:rPr>
          <w:rFonts w:ascii="Arial" w:hAnsi="Arial" w:cs="Arial"/>
          <w:color w:val="000000" w:themeColor="text1"/>
        </w:rPr>
        <w:t xml:space="preserve"> error generally considered clinically desirable, though comparable to some inertial and commercial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systems [10]. A further single-camera validation against multi-camera motion capture similarly reported joint-angle accuracy under approximately 11 degrees, positioning single-camera systems as plausible for longitudinal rehabilitation monitoring rather than as laboratory-grade replacements [11]. A review of lower-limb tele-rehabilitation technology found vision-based approaches to be the most commonly evaluated category (42% of included </w:t>
      </w:r>
      <w:r w:rsidRPr="00423EE0">
        <w:rPr>
          <w:rFonts w:ascii="Arial" w:hAnsi="Arial" w:cs="Arial"/>
          <w:color w:val="000000" w:themeColor="text1"/>
        </w:rPr>
        <w:lastRenderedPageBreak/>
        <w:t>studies), alongside wearable (37%) and pressure-sensing (21%) technologies, while noting a lack of uniform reporting metrics and insufficient testing with older adults [12].</w:t>
      </w:r>
    </w:p>
    <w:p w14:paraId="2A0DC19F"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This creates a design problem that the existing telehealth and digital-therapeutics literature has not resolved: systems that expose movement scores to clinicians tend to present them uniformly, without distinguishing scores the evidence base actually supports from those it does not [13,14]. A scoping review of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motion capture applications in rehabilitation explicitly identifies this as a barrier to clinical trust and adoption, noting that most published systems focus on engineering feasibility rather than on how a clinician should interpret the resulting numbers [7,13].</w:t>
      </w:r>
    </w:p>
    <w:p w14:paraId="6CC9B35F"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Remote Therapeutic Monitoring and the Reimbursement Context</w:t>
      </w:r>
    </w:p>
    <w:p w14:paraId="10F32FB6"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Beyond assessment accuracy, a growing literature documents the clinical and commercial deployment of remote movement monitoring, including reviews of home-based shoulder rehabilitation [15], wearable sensors for motor rehabilitation [16,17,18], and remote follow-up after joint replacement [19]. These consistently describe growing use of low-cost camera-based and wearable monitoring, engagement and adherence benefits from app-based </w:t>
      </w:r>
      <w:proofErr w:type="spellStart"/>
      <w:r w:rsidRPr="00423EE0">
        <w:rPr>
          <w:rFonts w:ascii="Arial" w:hAnsi="Arial" w:cs="Arial"/>
          <w:color w:val="000000" w:themeColor="text1"/>
        </w:rPr>
        <w:t>programmes</w:t>
      </w:r>
      <w:proofErr w:type="spellEnd"/>
      <w:r w:rsidRPr="00423EE0">
        <w:rPr>
          <w:rFonts w:ascii="Arial" w:hAnsi="Arial" w:cs="Arial"/>
          <w:color w:val="000000" w:themeColor="text1"/>
        </w:rPr>
        <w:t xml:space="preserve">, and persistent gaps in </w:t>
      </w:r>
      <w:proofErr w:type="spellStart"/>
      <w:r w:rsidRPr="00423EE0">
        <w:rPr>
          <w:rFonts w:ascii="Arial" w:hAnsi="Arial" w:cs="Arial"/>
          <w:color w:val="000000" w:themeColor="text1"/>
        </w:rPr>
        <w:t>standardisation</w:t>
      </w:r>
      <w:proofErr w:type="spellEnd"/>
      <w:r w:rsidRPr="00423EE0">
        <w:rPr>
          <w:rFonts w:ascii="Arial" w:hAnsi="Arial" w:cs="Arial"/>
          <w:color w:val="000000" w:themeColor="text1"/>
        </w:rPr>
        <w:t>, interoperability, and validation against clinical endpoints. In the United States, Remote Therapeutic Monitoring (RTM) Current Procedural Terminology codes (98975 to 98981), introduced in 2022 and expanded for 2026, explicitly cover musculoskeletal system status monitoring, providing a reimbursement pathway that did not exist when earlier generations of this technology were evaluated [20].</w:t>
      </w:r>
    </w:p>
    <w:p w14:paraId="5C7A17AE"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Study Objectives</w:t>
      </w:r>
    </w:p>
    <w:p w14:paraId="52EB61C0"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Two gaps recur across this literature. First, accuracy claims for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capture are almost always reported at the level of a research system evaluated on a specific task, not translated into product-level guidance about which clinical measurements a downstream system should or should not report. Second, no system identified in this review encodes that distinction as a first-class, machine-readable property of the score itself, propagated to every surface a clinician might see it.</w:t>
      </w:r>
    </w:p>
    <w:p w14:paraId="2B11E00A" w14:textId="6CECF084"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This </w:t>
      </w:r>
      <w:r w:rsidR="00423EE0">
        <w:rPr>
          <w:rFonts w:ascii="Arial" w:hAnsi="Arial" w:cs="Arial"/>
          <w:color w:val="000000" w:themeColor="text1"/>
        </w:rPr>
        <w:t>study</w:t>
      </w:r>
      <w:r w:rsidRPr="00423EE0">
        <w:rPr>
          <w:rFonts w:ascii="Arial" w:hAnsi="Arial" w:cs="Arial"/>
          <w:color w:val="000000" w:themeColor="text1"/>
        </w:rPr>
        <w:t xml:space="preserve"> describes Flexion, a browser-based remote movement screening prototype, with four objectives. First, to specify a system architecture that runs pose estimation and scoring entirely on-device, avoiding transmission or storage of raw patient video by default. Second, to implement an </w:t>
      </w:r>
      <w:r w:rsidRPr="00423EE0">
        <w:rPr>
          <w:rFonts w:ascii="Arial" w:hAnsi="Arial" w:cs="Arial"/>
          <w:i/>
          <w:iCs/>
          <w:color w:val="000000" w:themeColor="text1"/>
        </w:rPr>
        <w:t>evidence-tiering framework</w:t>
      </w:r>
      <w:r w:rsidRPr="00423EE0">
        <w:rPr>
          <w:rFonts w:ascii="Arial" w:hAnsi="Arial" w:cs="Arial"/>
          <w:color w:val="000000" w:themeColor="text1"/>
        </w:rPr>
        <w:t>, to the authors</w:t>
      </w:r>
      <w:r w:rsidR="00423EE0">
        <w:rPr>
          <w:rFonts w:ascii="Arial" w:hAnsi="Arial" w:cs="Arial"/>
          <w:color w:val="000000" w:themeColor="text1"/>
        </w:rPr>
        <w:t>’</w:t>
      </w:r>
      <w:r w:rsidRPr="00423EE0">
        <w:rPr>
          <w:rFonts w:ascii="Arial" w:hAnsi="Arial" w:cs="Arial"/>
          <w:color w:val="000000" w:themeColor="text1"/>
        </w:rPr>
        <w:t xml:space="preserve"> knowledge a novel design pattern in this space, that attaches a literature-derived confidence tier (High, Moderate, or Exploratory), a plain-language rationale, and a citation to every score the system produces. Third, to select a five-movement battery whose scoring targets were chosen, and in one case (sit-to-stand) deliberately restricted, to match where the </w:t>
      </w:r>
      <w:r w:rsidR="00423EE0">
        <w:rPr>
          <w:rFonts w:ascii="Arial" w:hAnsi="Arial" w:cs="Arial"/>
          <w:color w:val="000000" w:themeColor="text1"/>
        </w:rPr>
        <w:t>previous studies</w:t>
      </w:r>
      <w:r w:rsidRPr="00423EE0">
        <w:rPr>
          <w:rFonts w:ascii="Arial" w:hAnsi="Arial" w:cs="Arial"/>
          <w:color w:val="000000" w:themeColor="text1"/>
        </w:rPr>
        <w:t xml:space="preserve"> </w:t>
      </w:r>
      <w:proofErr w:type="gramStart"/>
      <w:r w:rsidRPr="00423EE0">
        <w:rPr>
          <w:rFonts w:ascii="Arial" w:hAnsi="Arial" w:cs="Arial"/>
          <w:color w:val="000000" w:themeColor="text1"/>
        </w:rPr>
        <w:t>indicates</w:t>
      </w:r>
      <w:proofErr w:type="gramEnd"/>
      <w:r w:rsidRPr="00423EE0">
        <w:rPr>
          <w:rFonts w:ascii="Arial" w:hAnsi="Arial" w:cs="Arial"/>
          <w:color w:val="000000" w:themeColor="text1"/>
        </w:rPr>
        <w:t xml:space="preserve"> single-camera capture is trustworthy. Fourth, to conduct an open technical validation of the scoring engine and to specify a protocol for the concurrent-validity pilot required before any clinical accuracy claim.</w:t>
      </w:r>
    </w:p>
    <w:p w14:paraId="67CC9894" w14:textId="0E2D4E4E" w:rsidR="0079631A" w:rsidRPr="00423EE0" w:rsidRDefault="00000000" w:rsidP="00423EE0">
      <w:pPr>
        <w:pStyle w:val="Heading1"/>
        <w:numPr>
          <w:ilvl w:val="0"/>
          <w:numId w:val="4"/>
        </w:numPr>
        <w:spacing w:before="340" w:after="140"/>
        <w:rPr>
          <w:rFonts w:ascii="Arial" w:hAnsi="Arial" w:cs="Arial"/>
          <w:color w:val="000000" w:themeColor="text1"/>
        </w:rPr>
      </w:pPr>
      <w:r w:rsidRPr="00423EE0">
        <w:rPr>
          <w:rFonts w:ascii="Arial" w:eastAsia="Cambria" w:hAnsi="Arial" w:cs="Arial"/>
          <w:b/>
          <w:bCs/>
          <w:color w:val="000000" w:themeColor="text1"/>
          <w:sz w:val="25"/>
          <w:szCs w:val="25"/>
        </w:rPr>
        <w:t>Methods</w:t>
      </w:r>
    </w:p>
    <w:p w14:paraId="2F064167"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System Overview and Architecture</w:t>
      </w:r>
    </w:p>
    <w:p w14:paraId="1E07EBE1"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Flexion is implemented as a browser application in four logically separated components (Figure 1): a </w:t>
      </w:r>
      <w:r w:rsidRPr="00423EE0">
        <w:rPr>
          <w:rFonts w:ascii="Arial" w:hAnsi="Arial" w:cs="Arial"/>
          <w:i/>
          <w:iCs/>
          <w:color w:val="000000" w:themeColor="text1"/>
        </w:rPr>
        <w:t>capture client</w:t>
      </w:r>
      <w:r w:rsidRPr="00423EE0">
        <w:rPr>
          <w:rFonts w:ascii="Arial" w:hAnsi="Arial" w:cs="Arial"/>
          <w:color w:val="000000" w:themeColor="text1"/>
        </w:rPr>
        <w:t xml:space="preserve"> that guides the patient through the movement battery and runs on-device pose estimation; a </w:t>
      </w:r>
      <w:r w:rsidRPr="00423EE0">
        <w:rPr>
          <w:rFonts w:ascii="Arial" w:hAnsi="Arial" w:cs="Arial"/>
          <w:i/>
          <w:iCs/>
          <w:color w:val="000000" w:themeColor="text1"/>
        </w:rPr>
        <w:t>scoring engine</w:t>
      </w:r>
      <w:r w:rsidRPr="00423EE0">
        <w:rPr>
          <w:rFonts w:ascii="Arial" w:hAnsi="Arial" w:cs="Arial"/>
          <w:color w:val="000000" w:themeColor="text1"/>
        </w:rPr>
        <w:t xml:space="preserve"> of pure, dependency-free functions that convert landmark sequences into clinical metrics; an </w:t>
      </w:r>
      <w:r w:rsidRPr="00423EE0">
        <w:rPr>
          <w:rFonts w:ascii="Arial" w:hAnsi="Arial" w:cs="Arial"/>
          <w:i/>
          <w:iCs/>
          <w:color w:val="000000" w:themeColor="text1"/>
        </w:rPr>
        <w:t>evidence-tiering layer</w:t>
      </w:r>
      <w:r w:rsidRPr="00423EE0">
        <w:rPr>
          <w:rFonts w:ascii="Arial" w:hAnsi="Arial" w:cs="Arial"/>
          <w:color w:val="000000" w:themeColor="text1"/>
        </w:rPr>
        <w:t xml:space="preserve"> that attaches a literature-derived confidence tier to every metric; and a </w:t>
      </w:r>
      <w:r w:rsidRPr="00423EE0">
        <w:rPr>
          <w:rFonts w:ascii="Arial" w:hAnsi="Arial" w:cs="Arial"/>
          <w:i/>
          <w:iCs/>
          <w:color w:val="000000" w:themeColor="text1"/>
        </w:rPr>
        <w:t>provider dashboard</w:t>
      </w:r>
      <w:r w:rsidRPr="00423EE0">
        <w:rPr>
          <w:rFonts w:ascii="Arial" w:hAnsi="Arial" w:cs="Arial"/>
          <w:color w:val="000000" w:themeColor="text1"/>
        </w:rPr>
        <w:t xml:space="preserve"> that trends results across sessions. Separating scoring from the surrounding product allows the scoring engine to be unit-tested, versioned, and re-run independently of the user interface, and allows the same evidence tiers shown to a patient to be guaranteed identical to those exported to a clinical record.</w:t>
      </w:r>
    </w:p>
    <w:p w14:paraId="30F0D9F3" w14:textId="77777777" w:rsidR="0079631A" w:rsidRPr="00423EE0" w:rsidRDefault="00000000">
      <w:pPr>
        <w:spacing w:before="160" w:after="40"/>
        <w:jc w:val="center"/>
        <w:rPr>
          <w:rFonts w:ascii="Arial" w:hAnsi="Arial" w:cs="Arial"/>
          <w:color w:val="000000" w:themeColor="text1"/>
        </w:rPr>
      </w:pPr>
      <w:r w:rsidRPr="00423EE0">
        <w:rPr>
          <w:rFonts w:ascii="Arial" w:hAnsi="Arial" w:cs="Arial"/>
          <w:noProof/>
          <w:color w:val="000000" w:themeColor="text1"/>
        </w:rPr>
        <w:lastRenderedPageBreak/>
        <w:drawing>
          <wp:inline distT="0" distB="0" distL="0" distR="0" wp14:anchorId="16214486" wp14:editId="154E7EC8">
            <wp:extent cx="53340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86200"/>
                    </a:xfrm>
                    <a:prstGeom prst="rect">
                      <a:avLst/>
                    </a:prstGeom>
                  </pic:spPr>
                </pic:pic>
              </a:graphicData>
            </a:graphic>
          </wp:inline>
        </w:drawing>
      </w:r>
    </w:p>
    <w:p w14:paraId="22E6167F" w14:textId="77777777" w:rsidR="0079631A" w:rsidRPr="00423EE0" w:rsidRDefault="00000000">
      <w:pPr>
        <w:spacing w:before="100" w:after="260"/>
        <w:jc w:val="center"/>
        <w:rPr>
          <w:rFonts w:ascii="Arial" w:hAnsi="Arial" w:cs="Arial"/>
          <w:color w:val="000000" w:themeColor="text1"/>
        </w:rPr>
      </w:pPr>
      <w:r w:rsidRPr="00423EE0">
        <w:rPr>
          <w:rFonts w:ascii="Arial" w:hAnsi="Arial" w:cs="Arial"/>
          <w:b/>
          <w:bCs/>
          <w:i/>
          <w:iCs/>
          <w:color w:val="000000" w:themeColor="text1"/>
          <w:sz w:val="19"/>
          <w:szCs w:val="19"/>
        </w:rPr>
        <w:t>Figure 1.</w:t>
      </w:r>
      <w:r w:rsidRPr="00423EE0">
        <w:rPr>
          <w:rFonts w:ascii="Arial" w:hAnsi="Arial" w:cs="Arial"/>
          <w:i/>
          <w:iCs/>
          <w:color w:val="000000" w:themeColor="text1"/>
          <w:sz w:val="19"/>
          <w:szCs w:val="19"/>
        </w:rPr>
        <w:t xml:space="preserve"> Flexion system architecture. Pose estimation and scoring run entirely on-device; only derived scores, evidence tiers, and citations, not raw video, are represented in the session report by default.</w:t>
      </w:r>
    </w:p>
    <w:p w14:paraId="6FF9CA18"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Pose estimation uses </w:t>
      </w:r>
      <w:proofErr w:type="spellStart"/>
      <w:r w:rsidRPr="00423EE0">
        <w:rPr>
          <w:rFonts w:ascii="Arial" w:hAnsi="Arial" w:cs="Arial"/>
          <w:color w:val="000000" w:themeColor="text1"/>
        </w:rPr>
        <w:t>MediaPipe's</w:t>
      </w:r>
      <w:proofErr w:type="spellEnd"/>
      <w:r w:rsidRPr="00423EE0">
        <w:rPr>
          <w:rFonts w:ascii="Arial" w:hAnsi="Arial" w:cs="Arial"/>
          <w:color w:val="000000" w:themeColor="text1"/>
        </w:rPr>
        <w:t xml:space="preserve"> Pose </w:t>
      </w:r>
      <w:proofErr w:type="spellStart"/>
      <w:r w:rsidRPr="00423EE0">
        <w:rPr>
          <w:rFonts w:ascii="Arial" w:hAnsi="Arial" w:cs="Arial"/>
          <w:color w:val="000000" w:themeColor="text1"/>
        </w:rPr>
        <w:t>Landmarker</w:t>
      </w:r>
      <w:proofErr w:type="spellEnd"/>
      <w:r w:rsidRPr="00423EE0">
        <w:rPr>
          <w:rFonts w:ascii="Arial" w:hAnsi="Arial" w:cs="Arial"/>
          <w:color w:val="000000" w:themeColor="text1"/>
        </w:rPr>
        <w:t xml:space="preserve"> (</w:t>
      </w:r>
      <w:proofErr w:type="spellStart"/>
      <w:r w:rsidRPr="00423EE0">
        <w:rPr>
          <w:rFonts w:ascii="Arial" w:hAnsi="Arial" w:cs="Arial"/>
          <w:color w:val="000000" w:themeColor="text1"/>
        </w:rPr>
        <w:t>BlazePose</w:t>
      </w:r>
      <w:proofErr w:type="spellEnd"/>
      <w:r w:rsidRPr="00423EE0">
        <w:rPr>
          <w:rFonts w:ascii="Arial" w:hAnsi="Arial" w:cs="Arial"/>
          <w:color w:val="000000" w:themeColor="text1"/>
        </w:rPr>
        <w:t xml:space="preserve">), which outputs 33 body landmarks per frame as </w:t>
      </w:r>
      <w:proofErr w:type="spellStart"/>
      <w:r w:rsidRPr="00423EE0">
        <w:rPr>
          <w:rFonts w:ascii="Arial" w:hAnsi="Arial" w:cs="Arial"/>
          <w:color w:val="000000" w:themeColor="text1"/>
        </w:rPr>
        <w:t>normalised</w:t>
      </w:r>
      <w:proofErr w:type="spellEnd"/>
      <w:r w:rsidRPr="00423EE0">
        <w:rPr>
          <w:rFonts w:ascii="Arial" w:hAnsi="Arial" w:cs="Arial"/>
          <w:color w:val="000000" w:themeColor="text1"/>
        </w:rPr>
        <w:t xml:space="preserve"> (x, y, z) coordinates with a per-landmark visibility confidence, running as </w:t>
      </w:r>
      <w:proofErr w:type="spellStart"/>
      <w:r w:rsidRPr="00423EE0">
        <w:rPr>
          <w:rFonts w:ascii="Arial" w:hAnsi="Arial" w:cs="Arial"/>
          <w:color w:val="000000" w:themeColor="text1"/>
        </w:rPr>
        <w:t>WebAssembly</w:t>
      </w:r>
      <w:proofErr w:type="spellEnd"/>
      <w:r w:rsidRPr="00423EE0">
        <w:rPr>
          <w:rFonts w:ascii="Arial" w:hAnsi="Arial" w:cs="Arial"/>
          <w:color w:val="000000" w:themeColor="text1"/>
        </w:rPr>
        <w:t xml:space="preserve"> directly in the browser. This keeps raw video local to the patient's device by default: only derived numeric scores, not imagery, are represented in the session report, which simplifies the data-handling posture for a clinical deployment relative to systems that upload video for server-side processing.</w:t>
      </w:r>
    </w:p>
    <w:p w14:paraId="5CCAF141"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Pose Estimation and Joint Angle Computation</w:t>
      </w:r>
    </w:p>
    <w:p w14:paraId="70963216"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Every joint angle is computed identically. For three landmarks A (proximal segment), B (joint vertex), and C (distal segment), the interior angle θ at B is</w:t>
      </w:r>
    </w:p>
    <w:p w14:paraId="4D0C7046" w14:textId="77777777" w:rsidR="0079631A" w:rsidRPr="00423EE0" w:rsidRDefault="00000000">
      <w:pPr>
        <w:spacing w:after="160" w:line="288" w:lineRule="auto"/>
        <w:jc w:val="center"/>
        <w:rPr>
          <w:rFonts w:ascii="Arial" w:hAnsi="Arial" w:cs="Arial"/>
          <w:color w:val="000000" w:themeColor="text1"/>
        </w:rPr>
      </w:pPr>
      <w:r w:rsidRPr="00423EE0">
        <w:rPr>
          <w:rFonts w:ascii="Arial" w:hAnsi="Arial" w:cs="Arial"/>
          <w:color w:val="000000" w:themeColor="text1"/>
        </w:rPr>
        <w:t xml:space="preserve">θ = </w:t>
      </w:r>
      <w:proofErr w:type="spellStart"/>
      <w:proofErr w:type="gramStart"/>
      <w:r w:rsidRPr="00423EE0">
        <w:rPr>
          <w:rFonts w:ascii="Arial" w:hAnsi="Arial" w:cs="Arial"/>
          <w:color w:val="000000" w:themeColor="text1"/>
        </w:rPr>
        <w:t>arccos</w:t>
      </w:r>
      <w:proofErr w:type="spellEnd"/>
      <w:r w:rsidRPr="00423EE0">
        <w:rPr>
          <w:rFonts w:ascii="Arial" w:hAnsi="Arial" w:cs="Arial"/>
          <w:color w:val="000000" w:themeColor="text1"/>
        </w:rPr>
        <w:t>( (</w:t>
      </w:r>
      <w:proofErr w:type="gramEnd"/>
      <w:r w:rsidRPr="00423EE0">
        <w:rPr>
          <w:rFonts w:ascii="Arial" w:hAnsi="Arial" w:cs="Arial"/>
          <w:color w:val="000000" w:themeColor="text1"/>
        </w:rPr>
        <w:t>BA · BC) / (‖BA‖ ‖BC‖</w:t>
      </w:r>
      <w:proofErr w:type="gramStart"/>
      <w:r w:rsidRPr="00423EE0">
        <w:rPr>
          <w:rFonts w:ascii="Arial" w:hAnsi="Arial" w:cs="Arial"/>
          <w:color w:val="000000" w:themeColor="text1"/>
        </w:rPr>
        <w:t>) )</w:t>
      </w:r>
      <w:proofErr w:type="gramEnd"/>
      <w:r w:rsidRPr="00423EE0">
        <w:rPr>
          <w:rFonts w:ascii="Arial" w:hAnsi="Arial" w:cs="Arial"/>
          <w:color w:val="000000" w:themeColor="text1"/>
        </w:rPr>
        <w:t>, clamped to the range [−1, 1] before the arccosine to avoid floating-point domain errors,</w:t>
      </w:r>
    </w:p>
    <w:p w14:paraId="713C180D"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which is the same planar geometric definition a manual goniometer measures. This single function underlies knee flexion (hip to knee to ankle), shoulder flexion or abduction (a virtual torso-vertical reference point, shoulder, elbow), and the trunk-lean compensation signal computed during the squat.</w:t>
      </w:r>
    </w:p>
    <w:p w14:paraId="297396C5"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Movement Battery and Scoring Algorithms</w:t>
      </w:r>
    </w:p>
    <w:p w14:paraId="526BDA8F" w14:textId="77777777" w:rsidR="0079631A"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Table 1 </w:t>
      </w:r>
      <w:proofErr w:type="spellStart"/>
      <w:r w:rsidRPr="00423EE0">
        <w:rPr>
          <w:rFonts w:ascii="Arial" w:hAnsi="Arial" w:cs="Arial"/>
          <w:color w:val="000000" w:themeColor="text1"/>
        </w:rPr>
        <w:t>summarises</w:t>
      </w:r>
      <w:proofErr w:type="spellEnd"/>
      <w:r w:rsidRPr="00423EE0">
        <w:rPr>
          <w:rFonts w:ascii="Arial" w:hAnsi="Arial" w:cs="Arial"/>
          <w:color w:val="000000" w:themeColor="text1"/>
        </w:rPr>
        <w:t xml:space="preserve"> the five scored movements. Each is implemented as an independent state machine that consumes one landmark frame at a time, so the same logic runs identically during live capture and in offline unit tests.</w:t>
      </w:r>
    </w:p>
    <w:p w14:paraId="51574AAC" w14:textId="77777777" w:rsidR="00423EE0" w:rsidRDefault="00423EE0">
      <w:pPr>
        <w:spacing w:after="160" w:line="288" w:lineRule="auto"/>
        <w:jc w:val="both"/>
        <w:rPr>
          <w:rFonts w:ascii="Arial" w:hAnsi="Arial" w:cs="Arial"/>
          <w:color w:val="000000" w:themeColor="text1"/>
        </w:rPr>
      </w:pPr>
    </w:p>
    <w:p w14:paraId="379C8C61" w14:textId="77777777" w:rsidR="00423EE0" w:rsidRPr="00423EE0" w:rsidRDefault="00423EE0">
      <w:pPr>
        <w:spacing w:after="160" w:line="288" w:lineRule="auto"/>
        <w:jc w:val="both"/>
        <w:rPr>
          <w:rFonts w:ascii="Arial" w:hAnsi="Arial" w:cs="Arial"/>
          <w:color w:val="000000" w:themeColor="text1"/>
        </w:rPr>
      </w:pPr>
    </w:p>
    <w:p w14:paraId="0EAC755F" w14:textId="77777777" w:rsidR="0079631A" w:rsidRPr="00423EE0" w:rsidRDefault="00000000">
      <w:pPr>
        <w:spacing w:before="220" w:after="100"/>
        <w:rPr>
          <w:rFonts w:ascii="Arial" w:hAnsi="Arial" w:cs="Arial"/>
          <w:color w:val="000000" w:themeColor="text1"/>
        </w:rPr>
      </w:pPr>
      <w:r w:rsidRPr="00423EE0">
        <w:rPr>
          <w:rFonts w:ascii="Arial" w:hAnsi="Arial" w:cs="Arial"/>
          <w:b/>
          <w:bCs/>
          <w:color w:val="000000" w:themeColor="text1"/>
          <w:sz w:val="20"/>
          <w:szCs w:val="20"/>
        </w:rPr>
        <w:lastRenderedPageBreak/>
        <w:t>Table 1. Flexion movement battery, primary signal, and scoring logic.</w:t>
      </w:r>
    </w:p>
    <w:tbl>
      <w:tblPr>
        <w:tblStyle w:val="TableGrid"/>
        <w:tblW w:w="10200" w:type="dxa"/>
        <w:tblLook w:val="04A0" w:firstRow="1" w:lastRow="0" w:firstColumn="1" w:lastColumn="0" w:noHBand="0" w:noVBand="1"/>
      </w:tblPr>
      <w:tblGrid>
        <w:gridCol w:w="2050"/>
        <w:gridCol w:w="2550"/>
        <w:gridCol w:w="4150"/>
        <w:gridCol w:w="1450"/>
      </w:tblGrid>
      <w:tr w:rsidR="0079631A" w:rsidRPr="00423EE0" w14:paraId="7E33A187" w14:textId="77777777" w:rsidTr="00423EE0">
        <w:tc>
          <w:tcPr>
            <w:tcW w:w="2050" w:type="dxa"/>
          </w:tcPr>
          <w:p w14:paraId="091F73B0" w14:textId="77777777" w:rsidR="0079631A" w:rsidRPr="00423EE0" w:rsidRDefault="00000000">
            <w:pPr>
              <w:rPr>
                <w:rFonts w:ascii="Arial" w:hAnsi="Arial" w:cs="Arial"/>
                <w:color w:val="000000" w:themeColor="text1"/>
              </w:rPr>
            </w:pPr>
            <w:r w:rsidRPr="00423EE0">
              <w:rPr>
                <w:rFonts w:ascii="Arial" w:hAnsi="Arial" w:cs="Arial"/>
                <w:b/>
                <w:bCs/>
                <w:color w:val="000000" w:themeColor="text1"/>
                <w:sz w:val="18"/>
                <w:szCs w:val="18"/>
              </w:rPr>
              <w:t>Movement</w:t>
            </w:r>
          </w:p>
        </w:tc>
        <w:tc>
          <w:tcPr>
            <w:tcW w:w="2550" w:type="dxa"/>
          </w:tcPr>
          <w:p w14:paraId="16A5E6EE" w14:textId="77777777" w:rsidR="0079631A" w:rsidRPr="00423EE0" w:rsidRDefault="00000000">
            <w:pPr>
              <w:rPr>
                <w:rFonts w:ascii="Arial" w:hAnsi="Arial" w:cs="Arial"/>
                <w:color w:val="000000" w:themeColor="text1"/>
              </w:rPr>
            </w:pPr>
            <w:r w:rsidRPr="00423EE0">
              <w:rPr>
                <w:rFonts w:ascii="Arial" w:hAnsi="Arial" w:cs="Arial"/>
                <w:b/>
                <w:bCs/>
                <w:color w:val="000000" w:themeColor="text1"/>
                <w:sz w:val="18"/>
                <w:szCs w:val="18"/>
              </w:rPr>
              <w:t>Primary signal</w:t>
            </w:r>
          </w:p>
        </w:tc>
        <w:tc>
          <w:tcPr>
            <w:tcW w:w="4150" w:type="dxa"/>
          </w:tcPr>
          <w:p w14:paraId="7598F094" w14:textId="77777777" w:rsidR="0079631A" w:rsidRPr="00423EE0" w:rsidRDefault="00000000">
            <w:pPr>
              <w:rPr>
                <w:rFonts w:ascii="Arial" w:hAnsi="Arial" w:cs="Arial"/>
                <w:color w:val="000000" w:themeColor="text1"/>
              </w:rPr>
            </w:pPr>
            <w:r w:rsidRPr="00423EE0">
              <w:rPr>
                <w:rFonts w:ascii="Arial" w:hAnsi="Arial" w:cs="Arial"/>
                <w:b/>
                <w:bCs/>
                <w:color w:val="000000" w:themeColor="text1"/>
                <w:sz w:val="18"/>
                <w:szCs w:val="18"/>
              </w:rPr>
              <w:t>Scoring approach</w:t>
            </w:r>
          </w:p>
        </w:tc>
        <w:tc>
          <w:tcPr>
            <w:tcW w:w="1450" w:type="dxa"/>
          </w:tcPr>
          <w:p w14:paraId="07525FD8" w14:textId="77777777" w:rsidR="0079631A" w:rsidRPr="00423EE0" w:rsidRDefault="00000000">
            <w:pPr>
              <w:rPr>
                <w:rFonts w:ascii="Arial" w:hAnsi="Arial" w:cs="Arial"/>
                <w:color w:val="000000" w:themeColor="text1"/>
              </w:rPr>
            </w:pPr>
            <w:r w:rsidRPr="00423EE0">
              <w:rPr>
                <w:rFonts w:ascii="Arial" w:hAnsi="Arial" w:cs="Arial"/>
                <w:b/>
                <w:bCs/>
                <w:color w:val="000000" w:themeColor="text1"/>
                <w:sz w:val="18"/>
                <w:szCs w:val="18"/>
              </w:rPr>
              <w:t>Evidence tier</w:t>
            </w:r>
          </w:p>
        </w:tc>
      </w:tr>
      <w:tr w:rsidR="0079631A" w:rsidRPr="00423EE0" w14:paraId="46167953" w14:textId="77777777" w:rsidTr="00423EE0">
        <w:tc>
          <w:tcPr>
            <w:tcW w:w="2050" w:type="dxa"/>
          </w:tcPr>
          <w:p w14:paraId="1DC8C3DD"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Bodyweight squat</w:t>
            </w:r>
          </w:p>
        </w:tc>
        <w:tc>
          <w:tcPr>
            <w:tcW w:w="2550" w:type="dxa"/>
          </w:tcPr>
          <w:p w14:paraId="3A0EA684"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Knee flexion angle (hip, knee, ankle), bilateral</w:t>
            </w:r>
          </w:p>
        </w:tc>
        <w:tc>
          <w:tcPr>
            <w:tcW w:w="4150" w:type="dxa"/>
          </w:tcPr>
          <w:p w14:paraId="5F16D664"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Five-phase state machine (top, descending, bottom, ascending, top) automatically counts repetitions; records the per-repetition angle minimum on each leg, trunk lean, and left-right asymmetry.</w:t>
            </w:r>
          </w:p>
        </w:tc>
        <w:tc>
          <w:tcPr>
            <w:tcW w:w="1450" w:type="dxa"/>
          </w:tcPr>
          <w:p w14:paraId="0A2B9C43"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High</w:t>
            </w:r>
          </w:p>
        </w:tc>
      </w:tr>
      <w:tr w:rsidR="0079631A" w:rsidRPr="00423EE0" w14:paraId="3D8F8120" w14:textId="77777777" w:rsidTr="00423EE0">
        <w:tc>
          <w:tcPr>
            <w:tcW w:w="2050" w:type="dxa"/>
          </w:tcPr>
          <w:p w14:paraId="67394DD3"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Five-Times-Sit-to-Stand (FTSTS)</w:t>
            </w:r>
          </w:p>
        </w:tc>
        <w:tc>
          <w:tcPr>
            <w:tcW w:w="2550" w:type="dxa"/>
          </w:tcPr>
          <w:p w14:paraId="1C6B8E57"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Hip-midpoint vertical position</w:t>
            </w:r>
          </w:p>
        </w:tc>
        <w:tc>
          <w:tcPr>
            <w:tcW w:w="4150" w:type="dxa"/>
          </w:tcPr>
          <w:p w14:paraId="65406EA7"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State machine detects stand-sit transitions from hip height; reports repetition count and total elapsed time only, not a knee-angle depth.</w:t>
            </w:r>
          </w:p>
        </w:tc>
        <w:tc>
          <w:tcPr>
            <w:tcW w:w="1450" w:type="dxa"/>
          </w:tcPr>
          <w:p w14:paraId="73E1EEB5"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High (time and repetitions only)</w:t>
            </w:r>
          </w:p>
        </w:tc>
      </w:tr>
      <w:tr w:rsidR="0079631A" w:rsidRPr="00423EE0" w14:paraId="5683E433" w14:textId="77777777" w:rsidTr="00423EE0">
        <w:tc>
          <w:tcPr>
            <w:tcW w:w="2050" w:type="dxa"/>
          </w:tcPr>
          <w:p w14:paraId="45598DB4"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 xml:space="preserve">Bilateral arm </w:t>
            </w:r>
            <w:proofErr w:type="gramStart"/>
            <w:r w:rsidRPr="00423EE0">
              <w:rPr>
                <w:rFonts w:ascii="Arial" w:hAnsi="Arial" w:cs="Arial"/>
                <w:color w:val="000000" w:themeColor="text1"/>
                <w:sz w:val="18"/>
                <w:szCs w:val="18"/>
              </w:rPr>
              <w:t>raise</w:t>
            </w:r>
            <w:proofErr w:type="gramEnd"/>
          </w:p>
        </w:tc>
        <w:tc>
          <w:tcPr>
            <w:tcW w:w="2550" w:type="dxa"/>
          </w:tcPr>
          <w:p w14:paraId="179E0D82"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Shoulder angle (virtual torso-vertical reference, shoulder, elbow), bilateral</w:t>
            </w:r>
          </w:p>
        </w:tc>
        <w:tc>
          <w:tcPr>
            <w:tcW w:w="4150" w:type="dxa"/>
          </w:tcPr>
          <w:p w14:paraId="2578E2E9"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Tracks the maximum angle reached per side across the hold and the left-right difference; measures flexion or abduction only.</w:t>
            </w:r>
          </w:p>
        </w:tc>
        <w:tc>
          <w:tcPr>
            <w:tcW w:w="1450" w:type="dxa"/>
          </w:tcPr>
          <w:p w14:paraId="29A5BE57"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Moderate</w:t>
            </w:r>
          </w:p>
        </w:tc>
      </w:tr>
      <w:tr w:rsidR="0079631A" w:rsidRPr="00423EE0" w14:paraId="2670802B" w14:textId="77777777" w:rsidTr="00423EE0">
        <w:tc>
          <w:tcPr>
            <w:tcW w:w="2050" w:type="dxa"/>
          </w:tcPr>
          <w:p w14:paraId="1CD65524"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Single-leg balance</w:t>
            </w:r>
          </w:p>
        </w:tc>
        <w:tc>
          <w:tcPr>
            <w:tcW w:w="2550" w:type="dxa"/>
          </w:tcPr>
          <w:p w14:paraId="658D0D09"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Hip-midpoint horizontal displacement while unipedal</w:t>
            </w:r>
          </w:p>
        </w:tc>
        <w:tc>
          <w:tcPr>
            <w:tcW w:w="4150" w:type="dxa"/>
          </w:tcPr>
          <w:p w14:paraId="6F39ECA1"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 xml:space="preserve">Total sway path length </w:t>
            </w:r>
            <w:proofErr w:type="spellStart"/>
            <w:r w:rsidRPr="00423EE0">
              <w:rPr>
                <w:rFonts w:ascii="Arial" w:hAnsi="Arial" w:cs="Arial"/>
                <w:color w:val="000000" w:themeColor="text1"/>
                <w:sz w:val="18"/>
                <w:szCs w:val="18"/>
              </w:rPr>
              <w:t>normalised</w:t>
            </w:r>
            <w:proofErr w:type="spellEnd"/>
            <w:r w:rsidRPr="00423EE0">
              <w:rPr>
                <w:rFonts w:ascii="Arial" w:hAnsi="Arial" w:cs="Arial"/>
                <w:color w:val="000000" w:themeColor="text1"/>
                <w:sz w:val="18"/>
                <w:szCs w:val="18"/>
              </w:rPr>
              <w:t xml:space="preserve"> by hold duration converts to a 0 to 100 stability score; short holds or high sway are flagged.</w:t>
            </w:r>
          </w:p>
        </w:tc>
        <w:tc>
          <w:tcPr>
            <w:tcW w:w="1450" w:type="dxa"/>
          </w:tcPr>
          <w:p w14:paraId="1C37DEF1"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Exploratory</w:t>
            </w:r>
          </w:p>
        </w:tc>
      </w:tr>
      <w:tr w:rsidR="0079631A" w:rsidRPr="00423EE0" w14:paraId="39612D26" w14:textId="77777777" w:rsidTr="00423EE0">
        <w:tc>
          <w:tcPr>
            <w:tcW w:w="2050" w:type="dxa"/>
          </w:tcPr>
          <w:p w14:paraId="44F1C970"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Walk in place</w:t>
            </w:r>
          </w:p>
        </w:tc>
        <w:tc>
          <w:tcPr>
            <w:tcW w:w="2550" w:type="dxa"/>
          </w:tcPr>
          <w:p w14:paraId="0AC9A309"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Vertical ankle oscillation, bilateral</w:t>
            </w:r>
          </w:p>
        </w:tc>
        <w:tc>
          <w:tcPr>
            <w:tcW w:w="4150" w:type="dxa"/>
          </w:tcPr>
          <w:p w14:paraId="74803F79"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Per-side oscillation thresholding counts discrete steps; yields step count, cadence, and a step-height asymmetry proxy.</w:t>
            </w:r>
          </w:p>
        </w:tc>
        <w:tc>
          <w:tcPr>
            <w:tcW w:w="1450" w:type="dxa"/>
          </w:tcPr>
          <w:p w14:paraId="770FEF6D"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High (cadence and steps); Moderate (step-height asymmetry)</w:t>
            </w:r>
          </w:p>
        </w:tc>
      </w:tr>
    </w:tbl>
    <w:p w14:paraId="600DCAB8" w14:textId="77777777" w:rsidR="0079631A" w:rsidRPr="00423EE0" w:rsidRDefault="0079631A">
      <w:pPr>
        <w:spacing w:after="160" w:line="288" w:lineRule="auto"/>
        <w:rPr>
          <w:rFonts w:ascii="Arial" w:hAnsi="Arial" w:cs="Arial"/>
          <w:color w:val="000000" w:themeColor="text1"/>
        </w:rPr>
      </w:pPr>
    </w:p>
    <w:p w14:paraId="0C26CC5D"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The FTSTS design decision illustrates how the literature review shaped implementation rather than only product framing: because sit-to-stand joint angles specifically showed wide limits of agreement (12 to 20 degrees) even in a study where other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measures were reliable [9], the scoring engine does not compute or expose a knee-angle metric for this movement at all, reporting only repetition count and elapsed time, which corresponds to the established Five-Times-Sit-to-Stand clinical functional and fall-risk measure [5,9].</w:t>
      </w:r>
    </w:p>
    <w:p w14:paraId="477AC541"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Evidence-Tiering Framework</w:t>
      </w:r>
    </w:p>
    <w:p w14:paraId="4BEE34AA"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Table 2 shows the tier assigned to each movement family and the literature finding it is derived from. Tiers are stored in a single lookup table in the scoring engine and attached to every result object the engine produces, so the dashboard, the patient-facing report, and the exported record cannot diverge in how they </w:t>
      </w:r>
      <w:proofErr w:type="spellStart"/>
      <w:r w:rsidRPr="00423EE0">
        <w:rPr>
          <w:rFonts w:ascii="Arial" w:hAnsi="Arial" w:cs="Arial"/>
          <w:color w:val="000000" w:themeColor="text1"/>
        </w:rPr>
        <w:t>characterise</w:t>
      </w:r>
      <w:proofErr w:type="spellEnd"/>
      <w:r w:rsidRPr="00423EE0">
        <w:rPr>
          <w:rFonts w:ascii="Arial" w:hAnsi="Arial" w:cs="Arial"/>
          <w:color w:val="000000" w:themeColor="text1"/>
        </w:rPr>
        <w:t xml:space="preserve"> the same score.</w:t>
      </w:r>
    </w:p>
    <w:p w14:paraId="0C6746BC" w14:textId="77777777" w:rsidR="0079631A" w:rsidRPr="00423EE0" w:rsidRDefault="00000000">
      <w:pPr>
        <w:spacing w:before="220" w:after="100"/>
        <w:rPr>
          <w:rFonts w:ascii="Arial" w:hAnsi="Arial" w:cs="Arial"/>
          <w:color w:val="000000" w:themeColor="text1"/>
        </w:rPr>
      </w:pPr>
      <w:r w:rsidRPr="00423EE0">
        <w:rPr>
          <w:rFonts w:ascii="Arial" w:hAnsi="Arial" w:cs="Arial"/>
          <w:b/>
          <w:bCs/>
          <w:color w:val="000000" w:themeColor="text1"/>
          <w:sz w:val="20"/>
          <w:szCs w:val="20"/>
        </w:rPr>
        <w:t>Table 2. Evidence-tier assignment and literature basis.</w:t>
      </w:r>
    </w:p>
    <w:tbl>
      <w:tblPr>
        <w:tblStyle w:val="TableGrid"/>
        <w:tblW w:w="10200" w:type="dxa"/>
        <w:tblLook w:val="04A0" w:firstRow="1" w:lastRow="0" w:firstColumn="1" w:lastColumn="0" w:noHBand="0" w:noVBand="1"/>
      </w:tblPr>
      <w:tblGrid>
        <w:gridCol w:w="2500"/>
        <w:gridCol w:w="4550"/>
        <w:gridCol w:w="3150"/>
      </w:tblGrid>
      <w:tr w:rsidR="0079631A" w:rsidRPr="00423EE0" w14:paraId="1A841205" w14:textId="77777777" w:rsidTr="00423EE0">
        <w:tc>
          <w:tcPr>
            <w:tcW w:w="2500" w:type="dxa"/>
          </w:tcPr>
          <w:p w14:paraId="71116021" w14:textId="77777777" w:rsidR="0079631A" w:rsidRPr="00423EE0" w:rsidRDefault="00000000">
            <w:pPr>
              <w:rPr>
                <w:rFonts w:ascii="Arial" w:hAnsi="Arial" w:cs="Arial"/>
                <w:color w:val="000000" w:themeColor="text1"/>
              </w:rPr>
            </w:pPr>
            <w:r w:rsidRPr="00423EE0">
              <w:rPr>
                <w:rFonts w:ascii="Arial" w:hAnsi="Arial" w:cs="Arial"/>
                <w:b/>
                <w:bCs/>
                <w:color w:val="000000" w:themeColor="text1"/>
                <w:sz w:val="18"/>
                <w:szCs w:val="18"/>
              </w:rPr>
              <w:t>Domain</w:t>
            </w:r>
          </w:p>
        </w:tc>
        <w:tc>
          <w:tcPr>
            <w:tcW w:w="4550" w:type="dxa"/>
          </w:tcPr>
          <w:p w14:paraId="42A1B6EB" w14:textId="77777777" w:rsidR="0079631A" w:rsidRPr="00423EE0" w:rsidRDefault="00000000">
            <w:pPr>
              <w:rPr>
                <w:rFonts w:ascii="Arial" w:hAnsi="Arial" w:cs="Arial"/>
                <w:color w:val="000000" w:themeColor="text1"/>
              </w:rPr>
            </w:pPr>
            <w:r w:rsidRPr="00423EE0">
              <w:rPr>
                <w:rFonts w:ascii="Arial" w:hAnsi="Arial" w:cs="Arial"/>
                <w:b/>
                <w:bCs/>
                <w:color w:val="000000" w:themeColor="text1"/>
                <w:sz w:val="18"/>
                <w:szCs w:val="18"/>
              </w:rPr>
              <w:t>Literature finding</w:t>
            </w:r>
          </w:p>
        </w:tc>
        <w:tc>
          <w:tcPr>
            <w:tcW w:w="3150" w:type="dxa"/>
          </w:tcPr>
          <w:p w14:paraId="50F3229F" w14:textId="77777777" w:rsidR="0079631A" w:rsidRPr="00423EE0" w:rsidRDefault="00000000">
            <w:pPr>
              <w:rPr>
                <w:rFonts w:ascii="Arial" w:hAnsi="Arial" w:cs="Arial"/>
                <w:color w:val="000000" w:themeColor="text1"/>
              </w:rPr>
            </w:pPr>
            <w:r w:rsidRPr="00423EE0">
              <w:rPr>
                <w:rFonts w:ascii="Arial" w:hAnsi="Arial" w:cs="Arial"/>
                <w:b/>
                <w:bCs/>
                <w:color w:val="000000" w:themeColor="text1"/>
                <w:sz w:val="18"/>
                <w:szCs w:val="18"/>
              </w:rPr>
              <w:t>Tier and rationale</w:t>
            </w:r>
          </w:p>
        </w:tc>
      </w:tr>
      <w:tr w:rsidR="0079631A" w:rsidRPr="00423EE0" w14:paraId="2EC269B7" w14:textId="77777777" w:rsidTr="00423EE0">
        <w:tc>
          <w:tcPr>
            <w:tcW w:w="2500" w:type="dxa"/>
          </w:tcPr>
          <w:p w14:paraId="57B3FEA4"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Sagittal-plane hip and knee kinematics at a near-static position</w:t>
            </w:r>
          </w:p>
        </w:tc>
        <w:tc>
          <w:tcPr>
            <w:tcW w:w="4550" w:type="dxa"/>
          </w:tcPr>
          <w:p w14:paraId="2F3CB597"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Mean error under 1.1 degrees and limits of agreement under 5 degrees versus laboratory marker-based systems, including in space-constrained clinical settings [8,9]</w:t>
            </w:r>
          </w:p>
        </w:tc>
        <w:tc>
          <w:tcPr>
            <w:tcW w:w="3150" w:type="dxa"/>
          </w:tcPr>
          <w:p w14:paraId="470F3DCB"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High: squat depth is scored at the near-static bottom of the movement.</w:t>
            </w:r>
          </w:p>
        </w:tc>
      </w:tr>
      <w:tr w:rsidR="0079631A" w:rsidRPr="00423EE0" w14:paraId="0678422E" w14:textId="77777777" w:rsidTr="00423EE0">
        <w:tc>
          <w:tcPr>
            <w:tcW w:w="2500" w:type="dxa"/>
          </w:tcPr>
          <w:p w14:paraId="735E6A91"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Spatiotemporal gait parameters (step count, cadence, timing)</w:t>
            </w:r>
          </w:p>
        </w:tc>
        <w:tc>
          <w:tcPr>
            <w:tcW w:w="4550" w:type="dxa"/>
          </w:tcPr>
          <w:p w14:paraId="082B3BC2"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Good-to-excellent inter-rater reliability and concurrent validity, ICC 0.81 to 0.98 [8]</w:t>
            </w:r>
          </w:p>
        </w:tc>
        <w:tc>
          <w:tcPr>
            <w:tcW w:w="3150" w:type="dxa"/>
          </w:tcPr>
          <w:p w14:paraId="7DA03759"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High: walk-in-place cadence and step count; step-height asymmetry (a kinematic proxy) is scored lower.</w:t>
            </w:r>
          </w:p>
        </w:tc>
      </w:tr>
      <w:tr w:rsidR="0079631A" w:rsidRPr="00423EE0" w14:paraId="503087FA" w14:textId="77777777" w:rsidTr="00423EE0">
        <w:tc>
          <w:tcPr>
            <w:tcW w:w="2500" w:type="dxa"/>
          </w:tcPr>
          <w:p w14:paraId="4E8F80F4"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Dynamic transitional movement (sit-to-stand)</w:t>
            </w:r>
          </w:p>
        </w:tc>
        <w:tc>
          <w:tcPr>
            <w:tcW w:w="4550" w:type="dxa"/>
          </w:tcPr>
          <w:p w14:paraId="7252EADA"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Joint-angle limits of agreement of 12 to 20 degrees, markedly wider than static or near-static tasks in the same study [9]</w:t>
            </w:r>
          </w:p>
        </w:tc>
        <w:tc>
          <w:tcPr>
            <w:tcW w:w="3150" w:type="dxa"/>
          </w:tcPr>
          <w:p w14:paraId="7208A1B5"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High for repetitions and time only; no knee-angle metric is reported for this movement.</w:t>
            </w:r>
          </w:p>
        </w:tc>
      </w:tr>
      <w:tr w:rsidR="0079631A" w:rsidRPr="00423EE0" w14:paraId="7BABC6AC" w14:textId="77777777" w:rsidTr="00423EE0">
        <w:tc>
          <w:tcPr>
            <w:tcW w:w="2500" w:type="dxa"/>
          </w:tcPr>
          <w:p w14:paraId="70DD58F6"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Simple, single-plane shoulder movement (flexion, abduction)</w:t>
            </w:r>
          </w:p>
        </w:tc>
        <w:tc>
          <w:tcPr>
            <w:tcW w:w="4550" w:type="dxa"/>
          </w:tcPr>
          <w:p w14:paraId="76AAB8B8"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Good-to-excellent validity for planar movement; inconsistent validity for complex or rotational movement [21]</w:t>
            </w:r>
          </w:p>
        </w:tc>
        <w:tc>
          <w:tcPr>
            <w:tcW w:w="3150" w:type="dxa"/>
          </w:tcPr>
          <w:p w14:paraId="0E7D6581"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Moderate: arm-raise module scores flexion or abduction only, not rotational mobility.</w:t>
            </w:r>
          </w:p>
        </w:tc>
      </w:tr>
      <w:tr w:rsidR="0079631A" w:rsidRPr="00423EE0" w14:paraId="494E5F68" w14:textId="77777777" w:rsidTr="00423EE0">
        <w:tc>
          <w:tcPr>
            <w:tcW w:w="2500" w:type="dxa"/>
          </w:tcPr>
          <w:p w14:paraId="07F1B943"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Balance and functional movement scoring</w:t>
            </w:r>
          </w:p>
        </w:tc>
        <w:tc>
          <w:tcPr>
            <w:tcW w:w="4550" w:type="dxa"/>
          </w:tcPr>
          <w:p w14:paraId="5F5CEDB8"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 xml:space="preserve">The least evidence-covered domain identified across the reviewed corpus for clinical need, validation data, and </w:t>
            </w:r>
            <w:proofErr w:type="spellStart"/>
            <w:r w:rsidRPr="00423EE0">
              <w:rPr>
                <w:rFonts w:ascii="Arial" w:hAnsi="Arial" w:cs="Arial"/>
                <w:color w:val="000000" w:themeColor="text1"/>
                <w:sz w:val="18"/>
                <w:szCs w:val="18"/>
              </w:rPr>
              <w:t>standardisation</w:t>
            </w:r>
            <w:proofErr w:type="spellEnd"/>
          </w:p>
        </w:tc>
        <w:tc>
          <w:tcPr>
            <w:tcW w:w="3150" w:type="dxa"/>
          </w:tcPr>
          <w:p w14:paraId="0B189665" w14:textId="77777777" w:rsidR="0079631A" w:rsidRPr="00423EE0" w:rsidRDefault="00000000">
            <w:pPr>
              <w:rPr>
                <w:rFonts w:ascii="Arial" w:hAnsi="Arial" w:cs="Arial"/>
                <w:color w:val="000000" w:themeColor="text1"/>
              </w:rPr>
            </w:pPr>
            <w:r w:rsidRPr="00423EE0">
              <w:rPr>
                <w:rFonts w:ascii="Arial" w:hAnsi="Arial" w:cs="Arial"/>
                <w:color w:val="000000" w:themeColor="text1"/>
                <w:sz w:val="18"/>
                <w:szCs w:val="18"/>
              </w:rPr>
              <w:t>Exploratory: presented as a within-patient trend indicator pending product-specific validation.</w:t>
            </w:r>
          </w:p>
        </w:tc>
      </w:tr>
    </w:tbl>
    <w:p w14:paraId="5EAEF3E4" w14:textId="77777777" w:rsidR="0079631A" w:rsidRPr="00423EE0" w:rsidRDefault="0079631A">
      <w:pPr>
        <w:spacing w:after="160" w:line="288" w:lineRule="auto"/>
        <w:rPr>
          <w:rFonts w:ascii="Arial" w:hAnsi="Arial" w:cs="Arial"/>
          <w:color w:val="000000" w:themeColor="text1"/>
        </w:rPr>
      </w:pPr>
    </w:p>
    <w:p w14:paraId="6383437F" w14:textId="77777777" w:rsidR="00423EE0" w:rsidRDefault="00423EE0">
      <w:pPr>
        <w:pStyle w:val="Heading2"/>
        <w:spacing w:before="220" w:after="100"/>
        <w:rPr>
          <w:rFonts w:ascii="Arial" w:eastAsia="Cambria" w:hAnsi="Arial" w:cs="Arial"/>
          <w:b/>
          <w:bCs/>
          <w:color w:val="000000" w:themeColor="text1"/>
          <w:sz w:val="22"/>
          <w:szCs w:val="22"/>
        </w:rPr>
      </w:pPr>
    </w:p>
    <w:p w14:paraId="78CF6D3B" w14:textId="51C3E70A"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lastRenderedPageBreak/>
        <w:t>Camera Framing and Tracking-Quality Assurance</w:t>
      </w:r>
    </w:p>
    <w:p w14:paraId="489E76DB"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Because measurement accuracy in the reviewed literature is contingent on full-body visibility and adequate camera framing [2,9], the capture client computes a frame-quality heuristic, namely the proportion of eight key landmarks (bilateral shoulder, hip, knee, and ankle) meeting a visibility threshold, every frame. The timed routine does not begin until this heuristic remains at or above a fair threshold continuously for approximately 1.2 seconds, and a live tracking-quality indicator remains visible throughout the session so a degraded camera view is surfaced rather than silently scored.</w:t>
      </w:r>
    </w:p>
    <w:p w14:paraId="02428428"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Data Model and Interoperability</w:t>
      </w:r>
    </w:p>
    <w:p w14:paraId="4CD4A8C7"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Each scored movement is structured to map directly onto a Fast Healthcare Interoperability Resources (FHIR) </w:t>
      </w:r>
      <w:r w:rsidRPr="00423EE0">
        <w:rPr>
          <w:rFonts w:ascii="Arial" w:hAnsi="Arial" w:cs="Arial"/>
          <w:i/>
          <w:iCs/>
          <w:color w:val="000000" w:themeColor="text1"/>
        </w:rPr>
        <w:t>Observation</w:t>
      </w:r>
      <w:r w:rsidRPr="00423EE0">
        <w:rPr>
          <w:rFonts w:ascii="Arial" w:hAnsi="Arial" w:cs="Arial"/>
          <w:color w:val="000000" w:themeColor="text1"/>
        </w:rPr>
        <w:t xml:space="preserve"> resource, with the evidence tier, rationale, and citation carried in the Observation's </w:t>
      </w:r>
      <w:r w:rsidRPr="00423EE0">
        <w:rPr>
          <w:rFonts w:ascii="Arial" w:hAnsi="Arial" w:cs="Arial"/>
          <w:i/>
          <w:iCs/>
          <w:color w:val="000000" w:themeColor="text1"/>
        </w:rPr>
        <w:t>note</w:t>
      </w:r>
      <w:r w:rsidRPr="00423EE0">
        <w:rPr>
          <w:rFonts w:ascii="Arial" w:hAnsi="Arial" w:cs="Arial"/>
          <w:color w:val="000000" w:themeColor="text1"/>
        </w:rPr>
        <w:t xml:space="preserve"> field so a clinician viewing the result inside an electronic health record sees the same confidence framing as the dashboard. This is intended to compose with SMART on FHIR app-launch integration and with RTM billing workflows [20] in a production deployment, though the session store itself is not implemented in the present prototype.</w:t>
      </w:r>
    </w:p>
    <w:p w14:paraId="155BC79E"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Software Validation Procedure</w:t>
      </w:r>
    </w:p>
    <w:p w14:paraId="7D05C366"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Technical validation of the software, namely whether the code correctly implements its intended geometry and logic, was distinguished from clinical validation of the resulting measurements against a reference standard, which this prototype has not yet undergone (see Proposed Clinical Validation Study Design, below).</w:t>
      </w:r>
    </w:p>
    <w:p w14:paraId="61261970" w14:textId="5E49ACD3"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The scoring engine was tested with </w:t>
      </w:r>
      <w:r w:rsidR="00423EE0" w:rsidRPr="00423EE0">
        <w:rPr>
          <w:rFonts w:ascii="Arial" w:hAnsi="Arial" w:cs="Arial"/>
          <w:color w:val="000000" w:themeColor="text1"/>
        </w:rPr>
        <w:t>20-unit</w:t>
      </w:r>
      <w:r w:rsidRPr="00423EE0">
        <w:rPr>
          <w:rFonts w:ascii="Arial" w:hAnsi="Arial" w:cs="Arial"/>
          <w:color w:val="000000" w:themeColor="text1"/>
        </w:rPr>
        <w:t xml:space="preserve"> tests (Node.js runtime, no pose model or camera required) against synthetically constructed landmark sequences. Angle-computation correctness was verified by placing three points at a closed-form, geometrically exact angle (for example, </w:t>
      </w:r>
      <w:r w:rsidR="00423EE0" w:rsidRPr="00423EE0">
        <w:rPr>
          <w:rFonts w:ascii="Arial" w:hAnsi="Arial" w:cs="Arial"/>
          <w:color w:val="000000" w:themeColor="text1"/>
        </w:rPr>
        <w:t>90- and 180-degree</w:t>
      </w:r>
      <w:r w:rsidRPr="00423EE0">
        <w:rPr>
          <w:rFonts w:ascii="Arial" w:hAnsi="Arial" w:cs="Arial"/>
          <w:color w:val="000000" w:themeColor="text1"/>
        </w:rPr>
        <w:t xml:space="preserve"> configurations) and asserting the computed angle matched to within 0.01 degrees. Repetition-counting state machines were verified with synthetic angle sequences engineered to cross the phase thresholds a specified number of times, confirming exact repetition counts for single and multiple cycles and confirming that near-threshold noise around a stationary pose does not produce false-positive repetitions. The evidence-tiering layer was verified to attach a non-null tier, rationale, and citation to every movement type, and the frame-quality heuristic was verified against fully visible, fully absent, and partially occluded synthetic landmark sets. The Five-Times-Sit-to-Stand tracker was verified to count five stand-sit cycles from a synthetic hip-height trajectory, to report a positive elapsed time, and to flag sessions completing fewer than five repetitions.</w:t>
      </w:r>
    </w:p>
    <w:p w14:paraId="0DAAC16C"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Proposed Clinical Validation Study Design</w:t>
      </w:r>
    </w:p>
    <w:p w14:paraId="6ACAF6A4"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The central open question is concurrent validity: does Flexion's score for a given patient and movement agree with a licensed physiotherapist's assessment of the same patient performing the same movement? This is a measurement-agreement question rather than a usability question, and the literature reviewed here indicates it must be answered per movement, not once for the system as a whole [8,9,21].</w:t>
      </w:r>
    </w:p>
    <w:p w14:paraId="0764EA71"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The proposed design recruits three to five telehealth providers treating chronic pain or musculoskeletal patients, with a target of 30 to 50 patients for adequate statistical power on agreement estimates, explicitly including older adults and patients with mobility limitations, a population the reviewed literature repeatedly flags as under-tested. For each patient's first study visit, the Flexion routine and an in-person, or synchronous video-observed, physiotherapist assessment of the same movements would be performed on the same day, in </w:t>
      </w:r>
      <w:proofErr w:type="spellStart"/>
      <w:r w:rsidRPr="00423EE0">
        <w:rPr>
          <w:rFonts w:ascii="Arial" w:hAnsi="Arial" w:cs="Arial"/>
          <w:color w:val="000000" w:themeColor="text1"/>
        </w:rPr>
        <w:t>randomised</w:t>
      </w:r>
      <w:proofErr w:type="spellEnd"/>
      <w:r w:rsidRPr="00423EE0">
        <w:rPr>
          <w:rFonts w:ascii="Arial" w:hAnsi="Arial" w:cs="Arial"/>
          <w:color w:val="000000" w:themeColor="text1"/>
        </w:rPr>
        <w:t xml:space="preserve"> order, to control for learning and fatigue effects. Follow-up assessments at </w:t>
      </w:r>
      <w:r w:rsidRPr="00423EE0">
        <w:rPr>
          <w:rFonts w:ascii="Arial" w:hAnsi="Arial" w:cs="Arial"/>
          <w:color w:val="000000" w:themeColor="text1"/>
        </w:rPr>
        <w:lastRenderedPageBreak/>
        <w:t>two to three additional time points over 6 to 8 weeks would evaluate test-retest reliability and whether Flexion tracks the same direction and magnitude of change the physiotherapist documents.</w:t>
      </w:r>
    </w:p>
    <w:p w14:paraId="4582A414"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The planned analysis includes the intraclass correlation coefficient (ICC) between Flexion and physiotherapist scores, computed per movement using the same metric reported in the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-versus-marker-based validation literature </w:t>
      </w:r>
      <w:proofErr w:type="spellStart"/>
      <w:r w:rsidRPr="00423EE0">
        <w:rPr>
          <w:rFonts w:ascii="Arial" w:hAnsi="Arial" w:cs="Arial"/>
          <w:color w:val="000000" w:themeColor="text1"/>
        </w:rPr>
        <w:t>synthesised</w:t>
      </w:r>
      <w:proofErr w:type="spellEnd"/>
      <w:r w:rsidRPr="00423EE0">
        <w:rPr>
          <w:rFonts w:ascii="Arial" w:hAnsi="Arial" w:cs="Arial"/>
          <w:color w:val="000000" w:themeColor="text1"/>
        </w:rPr>
        <w:t xml:space="preserve"> above so results are directly comparable to prior work; Bland-Altman analysis per movement to </w:t>
      </w:r>
      <w:proofErr w:type="spellStart"/>
      <w:r w:rsidRPr="00423EE0">
        <w:rPr>
          <w:rFonts w:ascii="Arial" w:hAnsi="Arial" w:cs="Arial"/>
          <w:color w:val="000000" w:themeColor="text1"/>
        </w:rPr>
        <w:t>characterise</w:t>
      </w:r>
      <w:proofErr w:type="spellEnd"/>
      <w:r w:rsidRPr="00423EE0">
        <w:rPr>
          <w:rFonts w:ascii="Arial" w:hAnsi="Arial" w:cs="Arial"/>
          <w:color w:val="000000" w:themeColor="text1"/>
        </w:rPr>
        <w:t xml:space="preserve"> systematic bias and the range of disagreement, following the analytic approach used in the reviewed clinical-corridor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validation study; and sensitivity and specificity of Flexion's automated flags (for example, limited depth, excess trunk lean, slow sit-to-stand time, fall-risk review) against the physiotherapist's independent judgement of clinical significance.</w:t>
      </w:r>
    </w:p>
    <w:p w14:paraId="3FDD617E"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A movement's evidence tier in the product is intended to be revised from pilot results, not fixed by literature precedent alone: a </w:t>
      </w:r>
      <w:proofErr w:type="gramStart"/>
      <w:r w:rsidRPr="00423EE0">
        <w:rPr>
          <w:rFonts w:ascii="Arial" w:hAnsi="Arial" w:cs="Arial"/>
          <w:color w:val="000000" w:themeColor="text1"/>
        </w:rPr>
        <w:t>High</w:t>
      </w:r>
      <w:proofErr w:type="gramEnd"/>
      <w:r w:rsidRPr="00423EE0">
        <w:rPr>
          <w:rFonts w:ascii="Arial" w:hAnsi="Arial" w:cs="Arial"/>
          <w:color w:val="000000" w:themeColor="text1"/>
        </w:rPr>
        <w:t xml:space="preserve"> tier inherited from the general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-capture literature could be downgraded if product-specific ICC or Bland-Altman results disagree with physiotherapist assessment, and an Exploratory tier (currently balance) could be upgraded once product-specific validity is demonstrated. No movement should be presented to a clinician at a higher tier, or used for an unsupervised clinical decision, until this threshold is met.</w:t>
      </w:r>
    </w:p>
    <w:p w14:paraId="2AF1EA87"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Ethical Considerations</w:t>
      </w:r>
    </w:p>
    <w:p w14:paraId="1DBF0906" w14:textId="211C7059"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This </w:t>
      </w:r>
      <w:r w:rsidR="00423EE0">
        <w:rPr>
          <w:rFonts w:ascii="Arial" w:hAnsi="Arial" w:cs="Arial"/>
          <w:color w:val="000000" w:themeColor="text1"/>
        </w:rPr>
        <w:t>study</w:t>
      </w:r>
      <w:r w:rsidRPr="00423EE0">
        <w:rPr>
          <w:rFonts w:ascii="Arial" w:hAnsi="Arial" w:cs="Arial"/>
          <w:color w:val="000000" w:themeColor="text1"/>
        </w:rPr>
        <w:t xml:space="preserve"> describes software system design and software-level, non-human-subject technical validation only; no human participants, patient data, or identifiable information were used, and no ethical approval was therefore required for the work reported here. The clinical validation protocol proposed above has not been executed. It would require approval from an appropriate research ethics committee, for example an NHS Research Ethics Committee via the Health Research Authority or an equivalent university research ethics committee, and documented informed consent, prior to any patient enrolment.</w:t>
      </w:r>
    </w:p>
    <w:p w14:paraId="44C9E5B3" w14:textId="62D293D6" w:rsidR="0079631A" w:rsidRPr="00423EE0" w:rsidRDefault="00000000" w:rsidP="00423EE0">
      <w:pPr>
        <w:pStyle w:val="Heading1"/>
        <w:numPr>
          <w:ilvl w:val="0"/>
          <w:numId w:val="4"/>
        </w:numPr>
        <w:spacing w:before="340" w:after="140"/>
        <w:rPr>
          <w:rFonts w:ascii="Arial" w:hAnsi="Arial" w:cs="Arial"/>
          <w:color w:val="000000" w:themeColor="text1"/>
        </w:rPr>
      </w:pPr>
      <w:r w:rsidRPr="00423EE0">
        <w:rPr>
          <w:rFonts w:ascii="Arial" w:eastAsia="Cambria" w:hAnsi="Arial" w:cs="Arial"/>
          <w:b/>
          <w:bCs/>
          <w:color w:val="000000" w:themeColor="text1"/>
          <w:sz w:val="25"/>
          <w:szCs w:val="25"/>
        </w:rPr>
        <w:t>Results</w:t>
      </w:r>
    </w:p>
    <w:p w14:paraId="107DD88D"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System Implementation</w:t>
      </w:r>
    </w:p>
    <w:p w14:paraId="46E94881"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The capture client, scoring engine, evidence-tiering layer, and provider dashboard described in Methods were fully implemented as a browser application. The five-movement battery, the frame-quality heuristic, and the mock FHIR export were each implemented as specified, and the evidence-tiering lookup table was populated for all five movement families with a tier, a plain-language rationale, and a citation.</w:t>
      </w:r>
    </w:p>
    <w:p w14:paraId="7E8F47F0"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Software Validation Results</w:t>
      </w:r>
    </w:p>
    <w:p w14:paraId="59C7C28A" w14:textId="5FB5E3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All </w:t>
      </w:r>
      <w:r w:rsidR="00423EE0" w:rsidRPr="00423EE0">
        <w:rPr>
          <w:rFonts w:ascii="Arial" w:hAnsi="Arial" w:cs="Arial"/>
          <w:color w:val="000000" w:themeColor="text1"/>
        </w:rPr>
        <w:t>20-unit</w:t>
      </w:r>
      <w:r w:rsidRPr="00423EE0">
        <w:rPr>
          <w:rFonts w:ascii="Arial" w:hAnsi="Arial" w:cs="Arial"/>
          <w:color w:val="000000" w:themeColor="text1"/>
        </w:rPr>
        <w:t xml:space="preserve"> tests passed on the current implementation. Angle-computation tests confirmed exact agreement (within 0.01 degrees) with closed-form geometric configurations. Repetition-counting tests confirmed correct counts for single and multiple squat cycles and confirmed that stationary, near-threshold noise produced zero false-positive repetitions. The evidence-tiering tests confirmed that every one of the five movement types returned a non-null tier, rationale, and citation, and that an </w:t>
      </w:r>
      <w:proofErr w:type="spellStart"/>
      <w:r w:rsidRPr="00423EE0">
        <w:rPr>
          <w:rFonts w:ascii="Arial" w:hAnsi="Arial" w:cs="Arial"/>
          <w:color w:val="000000" w:themeColor="text1"/>
        </w:rPr>
        <w:t>unrecognised</w:t>
      </w:r>
      <w:proofErr w:type="spellEnd"/>
      <w:r w:rsidRPr="00423EE0">
        <w:rPr>
          <w:rFonts w:ascii="Arial" w:hAnsi="Arial" w:cs="Arial"/>
          <w:color w:val="000000" w:themeColor="text1"/>
        </w:rPr>
        <w:t xml:space="preserve"> movement key correctly returned no evidence object rather than a default value. The frame-quality tests confirmed correct classification of fully visible, fully absent, and partially occluded synthetic landmark sets. The Five-Times-Sit-to-Stand tests confirmed correct counting of five stand-sit cycles, a positive elapsed time, and correct flagging of sessions with fewer than five completed repetitions.</w:t>
      </w:r>
    </w:p>
    <w:p w14:paraId="5F7F07D1"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lastRenderedPageBreak/>
        <w:t>These results confirm internal software correctness, that is, the system computes what it is designed to compute. This is a necessary but not sufficient condition for clinical use; it does not establish that any score agrees with a reference clinical measurement on real human movement.</w:t>
      </w:r>
    </w:p>
    <w:p w14:paraId="275BB50B"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Clinical Validation Status</w:t>
      </w:r>
    </w:p>
    <w:p w14:paraId="043D31DA" w14:textId="1DED5314"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No clinical data collection has been undertaken at the time of this </w:t>
      </w:r>
      <w:r w:rsidR="00423EE0">
        <w:rPr>
          <w:rFonts w:ascii="Arial" w:hAnsi="Arial" w:cs="Arial"/>
          <w:color w:val="000000" w:themeColor="text1"/>
        </w:rPr>
        <w:t>study</w:t>
      </w:r>
      <w:r w:rsidRPr="00423EE0">
        <w:rPr>
          <w:rFonts w:ascii="Arial" w:hAnsi="Arial" w:cs="Arial"/>
          <w:color w:val="000000" w:themeColor="text1"/>
        </w:rPr>
        <w:t xml:space="preserve">. The concurrent-validity pilot described under Proposed Clinical Validation Study Design has not yet been conducted, and this report therefore makes no claim of clinical measurement accuracy. The evidence tiers in Table 2 describe what the published, general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-capture literature supports; they are not a product-specific validation of Flexion.</w:t>
      </w:r>
    </w:p>
    <w:p w14:paraId="3AAE3D48" w14:textId="55E2B51A" w:rsidR="0079631A" w:rsidRPr="00423EE0" w:rsidRDefault="00000000" w:rsidP="00423EE0">
      <w:pPr>
        <w:pStyle w:val="Heading1"/>
        <w:numPr>
          <w:ilvl w:val="0"/>
          <w:numId w:val="4"/>
        </w:numPr>
        <w:spacing w:before="340" w:after="140"/>
        <w:rPr>
          <w:rFonts w:ascii="Arial" w:hAnsi="Arial" w:cs="Arial"/>
          <w:color w:val="000000" w:themeColor="text1"/>
        </w:rPr>
      </w:pPr>
      <w:r w:rsidRPr="00423EE0">
        <w:rPr>
          <w:rFonts w:ascii="Arial" w:eastAsia="Cambria" w:hAnsi="Arial" w:cs="Arial"/>
          <w:b/>
          <w:bCs/>
          <w:color w:val="000000" w:themeColor="text1"/>
          <w:sz w:val="25"/>
          <w:szCs w:val="25"/>
        </w:rPr>
        <w:t>Discussion</w:t>
      </w:r>
    </w:p>
    <w:p w14:paraId="4971B8C4"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Principal Results</w:t>
      </w:r>
    </w:p>
    <w:p w14:paraId="2ACA073A" w14:textId="1F814DA5"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The principal contribution of this</w:t>
      </w:r>
      <w:r w:rsidR="00423EE0">
        <w:rPr>
          <w:rFonts w:ascii="Arial" w:hAnsi="Arial" w:cs="Arial"/>
          <w:color w:val="000000" w:themeColor="text1"/>
        </w:rPr>
        <w:t xml:space="preserve"> study</w:t>
      </w:r>
      <w:r w:rsidRPr="00423EE0">
        <w:rPr>
          <w:rFonts w:ascii="Arial" w:hAnsi="Arial" w:cs="Arial"/>
          <w:color w:val="000000" w:themeColor="text1"/>
        </w:rPr>
        <w:t xml:space="preserve"> is not a claim of superior measurement accuracy: Flexion uses the same class of single-camera pose estimation evaluated throughout the reviewed literature, with the accuracy profile that literature describes. The contribution is architectural and epistemic, making the heterogeneity of that accuracy profile an explicit, machine-readable, and consistently surfaced property of the product, rather than an implicit caveat left in a methods section a clinician is unlikely to read before trusting a number on a dashboard. All 20 software unit tests passed, confirming that the scoring engine, evidence-tiering layer, and frame-quality heuristic behave as specified; the </w:t>
      </w:r>
      <w:proofErr w:type="spellStart"/>
      <w:r w:rsidRPr="00423EE0">
        <w:rPr>
          <w:rFonts w:ascii="Arial" w:hAnsi="Arial" w:cs="Arial"/>
          <w:color w:val="000000" w:themeColor="text1"/>
        </w:rPr>
        <w:t>sit</w:t>
      </w:r>
      <w:proofErr w:type="spellEnd"/>
      <w:r w:rsidRPr="00423EE0">
        <w:rPr>
          <w:rFonts w:ascii="Arial" w:hAnsi="Arial" w:cs="Arial"/>
          <w:color w:val="000000" w:themeColor="text1"/>
        </w:rPr>
        <w:t>-to-stand module was deliberately restricted to repetitions and time, rather than a knee-angle metric, as a direct consequence of the literature reviewed.</w:t>
      </w:r>
    </w:p>
    <w:p w14:paraId="2384159D"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Comparison with Prior Work</w:t>
      </w:r>
    </w:p>
    <w:p w14:paraId="1D3DDDD6"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This addresses a specific failure mode visible across the reviewed literature: systems and reviews alike tend to report an omnibus accuracy statistic for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motion capture that obscures large, clinically important differences between, for example, sagittal knee-angle accuracy and balance-sway accuracy [6,7,8]. A clinician using an undifferentiated system has no principled way to know that a squat-depth trend is far more trustworthy than a balance-stability trend produced by the same software. Evidence tiering makes that distinction visible at the point of use and creates a natural mechanism, the tier-update rule described above, for the system's confidence claims to improve as product-specific evidence accumulates, rather than remaining a static assertion.</w:t>
      </w:r>
    </w:p>
    <w:p w14:paraId="69741E40"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The sit-to-stand design decision </w:t>
      </w:r>
      <w:proofErr w:type="spellStart"/>
      <w:r w:rsidRPr="00423EE0">
        <w:rPr>
          <w:rFonts w:ascii="Arial" w:hAnsi="Arial" w:cs="Arial"/>
          <w:color w:val="000000" w:themeColor="text1"/>
        </w:rPr>
        <w:t>generalises</w:t>
      </w:r>
      <w:proofErr w:type="spellEnd"/>
      <w:r w:rsidRPr="00423EE0">
        <w:rPr>
          <w:rFonts w:ascii="Arial" w:hAnsi="Arial" w:cs="Arial"/>
          <w:color w:val="000000" w:themeColor="text1"/>
        </w:rPr>
        <w:t xml:space="preserve"> into a broader design principle suggested here for similar systems: when a validation study identifies that a specific derived metric, not just a specific movement, is unreliable, the product should stop computing that metric rather than computing it with a caveat. Flexion does not report a degraded sit-to-stand knee angle with a warning label; it does not compute one. This is a stronger, and arguably more honest, response to the literature than confidence intervals alone, which are easy for a time-pressured clinician to visually discount.</w:t>
      </w:r>
    </w:p>
    <w:p w14:paraId="26B97057"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The reimbursement context strengthens the practical case for this approach. Remote Therapeutic Monitoring CPT codes explicitly cover musculoskeletal status monitoring in the United States, and the 2026 Physician Fee Schedule further lowered the data-collection threshold required to bill [20], which increases the plausibility of sustained clinical use of systems such as Flexion, and correspondingly increases the stakes of presenting movement scores with unwarranted uniform confidence. A digital therapeutics review spanning 75 publications reported meaningful adherence and cost benefits from comparable remote monitoring systems [14], but also cautioned that long-term effectiveness evidence remains limited, </w:t>
      </w:r>
      <w:r w:rsidRPr="00423EE0">
        <w:rPr>
          <w:rFonts w:ascii="Arial" w:hAnsi="Arial" w:cs="Arial"/>
          <w:color w:val="000000" w:themeColor="text1"/>
        </w:rPr>
        <w:lastRenderedPageBreak/>
        <w:t>reinforcing that accuracy and evidentiary transparency, not engagement metrics alone, should gate expansion of clinical claims. More broadly, the evidence-tiering pattern is not specific to movement screening. Any clinical artificial intelligence system assembled from components with heterogeneous validation status, increasingly the norm rather than the exception in digital health, could adopt the same pattern: a machine-readable confidence tier, grounded in a specific citation, propagated to every surface a clinician sees the output, with an explicit rule for how product-specific validation revises it.</w:t>
      </w:r>
    </w:p>
    <w:p w14:paraId="33179372"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Limitations</w:t>
      </w:r>
    </w:p>
    <w:p w14:paraId="43270E61" w14:textId="0A0DF519" w:rsidR="0079631A" w:rsidRPr="00423EE0" w:rsidRDefault="00423EE0" w:rsidP="00423EE0">
      <w:pPr>
        <w:spacing w:after="90" w:line="276" w:lineRule="auto"/>
        <w:jc w:val="both"/>
        <w:rPr>
          <w:rFonts w:ascii="Arial" w:hAnsi="Arial" w:cs="Arial"/>
          <w:color w:val="000000" w:themeColor="text1"/>
        </w:rPr>
      </w:pPr>
      <w:r>
        <w:rPr>
          <w:rFonts w:ascii="Arial" w:hAnsi="Arial" w:cs="Arial"/>
          <w:color w:val="000000" w:themeColor="text1"/>
        </w:rPr>
        <w:t>This study has several limitations such as the use of a s</w:t>
      </w:r>
      <w:r w:rsidR="00000000" w:rsidRPr="00423EE0">
        <w:rPr>
          <w:rFonts w:ascii="Arial" w:hAnsi="Arial" w:cs="Arial"/>
          <w:color w:val="000000" w:themeColor="text1"/>
        </w:rPr>
        <w:t>ingle 2D camera, no depth sensing: joint angles are estimates sensitive to camera angle and distance, which is precisely what the proposed pilot is designed to quantify against physiotherapist assessment rather than assume.</w:t>
      </w:r>
      <w:r>
        <w:rPr>
          <w:rFonts w:ascii="Arial" w:hAnsi="Arial" w:cs="Arial"/>
          <w:color w:val="000000" w:themeColor="text1"/>
        </w:rPr>
        <w:t xml:space="preserve"> </w:t>
      </w:r>
      <w:r w:rsidR="00000000" w:rsidRPr="00423EE0">
        <w:rPr>
          <w:rFonts w:ascii="Arial" w:hAnsi="Arial" w:cs="Arial"/>
          <w:color w:val="000000" w:themeColor="text1"/>
        </w:rPr>
        <w:t xml:space="preserve">The evidence tiers describe what the published, general </w:t>
      </w:r>
      <w:proofErr w:type="spellStart"/>
      <w:r w:rsidR="00000000" w:rsidRPr="00423EE0">
        <w:rPr>
          <w:rFonts w:ascii="Arial" w:hAnsi="Arial" w:cs="Arial"/>
          <w:color w:val="000000" w:themeColor="text1"/>
        </w:rPr>
        <w:t>markerless</w:t>
      </w:r>
      <w:proofErr w:type="spellEnd"/>
      <w:r w:rsidR="00000000" w:rsidRPr="00423EE0">
        <w:rPr>
          <w:rFonts w:ascii="Arial" w:hAnsi="Arial" w:cs="Arial"/>
          <w:color w:val="000000" w:themeColor="text1"/>
        </w:rPr>
        <w:t>-capture literature supports; they are not yet a product-specific validation of Flexion's implementation, and are explicitly framed as provisional pending the pilot.</w:t>
      </w:r>
      <w:r>
        <w:rPr>
          <w:rFonts w:ascii="Arial" w:hAnsi="Arial" w:cs="Arial"/>
          <w:color w:val="000000" w:themeColor="text1"/>
        </w:rPr>
        <w:t xml:space="preserve"> Our study also note that there was n</w:t>
      </w:r>
      <w:r w:rsidR="00000000" w:rsidRPr="00423EE0">
        <w:rPr>
          <w:rFonts w:ascii="Arial" w:hAnsi="Arial" w:cs="Arial"/>
          <w:color w:val="000000" w:themeColor="text1"/>
        </w:rPr>
        <w:t>o backend, authentication, or protected health information handling is implemented in the present prototype; sessions are stored in browser local storage for demonstration purposes only, and a production session store, access control, and data-processing agreements compliant with applicable healthcare data protection regulation (for example UK GDPR or HIPAA, depending on jurisdiction) are prerequisites for any real-patient use.</w:t>
      </w:r>
      <w:r>
        <w:rPr>
          <w:rFonts w:ascii="Arial" w:hAnsi="Arial" w:cs="Arial"/>
          <w:color w:val="000000" w:themeColor="text1"/>
        </w:rPr>
        <w:t xml:space="preserve"> </w:t>
      </w:r>
      <w:r w:rsidR="00000000" w:rsidRPr="00423EE0">
        <w:rPr>
          <w:rFonts w:ascii="Arial" w:hAnsi="Arial" w:cs="Arial"/>
          <w:color w:val="000000" w:themeColor="text1"/>
        </w:rPr>
        <w:t xml:space="preserve">Repetition-detection thresholds, flag cut-offs, and the </w:t>
      </w:r>
      <w:proofErr w:type="spellStart"/>
      <w:r w:rsidR="00000000" w:rsidRPr="00423EE0">
        <w:rPr>
          <w:rFonts w:ascii="Arial" w:hAnsi="Arial" w:cs="Arial"/>
          <w:color w:val="000000" w:themeColor="text1"/>
        </w:rPr>
        <w:t>sit</w:t>
      </w:r>
      <w:proofErr w:type="spellEnd"/>
      <w:r w:rsidR="00000000" w:rsidRPr="00423EE0">
        <w:rPr>
          <w:rFonts w:ascii="Arial" w:hAnsi="Arial" w:cs="Arial"/>
          <w:color w:val="000000" w:themeColor="text1"/>
        </w:rPr>
        <w:t>-to-stand slow-time cut-off are reasonable engineering starting points, not clinically validated thresholds; several, such as the FTSTS slow-time cut-off, are explicitly marked in the implementation as requiring confirmation against established clinical norms during the pilot rather than being asserted here.</w:t>
      </w:r>
      <w:r>
        <w:rPr>
          <w:rFonts w:ascii="Arial" w:hAnsi="Arial" w:cs="Arial"/>
          <w:color w:val="000000" w:themeColor="text1"/>
        </w:rPr>
        <w:t xml:space="preserve"> </w:t>
      </w:r>
      <w:r w:rsidR="00000000" w:rsidRPr="00423EE0">
        <w:rPr>
          <w:rFonts w:ascii="Arial" w:hAnsi="Arial" w:cs="Arial"/>
          <w:color w:val="000000" w:themeColor="text1"/>
        </w:rPr>
        <w:t>The underlying literature corpus itself has known limitations that propagate into the evidence tiers: heterogeneous outcome metrics across studies, small and non-representative samples, and, as multiple reviewed papers note explicitly, insufficient testing in older adults and patients with mobility impairment, the population most relevant to Flexion's fall-risk and chronic-pain use cases.</w:t>
      </w:r>
      <w:r>
        <w:rPr>
          <w:rFonts w:ascii="Arial" w:hAnsi="Arial" w:cs="Arial"/>
          <w:color w:val="000000" w:themeColor="text1"/>
        </w:rPr>
        <w:t xml:space="preserve"> Lastly, this study</w:t>
      </w:r>
      <w:r w:rsidR="00000000" w:rsidRPr="00423EE0">
        <w:rPr>
          <w:rFonts w:ascii="Arial" w:hAnsi="Arial" w:cs="Arial"/>
          <w:color w:val="000000" w:themeColor="text1"/>
        </w:rPr>
        <w:t xml:space="preserve"> presents no human-subject data; all reported validation is software-level. The clinical protocol proposed above is a design, not an executed study, and would require research ethics committee approval prior to any patient enrolment.</w:t>
      </w:r>
    </w:p>
    <w:p w14:paraId="4C5F73C2" w14:textId="77777777" w:rsidR="0079631A" w:rsidRPr="00423EE0" w:rsidRDefault="00000000">
      <w:pPr>
        <w:pStyle w:val="Heading2"/>
        <w:spacing w:before="220" w:after="100"/>
        <w:rPr>
          <w:rFonts w:ascii="Arial" w:hAnsi="Arial" w:cs="Arial"/>
          <w:color w:val="000000" w:themeColor="text1"/>
        </w:rPr>
      </w:pPr>
      <w:r w:rsidRPr="00423EE0">
        <w:rPr>
          <w:rFonts w:ascii="Arial" w:eastAsia="Cambria" w:hAnsi="Arial" w:cs="Arial"/>
          <w:b/>
          <w:bCs/>
          <w:color w:val="000000" w:themeColor="text1"/>
          <w:sz w:val="22"/>
          <w:szCs w:val="22"/>
        </w:rPr>
        <w:t>Conclusions</w:t>
      </w:r>
    </w:p>
    <w:p w14:paraId="04E8AF20"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 xml:space="preserve">Flexion demonstrates that a remote movement screening system can be built to represent, rather than obscure, the well-documented heterogeneity of single-camera </w:t>
      </w:r>
      <w:proofErr w:type="spellStart"/>
      <w:r w:rsidRPr="00423EE0">
        <w:rPr>
          <w:rFonts w:ascii="Arial" w:hAnsi="Arial" w:cs="Arial"/>
          <w:color w:val="000000" w:themeColor="text1"/>
        </w:rPr>
        <w:t>markerless</w:t>
      </w:r>
      <w:proofErr w:type="spellEnd"/>
      <w:r w:rsidRPr="00423EE0">
        <w:rPr>
          <w:rFonts w:ascii="Arial" w:hAnsi="Arial" w:cs="Arial"/>
          <w:color w:val="000000" w:themeColor="text1"/>
        </w:rPr>
        <w:t xml:space="preserve"> motion capture accuracy. By deriving a per-movement evidence tier directly from a structured literature synthesis, and by restricting or redesigning specific metrics, most notably sit-to-stand, where that synthesis identifies a known accuracy limitation, the system aims to earn clinical trust incrementally and transparently rather than asserting it uniformly. The next required step is the concurrent-validity pilot outlined above, which would convert the evidence tiers described here from a synthesis of the published literature into a product-specific, and revisable, clinical validation.</w:t>
      </w:r>
    </w:p>
    <w:p w14:paraId="6D930356" w14:textId="77777777" w:rsidR="0079631A" w:rsidRPr="00423EE0" w:rsidRDefault="00000000">
      <w:pPr>
        <w:pStyle w:val="Heading1"/>
        <w:spacing w:before="340" w:after="140"/>
        <w:rPr>
          <w:rFonts w:ascii="Arial" w:hAnsi="Arial" w:cs="Arial"/>
          <w:color w:val="000000" w:themeColor="text1"/>
        </w:rPr>
      </w:pPr>
      <w:r w:rsidRPr="00423EE0">
        <w:rPr>
          <w:rFonts w:ascii="Arial" w:eastAsia="Cambria" w:hAnsi="Arial" w:cs="Arial"/>
          <w:b/>
          <w:bCs/>
          <w:color w:val="000000" w:themeColor="text1"/>
          <w:sz w:val="25"/>
          <w:szCs w:val="25"/>
        </w:rPr>
        <w:t>Acknowledgments</w:t>
      </w:r>
    </w:p>
    <w:p w14:paraId="3BF3FA98"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Not applicable.</w:t>
      </w:r>
    </w:p>
    <w:p w14:paraId="19E178E8" w14:textId="77777777" w:rsidR="0079631A" w:rsidRPr="00423EE0" w:rsidRDefault="00000000">
      <w:pPr>
        <w:pStyle w:val="Heading1"/>
        <w:spacing w:before="340" w:after="140"/>
        <w:rPr>
          <w:rFonts w:ascii="Arial" w:hAnsi="Arial" w:cs="Arial"/>
          <w:color w:val="000000" w:themeColor="text1"/>
        </w:rPr>
      </w:pPr>
      <w:r w:rsidRPr="00423EE0">
        <w:rPr>
          <w:rFonts w:ascii="Arial" w:eastAsia="Cambria" w:hAnsi="Arial" w:cs="Arial"/>
          <w:b/>
          <w:bCs/>
          <w:color w:val="000000" w:themeColor="text1"/>
          <w:sz w:val="25"/>
          <w:szCs w:val="25"/>
        </w:rPr>
        <w:t>Funding Statement</w:t>
      </w:r>
    </w:p>
    <w:p w14:paraId="79E80E08"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No external funding was received for this prototype development and technical report.</w:t>
      </w:r>
    </w:p>
    <w:p w14:paraId="566F3A1F" w14:textId="77777777" w:rsidR="0079631A" w:rsidRPr="00423EE0" w:rsidRDefault="00000000">
      <w:pPr>
        <w:pStyle w:val="Heading1"/>
        <w:spacing w:before="340" w:after="140"/>
        <w:rPr>
          <w:rFonts w:ascii="Arial" w:hAnsi="Arial" w:cs="Arial"/>
          <w:color w:val="000000" w:themeColor="text1"/>
        </w:rPr>
      </w:pPr>
      <w:r w:rsidRPr="00423EE0">
        <w:rPr>
          <w:rFonts w:ascii="Arial" w:eastAsia="Cambria" w:hAnsi="Arial" w:cs="Arial"/>
          <w:b/>
          <w:bCs/>
          <w:color w:val="000000" w:themeColor="text1"/>
          <w:sz w:val="25"/>
          <w:szCs w:val="25"/>
        </w:rPr>
        <w:t>Conflicts of Interest</w:t>
      </w:r>
    </w:p>
    <w:p w14:paraId="0415A2CA"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None declared.</w:t>
      </w:r>
    </w:p>
    <w:p w14:paraId="4D12C599" w14:textId="77777777" w:rsidR="0079631A" w:rsidRPr="00423EE0" w:rsidRDefault="00000000">
      <w:pPr>
        <w:pStyle w:val="Heading1"/>
        <w:spacing w:before="340" w:after="140"/>
        <w:rPr>
          <w:rFonts w:ascii="Arial" w:hAnsi="Arial" w:cs="Arial"/>
          <w:color w:val="000000" w:themeColor="text1"/>
        </w:rPr>
      </w:pPr>
      <w:r w:rsidRPr="00423EE0">
        <w:rPr>
          <w:rFonts w:ascii="Arial" w:eastAsia="Cambria" w:hAnsi="Arial" w:cs="Arial"/>
          <w:b/>
          <w:bCs/>
          <w:color w:val="000000" w:themeColor="text1"/>
          <w:sz w:val="25"/>
          <w:szCs w:val="25"/>
        </w:rPr>
        <w:lastRenderedPageBreak/>
        <w:t>Data Availability</w:t>
      </w:r>
    </w:p>
    <w:p w14:paraId="64334A7C"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The scoring engine, unit tests, capture client, and provider dashboard described in this report, together with the full literature synthesis underlying Table 2, are available from the corresponding author on reasonable request.</w:t>
      </w:r>
    </w:p>
    <w:p w14:paraId="1EBD50F7" w14:textId="77777777" w:rsidR="0079631A" w:rsidRPr="00423EE0" w:rsidRDefault="00000000">
      <w:pPr>
        <w:pStyle w:val="Heading1"/>
        <w:spacing w:before="340" w:after="140"/>
        <w:rPr>
          <w:rFonts w:ascii="Arial" w:hAnsi="Arial" w:cs="Arial"/>
          <w:color w:val="000000" w:themeColor="text1"/>
        </w:rPr>
      </w:pPr>
      <w:r w:rsidRPr="00423EE0">
        <w:rPr>
          <w:rFonts w:ascii="Arial" w:eastAsia="Cambria" w:hAnsi="Arial" w:cs="Arial"/>
          <w:b/>
          <w:bCs/>
          <w:color w:val="000000" w:themeColor="text1"/>
          <w:sz w:val="25"/>
          <w:szCs w:val="25"/>
        </w:rPr>
        <w:t>Author Contributions</w:t>
      </w:r>
    </w:p>
    <w:p w14:paraId="5FD7C601" w14:textId="77777777" w:rsidR="0079631A" w:rsidRPr="00423EE0" w:rsidRDefault="00000000">
      <w:pPr>
        <w:spacing w:after="160" w:line="288" w:lineRule="auto"/>
        <w:jc w:val="both"/>
        <w:rPr>
          <w:rFonts w:ascii="Arial" w:hAnsi="Arial" w:cs="Arial"/>
          <w:color w:val="000000" w:themeColor="text1"/>
        </w:rPr>
      </w:pPr>
      <w:r w:rsidRPr="00423EE0">
        <w:rPr>
          <w:rFonts w:ascii="Arial" w:hAnsi="Arial" w:cs="Arial"/>
          <w:color w:val="000000" w:themeColor="text1"/>
        </w:rPr>
        <w:t>AO conceived the study, designed the system architecture and scoring methodology, conducted the literature synthesis, implemented and validated the software, and drafted and approved the final manuscript.</w:t>
      </w:r>
    </w:p>
    <w:p w14:paraId="73D40FFE" w14:textId="77777777" w:rsidR="0079631A" w:rsidRPr="00423EE0" w:rsidRDefault="00000000">
      <w:pPr>
        <w:pStyle w:val="Heading1"/>
        <w:spacing w:before="340" w:after="140"/>
        <w:rPr>
          <w:rFonts w:ascii="Arial" w:hAnsi="Arial" w:cs="Arial"/>
          <w:color w:val="000000" w:themeColor="text1"/>
        </w:rPr>
      </w:pPr>
      <w:r w:rsidRPr="00423EE0">
        <w:rPr>
          <w:rFonts w:ascii="Arial" w:eastAsia="Cambria" w:hAnsi="Arial" w:cs="Arial"/>
          <w:b/>
          <w:bCs/>
          <w:color w:val="000000" w:themeColor="text1"/>
          <w:sz w:val="25"/>
          <w:szCs w:val="25"/>
        </w:rPr>
        <w:t>Abbreviations</w:t>
      </w:r>
    </w:p>
    <w:p w14:paraId="2976783D"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EHR: electronic health record</w:t>
      </w:r>
    </w:p>
    <w:p w14:paraId="40EF8477"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FHIR: Fast Healthcare Interoperability Resources</w:t>
      </w:r>
    </w:p>
    <w:p w14:paraId="3FB9ADEF"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FTSTS: Five-Times-Sit-to-Stand</w:t>
      </w:r>
    </w:p>
    <w:p w14:paraId="51528875"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ICC: intraclass correlation coefficient</w:t>
      </w:r>
    </w:p>
    <w:p w14:paraId="6649DA27"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MSK: musculoskeletal</w:t>
      </w:r>
    </w:p>
    <w:p w14:paraId="3A42E85A"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RMSE: root-mean-square error</w:t>
      </w:r>
    </w:p>
    <w:p w14:paraId="33D8AAE6"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ROM: range of motion</w:t>
      </w:r>
    </w:p>
    <w:p w14:paraId="1A210A1B" w14:textId="77777777" w:rsidR="0079631A" w:rsidRPr="00423EE0" w:rsidRDefault="00000000">
      <w:pPr>
        <w:pStyle w:val="ListParagraph"/>
        <w:numPr>
          <w:ilvl w:val="0"/>
          <w:numId w:val="2"/>
        </w:numPr>
        <w:spacing w:after="90" w:line="276" w:lineRule="auto"/>
        <w:rPr>
          <w:rFonts w:ascii="Arial" w:hAnsi="Arial" w:cs="Arial"/>
          <w:color w:val="000000" w:themeColor="text1"/>
        </w:rPr>
      </w:pPr>
      <w:r w:rsidRPr="00423EE0">
        <w:rPr>
          <w:rFonts w:ascii="Arial" w:hAnsi="Arial" w:cs="Arial"/>
          <w:color w:val="000000" w:themeColor="text1"/>
        </w:rPr>
        <w:t>RTM: Remote Therapeutic Monitoring</w:t>
      </w:r>
    </w:p>
    <w:p w14:paraId="008D6B67" w14:textId="77777777" w:rsidR="0079631A" w:rsidRPr="00423EE0" w:rsidRDefault="00000000">
      <w:pPr>
        <w:pStyle w:val="Heading1"/>
        <w:spacing w:before="320" w:after="160"/>
        <w:rPr>
          <w:rFonts w:ascii="Arial" w:hAnsi="Arial" w:cs="Arial"/>
          <w:color w:val="000000" w:themeColor="text1"/>
        </w:rPr>
      </w:pPr>
      <w:r w:rsidRPr="00423EE0">
        <w:rPr>
          <w:rFonts w:ascii="Arial" w:eastAsia="Cambria" w:hAnsi="Arial" w:cs="Arial"/>
          <w:b/>
          <w:bCs/>
          <w:color w:val="000000" w:themeColor="text1"/>
          <w:sz w:val="25"/>
          <w:szCs w:val="25"/>
        </w:rPr>
        <w:t>References</w:t>
      </w:r>
    </w:p>
    <w:p w14:paraId="4C5E0DBB"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 </w:t>
      </w:r>
      <w:r w:rsidRPr="00423EE0">
        <w:rPr>
          <w:rFonts w:ascii="Arial" w:hAnsi="Arial" w:cs="Arial"/>
          <w:color w:val="000000" w:themeColor="text1"/>
          <w:sz w:val="19"/>
          <w:szCs w:val="19"/>
        </w:rPr>
        <w:t>Johnson MA, Khilnani TK, Hyun A, et al. The state of telemedicine, telerehabilitation, and virtual care in musculoskeletal health: a narrative review. HSS J. 2025. doi:10.1177/15563316251341229</w:t>
      </w:r>
    </w:p>
    <w:p w14:paraId="4F41AB6E"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2. </w:t>
      </w:r>
      <w:r w:rsidRPr="00423EE0">
        <w:rPr>
          <w:rFonts w:ascii="Arial" w:hAnsi="Arial" w:cs="Arial"/>
          <w:color w:val="000000" w:themeColor="text1"/>
          <w:sz w:val="19"/>
          <w:szCs w:val="19"/>
        </w:rPr>
        <w:t xml:space="preserve">Laskowski E, Johnson SE, </w:t>
      </w:r>
      <w:proofErr w:type="spellStart"/>
      <w:r w:rsidRPr="00423EE0">
        <w:rPr>
          <w:rFonts w:ascii="Arial" w:hAnsi="Arial" w:cs="Arial"/>
          <w:color w:val="000000" w:themeColor="text1"/>
          <w:sz w:val="19"/>
          <w:szCs w:val="19"/>
        </w:rPr>
        <w:t>Shelerud</w:t>
      </w:r>
      <w:proofErr w:type="spellEnd"/>
      <w:r w:rsidRPr="00423EE0">
        <w:rPr>
          <w:rFonts w:ascii="Arial" w:hAnsi="Arial" w:cs="Arial"/>
          <w:color w:val="000000" w:themeColor="text1"/>
          <w:sz w:val="19"/>
          <w:szCs w:val="19"/>
        </w:rPr>
        <w:t xml:space="preserve"> R, et al. The telemedicine musculoskeletal examination. Mayo Clin Proc. 2020. </w:t>
      </w:r>
      <w:proofErr w:type="gramStart"/>
      <w:r w:rsidRPr="00423EE0">
        <w:rPr>
          <w:rFonts w:ascii="Arial" w:hAnsi="Arial" w:cs="Arial"/>
          <w:color w:val="000000" w:themeColor="text1"/>
          <w:sz w:val="19"/>
          <w:szCs w:val="19"/>
        </w:rPr>
        <w:t>doi:10.1016/j.mayocp</w:t>
      </w:r>
      <w:proofErr w:type="gramEnd"/>
      <w:r w:rsidRPr="00423EE0">
        <w:rPr>
          <w:rFonts w:ascii="Arial" w:hAnsi="Arial" w:cs="Arial"/>
          <w:color w:val="000000" w:themeColor="text1"/>
          <w:sz w:val="19"/>
          <w:szCs w:val="19"/>
        </w:rPr>
        <w:t>.2020.05.026</w:t>
      </w:r>
    </w:p>
    <w:p w14:paraId="255A80DE"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3. </w:t>
      </w:r>
      <w:r w:rsidRPr="00423EE0">
        <w:rPr>
          <w:rFonts w:ascii="Arial" w:hAnsi="Arial" w:cs="Arial"/>
          <w:color w:val="000000" w:themeColor="text1"/>
          <w:sz w:val="19"/>
          <w:szCs w:val="19"/>
        </w:rPr>
        <w:t>Tanaka MJ, Oh L, Martin S, Berkson E. Telemedicine in the era of COVID-19. J Bone Joint Surg Am. 2020. doi:10.2106/jbjs.20.00609</w:t>
      </w:r>
    </w:p>
    <w:p w14:paraId="1C0E7953"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4. </w:t>
      </w:r>
      <w:r w:rsidRPr="00423EE0">
        <w:rPr>
          <w:rFonts w:ascii="Arial" w:hAnsi="Arial" w:cs="Arial"/>
          <w:color w:val="000000" w:themeColor="text1"/>
          <w:sz w:val="19"/>
          <w:szCs w:val="19"/>
        </w:rPr>
        <w:t xml:space="preserve">Chakka K, Wu R, Belko S, </w:t>
      </w:r>
      <w:proofErr w:type="spellStart"/>
      <w:r w:rsidRPr="00423EE0">
        <w:rPr>
          <w:rFonts w:ascii="Arial" w:hAnsi="Arial" w:cs="Arial"/>
          <w:color w:val="000000" w:themeColor="text1"/>
          <w:sz w:val="19"/>
          <w:szCs w:val="19"/>
        </w:rPr>
        <w:t>Annaswamy</w:t>
      </w:r>
      <w:proofErr w:type="spellEnd"/>
      <w:r w:rsidRPr="00423EE0">
        <w:rPr>
          <w:rFonts w:ascii="Arial" w:hAnsi="Arial" w:cs="Arial"/>
          <w:color w:val="000000" w:themeColor="text1"/>
          <w:sz w:val="19"/>
          <w:szCs w:val="19"/>
        </w:rPr>
        <w:t xml:space="preserve"> T. Determining gaps in current </w:t>
      </w:r>
      <w:proofErr w:type="spellStart"/>
      <w:r w:rsidRPr="00423EE0">
        <w:rPr>
          <w:rFonts w:ascii="Arial" w:hAnsi="Arial" w:cs="Arial"/>
          <w:color w:val="000000" w:themeColor="text1"/>
          <w:sz w:val="19"/>
          <w:szCs w:val="19"/>
        </w:rPr>
        <w:t>physiatric</w:t>
      </w:r>
      <w:proofErr w:type="spellEnd"/>
      <w:r w:rsidRPr="00423EE0">
        <w:rPr>
          <w:rFonts w:ascii="Arial" w:hAnsi="Arial" w:cs="Arial"/>
          <w:color w:val="000000" w:themeColor="text1"/>
          <w:sz w:val="19"/>
          <w:szCs w:val="19"/>
        </w:rPr>
        <w:t xml:space="preserve"> tele-physical assessments via a needs assessment survey. Am J Phys Med </w:t>
      </w:r>
      <w:proofErr w:type="spellStart"/>
      <w:r w:rsidRPr="00423EE0">
        <w:rPr>
          <w:rFonts w:ascii="Arial" w:hAnsi="Arial" w:cs="Arial"/>
          <w:color w:val="000000" w:themeColor="text1"/>
          <w:sz w:val="19"/>
          <w:szCs w:val="19"/>
        </w:rPr>
        <w:t>Rehabil</w:t>
      </w:r>
      <w:proofErr w:type="spellEnd"/>
      <w:r w:rsidRPr="00423EE0">
        <w:rPr>
          <w:rFonts w:ascii="Arial" w:hAnsi="Arial" w:cs="Arial"/>
          <w:color w:val="000000" w:themeColor="text1"/>
          <w:sz w:val="19"/>
          <w:szCs w:val="19"/>
        </w:rPr>
        <w:t>. 2023. doi:10.1097/phm.0000000000002175</w:t>
      </w:r>
    </w:p>
    <w:p w14:paraId="7251333A"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5. </w:t>
      </w:r>
      <w:r w:rsidRPr="00423EE0">
        <w:rPr>
          <w:rFonts w:ascii="Arial" w:hAnsi="Arial" w:cs="Arial"/>
          <w:color w:val="000000" w:themeColor="text1"/>
          <w:sz w:val="19"/>
          <w:szCs w:val="19"/>
        </w:rPr>
        <w:t xml:space="preserve">Zischke C, Simas V, Hing W, Milne N, Spittle A, Pope R. The utility of physiotherapy assessments delivered by telehealth: a systematic review. J Glob Health. </w:t>
      </w:r>
      <w:proofErr w:type="gramStart"/>
      <w:r w:rsidRPr="00423EE0">
        <w:rPr>
          <w:rFonts w:ascii="Arial" w:hAnsi="Arial" w:cs="Arial"/>
          <w:color w:val="000000" w:themeColor="text1"/>
          <w:sz w:val="19"/>
          <w:szCs w:val="19"/>
        </w:rPr>
        <w:t>2021;11:04072</w:t>
      </w:r>
      <w:proofErr w:type="gramEnd"/>
      <w:r w:rsidRPr="00423EE0">
        <w:rPr>
          <w:rFonts w:ascii="Arial" w:hAnsi="Arial" w:cs="Arial"/>
          <w:color w:val="000000" w:themeColor="text1"/>
          <w:sz w:val="19"/>
          <w:szCs w:val="19"/>
        </w:rPr>
        <w:t>. doi:10.7189/jogh.11.04072</w:t>
      </w:r>
    </w:p>
    <w:p w14:paraId="30271C40"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6. </w:t>
      </w:r>
      <w:r w:rsidRPr="00423EE0">
        <w:rPr>
          <w:rFonts w:ascii="Arial" w:hAnsi="Arial" w:cs="Arial"/>
          <w:color w:val="000000" w:themeColor="text1"/>
          <w:sz w:val="19"/>
          <w:szCs w:val="19"/>
        </w:rPr>
        <w:t xml:space="preserve">Wade L, Needham L, McGuigan P, Bilzon J. Applications and limitations of current </w:t>
      </w:r>
      <w:proofErr w:type="spellStart"/>
      <w:r w:rsidRPr="00423EE0">
        <w:rPr>
          <w:rFonts w:ascii="Arial" w:hAnsi="Arial" w:cs="Arial"/>
          <w:color w:val="000000" w:themeColor="text1"/>
          <w:sz w:val="19"/>
          <w:szCs w:val="19"/>
        </w:rPr>
        <w:t>markerless</w:t>
      </w:r>
      <w:proofErr w:type="spellEnd"/>
      <w:r w:rsidRPr="00423EE0">
        <w:rPr>
          <w:rFonts w:ascii="Arial" w:hAnsi="Arial" w:cs="Arial"/>
          <w:color w:val="000000" w:themeColor="text1"/>
          <w:sz w:val="19"/>
          <w:szCs w:val="19"/>
        </w:rPr>
        <w:t xml:space="preserve"> motion capture methods for clinical gait biomechanics. </w:t>
      </w:r>
      <w:proofErr w:type="spellStart"/>
      <w:r w:rsidRPr="00423EE0">
        <w:rPr>
          <w:rFonts w:ascii="Arial" w:hAnsi="Arial" w:cs="Arial"/>
          <w:color w:val="000000" w:themeColor="text1"/>
          <w:sz w:val="19"/>
          <w:szCs w:val="19"/>
        </w:rPr>
        <w:t>PeerJ</w:t>
      </w:r>
      <w:proofErr w:type="spellEnd"/>
      <w:r w:rsidRPr="00423EE0">
        <w:rPr>
          <w:rFonts w:ascii="Arial" w:hAnsi="Arial" w:cs="Arial"/>
          <w:color w:val="000000" w:themeColor="text1"/>
          <w:sz w:val="19"/>
          <w:szCs w:val="19"/>
        </w:rPr>
        <w:t>. 2022;</w:t>
      </w:r>
      <w:proofErr w:type="gramStart"/>
      <w:r w:rsidRPr="00423EE0">
        <w:rPr>
          <w:rFonts w:ascii="Arial" w:hAnsi="Arial" w:cs="Arial"/>
          <w:color w:val="000000" w:themeColor="text1"/>
          <w:sz w:val="19"/>
          <w:szCs w:val="19"/>
        </w:rPr>
        <w:t>10:e</w:t>
      </w:r>
      <w:proofErr w:type="gramEnd"/>
      <w:r w:rsidRPr="00423EE0">
        <w:rPr>
          <w:rFonts w:ascii="Arial" w:hAnsi="Arial" w:cs="Arial"/>
          <w:color w:val="000000" w:themeColor="text1"/>
          <w:sz w:val="19"/>
          <w:szCs w:val="19"/>
        </w:rPr>
        <w:t>12995. doi:10.7717/peerj.12995</w:t>
      </w:r>
    </w:p>
    <w:p w14:paraId="6773978B"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7. </w:t>
      </w:r>
      <w:r w:rsidRPr="00423EE0">
        <w:rPr>
          <w:rFonts w:ascii="Arial" w:hAnsi="Arial" w:cs="Arial"/>
          <w:color w:val="000000" w:themeColor="text1"/>
          <w:sz w:val="19"/>
          <w:szCs w:val="19"/>
        </w:rPr>
        <w:t xml:space="preserve">Scott B, Blana D, Chadwick E, Philp F, </w:t>
      </w:r>
      <w:proofErr w:type="spellStart"/>
      <w:r w:rsidRPr="00423EE0">
        <w:rPr>
          <w:rFonts w:ascii="Arial" w:hAnsi="Arial" w:cs="Arial"/>
          <w:color w:val="000000" w:themeColor="text1"/>
          <w:sz w:val="19"/>
          <w:szCs w:val="19"/>
        </w:rPr>
        <w:t>Seyres</w:t>
      </w:r>
      <w:proofErr w:type="spellEnd"/>
      <w:r w:rsidRPr="00423EE0">
        <w:rPr>
          <w:rFonts w:ascii="Arial" w:hAnsi="Arial" w:cs="Arial"/>
          <w:color w:val="000000" w:themeColor="text1"/>
          <w:sz w:val="19"/>
          <w:szCs w:val="19"/>
        </w:rPr>
        <w:t xml:space="preserve"> M. Healthcare applications of single camera </w:t>
      </w:r>
      <w:proofErr w:type="spellStart"/>
      <w:r w:rsidRPr="00423EE0">
        <w:rPr>
          <w:rFonts w:ascii="Arial" w:hAnsi="Arial" w:cs="Arial"/>
          <w:color w:val="000000" w:themeColor="text1"/>
          <w:sz w:val="19"/>
          <w:szCs w:val="19"/>
        </w:rPr>
        <w:t>markerless</w:t>
      </w:r>
      <w:proofErr w:type="spellEnd"/>
      <w:r w:rsidRPr="00423EE0">
        <w:rPr>
          <w:rFonts w:ascii="Arial" w:hAnsi="Arial" w:cs="Arial"/>
          <w:color w:val="000000" w:themeColor="text1"/>
          <w:sz w:val="19"/>
          <w:szCs w:val="19"/>
        </w:rPr>
        <w:t xml:space="preserve"> motion capture: a scoping review. </w:t>
      </w:r>
      <w:proofErr w:type="spellStart"/>
      <w:r w:rsidRPr="00423EE0">
        <w:rPr>
          <w:rFonts w:ascii="Arial" w:hAnsi="Arial" w:cs="Arial"/>
          <w:color w:val="000000" w:themeColor="text1"/>
          <w:sz w:val="19"/>
          <w:szCs w:val="19"/>
        </w:rPr>
        <w:t>PeerJ</w:t>
      </w:r>
      <w:proofErr w:type="spellEnd"/>
      <w:r w:rsidRPr="00423EE0">
        <w:rPr>
          <w:rFonts w:ascii="Arial" w:hAnsi="Arial" w:cs="Arial"/>
          <w:color w:val="000000" w:themeColor="text1"/>
          <w:sz w:val="19"/>
          <w:szCs w:val="19"/>
        </w:rPr>
        <w:t>. 2022;</w:t>
      </w:r>
      <w:proofErr w:type="gramStart"/>
      <w:r w:rsidRPr="00423EE0">
        <w:rPr>
          <w:rFonts w:ascii="Arial" w:hAnsi="Arial" w:cs="Arial"/>
          <w:color w:val="000000" w:themeColor="text1"/>
          <w:sz w:val="19"/>
          <w:szCs w:val="19"/>
        </w:rPr>
        <w:t>10:e</w:t>
      </w:r>
      <w:proofErr w:type="gramEnd"/>
      <w:r w:rsidRPr="00423EE0">
        <w:rPr>
          <w:rFonts w:ascii="Arial" w:hAnsi="Arial" w:cs="Arial"/>
          <w:color w:val="000000" w:themeColor="text1"/>
          <w:sz w:val="19"/>
          <w:szCs w:val="19"/>
        </w:rPr>
        <w:t>13517. doi:10.7717/peerj.13517</w:t>
      </w:r>
    </w:p>
    <w:p w14:paraId="58899699"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8. </w:t>
      </w:r>
      <w:proofErr w:type="spellStart"/>
      <w:r w:rsidRPr="00423EE0">
        <w:rPr>
          <w:rFonts w:ascii="Arial" w:hAnsi="Arial" w:cs="Arial"/>
          <w:color w:val="000000" w:themeColor="text1"/>
          <w:sz w:val="19"/>
          <w:szCs w:val="19"/>
        </w:rPr>
        <w:t>Scataglini</w:t>
      </w:r>
      <w:proofErr w:type="spellEnd"/>
      <w:r w:rsidRPr="00423EE0">
        <w:rPr>
          <w:rFonts w:ascii="Arial" w:hAnsi="Arial" w:cs="Arial"/>
          <w:color w:val="000000" w:themeColor="text1"/>
          <w:sz w:val="19"/>
          <w:szCs w:val="19"/>
        </w:rPr>
        <w:t xml:space="preserve"> S, Abts E, Van </w:t>
      </w:r>
      <w:proofErr w:type="spellStart"/>
      <w:r w:rsidRPr="00423EE0">
        <w:rPr>
          <w:rFonts w:ascii="Arial" w:hAnsi="Arial" w:cs="Arial"/>
          <w:color w:val="000000" w:themeColor="text1"/>
          <w:sz w:val="19"/>
          <w:szCs w:val="19"/>
        </w:rPr>
        <w:t>Bocxlaer</w:t>
      </w:r>
      <w:proofErr w:type="spellEnd"/>
      <w:r w:rsidRPr="00423EE0">
        <w:rPr>
          <w:rFonts w:ascii="Arial" w:hAnsi="Arial" w:cs="Arial"/>
          <w:color w:val="000000" w:themeColor="text1"/>
          <w:sz w:val="19"/>
          <w:szCs w:val="19"/>
        </w:rPr>
        <w:t xml:space="preserve"> C, Van den </w:t>
      </w:r>
      <w:proofErr w:type="spellStart"/>
      <w:r w:rsidRPr="00423EE0">
        <w:rPr>
          <w:rFonts w:ascii="Arial" w:hAnsi="Arial" w:cs="Arial"/>
          <w:color w:val="000000" w:themeColor="text1"/>
          <w:sz w:val="19"/>
          <w:szCs w:val="19"/>
        </w:rPr>
        <w:t>Bussche</w:t>
      </w:r>
      <w:proofErr w:type="spellEnd"/>
      <w:r w:rsidRPr="00423EE0">
        <w:rPr>
          <w:rFonts w:ascii="Arial" w:hAnsi="Arial" w:cs="Arial"/>
          <w:color w:val="000000" w:themeColor="text1"/>
          <w:sz w:val="19"/>
          <w:szCs w:val="19"/>
        </w:rPr>
        <w:t xml:space="preserve"> M, </w:t>
      </w:r>
      <w:proofErr w:type="spellStart"/>
      <w:r w:rsidRPr="00423EE0">
        <w:rPr>
          <w:rFonts w:ascii="Arial" w:hAnsi="Arial" w:cs="Arial"/>
          <w:color w:val="000000" w:themeColor="text1"/>
          <w:sz w:val="19"/>
          <w:szCs w:val="19"/>
        </w:rPr>
        <w:t>Meletani</w:t>
      </w:r>
      <w:proofErr w:type="spellEnd"/>
      <w:r w:rsidRPr="00423EE0">
        <w:rPr>
          <w:rFonts w:ascii="Arial" w:hAnsi="Arial" w:cs="Arial"/>
          <w:color w:val="000000" w:themeColor="text1"/>
          <w:sz w:val="19"/>
          <w:szCs w:val="19"/>
        </w:rPr>
        <w:t xml:space="preserve"> S, </w:t>
      </w:r>
      <w:proofErr w:type="spellStart"/>
      <w:r w:rsidRPr="00423EE0">
        <w:rPr>
          <w:rFonts w:ascii="Arial" w:hAnsi="Arial" w:cs="Arial"/>
          <w:color w:val="000000" w:themeColor="text1"/>
          <w:sz w:val="19"/>
          <w:szCs w:val="19"/>
        </w:rPr>
        <w:t>Truijen</w:t>
      </w:r>
      <w:proofErr w:type="spellEnd"/>
      <w:r w:rsidRPr="00423EE0">
        <w:rPr>
          <w:rFonts w:ascii="Arial" w:hAnsi="Arial" w:cs="Arial"/>
          <w:color w:val="000000" w:themeColor="text1"/>
          <w:sz w:val="19"/>
          <w:szCs w:val="19"/>
        </w:rPr>
        <w:t xml:space="preserve"> S. Accuracy, validity, and reliability of </w:t>
      </w:r>
      <w:proofErr w:type="spellStart"/>
      <w:r w:rsidRPr="00423EE0">
        <w:rPr>
          <w:rFonts w:ascii="Arial" w:hAnsi="Arial" w:cs="Arial"/>
          <w:color w:val="000000" w:themeColor="text1"/>
          <w:sz w:val="19"/>
          <w:szCs w:val="19"/>
        </w:rPr>
        <w:t>markerless</w:t>
      </w:r>
      <w:proofErr w:type="spellEnd"/>
      <w:r w:rsidRPr="00423EE0">
        <w:rPr>
          <w:rFonts w:ascii="Arial" w:hAnsi="Arial" w:cs="Arial"/>
          <w:color w:val="000000" w:themeColor="text1"/>
          <w:sz w:val="19"/>
          <w:szCs w:val="19"/>
        </w:rPr>
        <w:t xml:space="preserve"> camera-based 3D motion capture systems versus marker-based 3D motion capture systems in gait analysis: a systematic review and meta-analysis. Sensors (Basel). 2024;24(11):3686. doi:10.3390/s24113686</w:t>
      </w:r>
    </w:p>
    <w:p w14:paraId="31634306"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9. </w:t>
      </w:r>
      <w:r w:rsidRPr="00423EE0">
        <w:rPr>
          <w:rFonts w:ascii="Arial" w:hAnsi="Arial" w:cs="Arial"/>
          <w:color w:val="000000" w:themeColor="text1"/>
          <w:sz w:val="19"/>
          <w:szCs w:val="19"/>
        </w:rPr>
        <w:t xml:space="preserve">Ruder M, Malek M, Gafoor F, Di Bacco VD, </w:t>
      </w:r>
      <w:proofErr w:type="spellStart"/>
      <w:r w:rsidRPr="00423EE0">
        <w:rPr>
          <w:rFonts w:ascii="Arial" w:hAnsi="Arial" w:cs="Arial"/>
          <w:color w:val="000000" w:themeColor="text1"/>
          <w:sz w:val="19"/>
          <w:szCs w:val="19"/>
        </w:rPr>
        <w:t>Outerleys</w:t>
      </w:r>
      <w:proofErr w:type="spellEnd"/>
      <w:r w:rsidRPr="00423EE0">
        <w:rPr>
          <w:rFonts w:ascii="Arial" w:hAnsi="Arial" w:cs="Arial"/>
          <w:color w:val="000000" w:themeColor="text1"/>
          <w:sz w:val="19"/>
          <w:szCs w:val="19"/>
        </w:rPr>
        <w:t xml:space="preserve"> J, </w:t>
      </w:r>
      <w:proofErr w:type="spellStart"/>
      <w:r w:rsidRPr="00423EE0">
        <w:rPr>
          <w:rFonts w:ascii="Arial" w:hAnsi="Arial" w:cs="Arial"/>
          <w:color w:val="000000" w:themeColor="text1"/>
          <w:sz w:val="19"/>
          <w:szCs w:val="19"/>
        </w:rPr>
        <w:t>Laende</w:t>
      </w:r>
      <w:proofErr w:type="spellEnd"/>
      <w:r w:rsidRPr="00423EE0">
        <w:rPr>
          <w:rFonts w:ascii="Arial" w:hAnsi="Arial" w:cs="Arial"/>
          <w:color w:val="000000" w:themeColor="text1"/>
          <w:sz w:val="19"/>
          <w:szCs w:val="19"/>
        </w:rPr>
        <w:t xml:space="preserve"> E. Evaluating the reliability of </w:t>
      </w:r>
      <w:proofErr w:type="spellStart"/>
      <w:r w:rsidRPr="00423EE0">
        <w:rPr>
          <w:rFonts w:ascii="Arial" w:hAnsi="Arial" w:cs="Arial"/>
          <w:color w:val="000000" w:themeColor="text1"/>
          <w:sz w:val="19"/>
          <w:szCs w:val="19"/>
        </w:rPr>
        <w:t>markerless</w:t>
      </w:r>
      <w:proofErr w:type="spellEnd"/>
      <w:r w:rsidRPr="00423EE0">
        <w:rPr>
          <w:rFonts w:ascii="Arial" w:hAnsi="Arial" w:cs="Arial"/>
          <w:color w:val="000000" w:themeColor="text1"/>
          <w:sz w:val="19"/>
          <w:szCs w:val="19"/>
        </w:rPr>
        <w:t xml:space="preserve"> motion capture for joint angle estimation in a clinical hallway setting compared to a traditional laboratory setting. </w:t>
      </w:r>
      <w:proofErr w:type="spellStart"/>
      <w:r w:rsidRPr="00423EE0">
        <w:rPr>
          <w:rFonts w:ascii="Arial" w:hAnsi="Arial" w:cs="Arial"/>
          <w:color w:val="000000" w:themeColor="text1"/>
          <w:sz w:val="19"/>
          <w:szCs w:val="19"/>
        </w:rPr>
        <w:t>Orthop</w:t>
      </w:r>
      <w:proofErr w:type="spellEnd"/>
      <w:r w:rsidRPr="00423EE0">
        <w:rPr>
          <w:rFonts w:ascii="Arial" w:hAnsi="Arial" w:cs="Arial"/>
          <w:color w:val="000000" w:themeColor="text1"/>
          <w:sz w:val="19"/>
          <w:szCs w:val="19"/>
        </w:rPr>
        <w:t xml:space="preserve"> Proc. 2026. doi:10.1302/1358-992x.2026.2.028</w:t>
      </w:r>
    </w:p>
    <w:p w14:paraId="480F160B"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lastRenderedPageBreak/>
        <w:t xml:space="preserve">10. </w:t>
      </w:r>
      <w:proofErr w:type="spellStart"/>
      <w:r w:rsidRPr="00423EE0">
        <w:rPr>
          <w:rFonts w:ascii="Arial" w:hAnsi="Arial" w:cs="Arial"/>
          <w:color w:val="000000" w:themeColor="text1"/>
          <w:sz w:val="19"/>
          <w:szCs w:val="19"/>
        </w:rPr>
        <w:t>Horsak</w:t>
      </w:r>
      <w:proofErr w:type="spellEnd"/>
      <w:r w:rsidRPr="00423EE0">
        <w:rPr>
          <w:rFonts w:ascii="Arial" w:hAnsi="Arial" w:cs="Arial"/>
          <w:color w:val="000000" w:themeColor="text1"/>
          <w:sz w:val="19"/>
          <w:szCs w:val="19"/>
        </w:rPr>
        <w:t xml:space="preserve"> B, Eichmann A, Lauer K, et al. Concurrent validity of smartphone-based </w:t>
      </w:r>
      <w:proofErr w:type="spellStart"/>
      <w:r w:rsidRPr="00423EE0">
        <w:rPr>
          <w:rFonts w:ascii="Arial" w:hAnsi="Arial" w:cs="Arial"/>
          <w:color w:val="000000" w:themeColor="text1"/>
          <w:sz w:val="19"/>
          <w:szCs w:val="19"/>
        </w:rPr>
        <w:t>markerless</w:t>
      </w:r>
      <w:proofErr w:type="spellEnd"/>
      <w:r w:rsidRPr="00423EE0">
        <w:rPr>
          <w:rFonts w:ascii="Arial" w:hAnsi="Arial" w:cs="Arial"/>
          <w:color w:val="000000" w:themeColor="text1"/>
          <w:sz w:val="19"/>
          <w:szCs w:val="19"/>
        </w:rPr>
        <w:t xml:space="preserve"> motion capturing to quantify lower-limb joint kinematics in healthy and pathological gait. J </w:t>
      </w:r>
      <w:proofErr w:type="spellStart"/>
      <w:r w:rsidRPr="00423EE0">
        <w:rPr>
          <w:rFonts w:ascii="Arial" w:hAnsi="Arial" w:cs="Arial"/>
          <w:color w:val="000000" w:themeColor="text1"/>
          <w:sz w:val="19"/>
          <w:szCs w:val="19"/>
        </w:rPr>
        <w:t>Biomech</w:t>
      </w:r>
      <w:proofErr w:type="spellEnd"/>
      <w:r w:rsidRPr="00423EE0">
        <w:rPr>
          <w:rFonts w:ascii="Arial" w:hAnsi="Arial" w:cs="Arial"/>
          <w:color w:val="000000" w:themeColor="text1"/>
          <w:sz w:val="19"/>
          <w:szCs w:val="19"/>
        </w:rPr>
        <w:t xml:space="preserve">. 2023. </w:t>
      </w:r>
      <w:proofErr w:type="gramStart"/>
      <w:r w:rsidRPr="00423EE0">
        <w:rPr>
          <w:rFonts w:ascii="Arial" w:hAnsi="Arial" w:cs="Arial"/>
          <w:color w:val="000000" w:themeColor="text1"/>
          <w:sz w:val="19"/>
          <w:szCs w:val="19"/>
        </w:rPr>
        <w:t>doi:10.1016/j.jbiomech</w:t>
      </w:r>
      <w:proofErr w:type="gramEnd"/>
      <w:r w:rsidRPr="00423EE0">
        <w:rPr>
          <w:rFonts w:ascii="Arial" w:hAnsi="Arial" w:cs="Arial"/>
          <w:color w:val="000000" w:themeColor="text1"/>
          <w:sz w:val="19"/>
          <w:szCs w:val="19"/>
        </w:rPr>
        <w:t>.2023.111801</w:t>
      </w:r>
    </w:p>
    <w:p w14:paraId="05CD8E2C"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11. </w:t>
      </w:r>
      <w:proofErr w:type="spellStart"/>
      <w:r w:rsidRPr="00423EE0">
        <w:rPr>
          <w:rFonts w:ascii="Arial" w:hAnsi="Arial" w:cs="Arial"/>
          <w:color w:val="000000" w:themeColor="text1"/>
          <w:sz w:val="19"/>
          <w:szCs w:val="19"/>
        </w:rPr>
        <w:t>Pratapneni</w:t>
      </w:r>
      <w:proofErr w:type="spellEnd"/>
      <w:r w:rsidRPr="00423EE0">
        <w:rPr>
          <w:rFonts w:ascii="Arial" w:hAnsi="Arial" w:cs="Arial"/>
          <w:color w:val="000000" w:themeColor="text1"/>
          <w:sz w:val="19"/>
          <w:szCs w:val="19"/>
        </w:rPr>
        <w:t xml:space="preserve"> A, Halvorson R, Silvestros P, Harris N, Bailey J. Validating single-camera pose estimation against multi-camera motion capture for accessible biomechanical assessment. IEEE Access. 2026. doi:10.1109/access.2026.3687207</w:t>
      </w:r>
    </w:p>
    <w:p w14:paraId="39D3F039"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12. </w:t>
      </w:r>
      <w:proofErr w:type="spellStart"/>
      <w:r w:rsidRPr="00423EE0">
        <w:rPr>
          <w:rFonts w:ascii="Arial" w:hAnsi="Arial" w:cs="Arial"/>
          <w:color w:val="000000" w:themeColor="text1"/>
          <w:sz w:val="19"/>
          <w:szCs w:val="19"/>
        </w:rPr>
        <w:t>Ettefagh</w:t>
      </w:r>
      <w:proofErr w:type="spellEnd"/>
      <w:r w:rsidRPr="00423EE0">
        <w:rPr>
          <w:rFonts w:ascii="Arial" w:hAnsi="Arial" w:cs="Arial"/>
          <w:color w:val="000000" w:themeColor="text1"/>
          <w:sz w:val="19"/>
          <w:szCs w:val="19"/>
        </w:rPr>
        <w:t xml:space="preserve"> A, Roshan </w:t>
      </w:r>
      <w:proofErr w:type="spellStart"/>
      <w:r w:rsidRPr="00423EE0">
        <w:rPr>
          <w:rFonts w:ascii="Arial" w:hAnsi="Arial" w:cs="Arial"/>
          <w:color w:val="000000" w:themeColor="text1"/>
          <w:sz w:val="19"/>
          <w:szCs w:val="19"/>
        </w:rPr>
        <w:t>Fekr</w:t>
      </w:r>
      <w:proofErr w:type="spellEnd"/>
      <w:r w:rsidRPr="00423EE0">
        <w:rPr>
          <w:rFonts w:ascii="Arial" w:hAnsi="Arial" w:cs="Arial"/>
          <w:color w:val="000000" w:themeColor="text1"/>
          <w:sz w:val="19"/>
          <w:szCs w:val="19"/>
        </w:rPr>
        <w:t xml:space="preserve"> A. Technological advances in lower-limb tele-rehabilitation: a review of literature. J Rehabil Assist Technol Eng. 2024. doi:10.1177/20556683241259256</w:t>
      </w:r>
    </w:p>
    <w:p w14:paraId="12B38411"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13. </w:t>
      </w:r>
      <w:r w:rsidRPr="00423EE0">
        <w:rPr>
          <w:rFonts w:ascii="Arial" w:hAnsi="Arial" w:cs="Arial"/>
          <w:color w:val="000000" w:themeColor="text1"/>
          <w:sz w:val="19"/>
          <w:szCs w:val="19"/>
        </w:rPr>
        <w:t xml:space="preserve">Lam WWT, Tang Y, Fong K. A systematic review of the applications of </w:t>
      </w:r>
      <w:proofErr w:type="spellStart"/>
      <w:r w:rsidRPr="00423EE0">
        <w:rPr>
          <w:rFonts w:ascii="Arial" w:hAnsi="Arial" w:cs="Arial"/>
          <w:color w:val="000000" w:themeColor="text1"/>
          <w:sz w:val="19"/>
          <w:szCs w:val="19"/>
        </w:rPr>
        <w:t>markerless</w:t>
      </w:r>
      <w:proofErr w:type="spellEnd"/>
      <w:r w:rsidRPr="00423EE0">
        <w:rPr>
          <w:rFonts w:ascii="Arial" w:hAnsi="Arial" w:cs="Arial"/>
          <w:color w:val="000000" w:themeColor="text1"/>
          <w:sz w:val="19"/>
          <w:szCs w:val="19"/>
        </w:rPr>
        <w:t xml:space="preserve"> motion capture (MMC) technology for clinical measurement in rehabilitation. J </w:t>
      </w:r>
      <w:proofErr w:type="spellStart"/>
      <w:r w:rsidRPr="00423EE0">
        <w:rPr>
          <w:rFonts w:ascii="Arial" w:hAnsi="Arial" w:cs="Arial"/>
          <w:color w:val="000000" w:themeColor="text1"/>
          <w:sz w:val="19"/>
          <w:szCs w:val="19"/>
        </w:rPr>
        <w:t>Neuroeng</w:t>
      </w:r>
      <w:proofErr w:type="spellEnd"/>
      <w:r w:rsidRPr="00423EE0">
        <w:rPr>
          <w:rFonts w:ascii="Arial" w:hAnsi="Arial" w:cs="Arial"/>
          <w:color w:val="000000" w:themeColor="text1"/>
          <w:sz w:val="19"/>
          <w:szCs w:val="19"/>
        </w:rPr>
        <w:t xml:space="preserve"> Rehabil. </w:t>
      </w:r>
      <w:proofErr w:type="gramStart"/>
      <w:r w:rsidRPr="00423EE0">
        <w:rPr>
          <w:rFonts w:ascii="Arial" w:hAnsi="Arial" w:cs="Arial"/>
          <w:color w:val="000000" w:themeColor="text1"/>
          <w:sz w:val="19"/>
          <w:szCs w:val="19"/>
        </w:rPr>
        <w:t>2023;20:1</w:t>
      </w:r>
      <w:proofErr w:type="gramEnd"/>
      <w:r w:rsidRPr="00423EE0">
        <w:rPr>
          <w:rFonts w:ascii="Arial" w:hAnsi="Arial" w:cs="Arial"/>
          <w:color w:val="000000" w:themeColor="text1"/>
          <w:sz w:val="19"/>
          <w:szCs w:val="19"/>
        </w:rPr>
        <w:t>. doi:10.1186/s12984-023-01186-9</w:t>
      </w:r>
    </w:p>
    <w:p w14:paraId="0BDE2CFD"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14. </w:t>
      </w:r>
      <w:r w:rsidRPr="00423EE0">
        <w:rPr>
          <w:rFonts w:ascii="Arial" w:hAnsi="Arial" w:cs="Arial"/>
          <w:color w:val="000000" w:themeColor="text1"/>
          <w:sz w:val="19"/>
          <w:szCs w:val="19"/>
        </w:rPr>
        <w:t>Lee YK, Yoon EJ, Kim TH, Kim JI, Kim JH. Musculoskeletal digital therapeutics and digital health rehabilitation: a global paradigm shift in orthopedic care. J Clin Med. 2025;14(23):8467. doi:10.3390/jcm14238467</w:t>
      </w:r>
    </w:p>
    <w:p w14:paraId="65708AD9"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15. </w:t>
      </w:r>
      <w:r w:rsidRPr="00423EE0">
        <w:rPr>
          <w:rFonts w:ascii="Arial" w:hAnsi="Arial" w:cs="Arial"/>
          <w:color w:val="000000" w:themeColor="text1"/>
          <w:sz w:val="19"/>
          <w:szCs w:val="19"/>
        </w:rPr>
        <w:t>Sassi M, Villa Corta M, Pisani MG, et al. Advanced home-based shoulder rehabilitation: a systematic review of remote monitoring devices and their therapeutic efficacy. Sensors (Basel). 2024;24(9):2936. doi:10.3390/s24092936</w:t>
      </w:r>
    </w:p>
    <w:p w14:paraId="298B95BA"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16. </w:t>
      </w:r>
      <w:r w:rsidRPr="00423EE0">
        <w:rPr>
          <w:rFonts w:ascii="Arial" w:hAnsi="Arial" w:cs="Arial"/>
          <w:color w:val="000000" w:themeColor="text1"/>
          <w:sz w:val="19"/>
          <w:szCs w:val="19"/>
        </w:rPr>
        <w:t>Szabo D, Neagu N, Teodorescu S, et al. The role and importance of using sensor-based devices in medical rehabilitation: a literature review on the new therapeutic approaches. Sensors (Basel). 2023;23(21):8950. doi:10.3390/s23218950</w:t>
      </w:r>
    </w:p>
    <w:p w14:paraId="6AFBD3D0"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17. </w:t>
      </w:r>
      <w:r w:rsidRPr="00423EE0">
        <w:rPr>
          <w:rFonts w:ascii="Arial" w:hAnsi="Arial" w:cs="Arial"/>
          <w:color w:val="000000" w:themeColor="text1"/>
          <w:sz w:val="19"/>
          <w:szCs w:val="19"/>
        </w:rPr>
        <w:t xml:space="preserve">Porciuncula F, Roto AV, Kumar D, et al. Wearable movement sensors for rehabilitation: a focused review of technological and clinical advances. PM R. 2018. </w:t>
      </w:r>
      <w:proofErr w:type="gramStart"/>
      <w:r w:rsidRPr="00423EE0">
        <w:rPr>
          <w:rFonts w:ascii="Arial" w:hAnsi="Arial" w:cs="Arial"/>
          <w:color w:val="000000" w:themeColor="text1"/>
          <w:sz w:val="19"/>
          <w:szCs w:val="19"/>
        </w:rPr>
        <w:t>doi:10.1016/j.pmrj</w:t>
      </w:r>
      <w:proofErr w:type="gramEnd"/>
      <w:r w:rsidRPr="00423EE0">
        <w:rPr>
          <w:rFonts w:ascii="Arial" w:hAnsi="Arial" w:cs="Arial"/>
          <w:color w:val="000000" w:themeColor="text1"/>
          <w:sz w:val="19"/>
          <w:szCs w:val="19"/>
        </w:rPr>
        <w:t>.2018.06.013</w:t>
      </w:r>
    </w:p>
    <w:p w14:paraId="59F9CB32"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18. </w:t>
      </w:r>
      <w:r w:rsidRPr="00423EE0">
        <w:rPr>
          <w:rFonts w:ascii="Arial" w:hAnsi="Arial" w:cs="Arial"/>
          <w:color w:val="000000" w:themeColor="text1"/>
          <w:sz w:val="19"/>
          <w:szCs w:val="19"/>
        </w:rPr>
        <w:t>Lobo P, Morais P, Murray P, Vilaça JL. Trends and innovations in wearable technology for motor rehabilitation, prediction, and monitoring: a comprehensive review. Sensors (Basel). 2024;24(24):7973. doi:10.3390/s24247973</w:t>
      </w:r>
    </w:p>
    <w:p w14:paraId="5EF527EF"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19. </w:t>
      </w:r>
      <w:proofErr w:type="spellStart"/>
      <w:r w:rsidRPr="00423EE0">
        <w:rPr>
          <w:rFonts w:ascii="Arial" w:hAnsi="Arial" w:cs="Arial"/>
          <w:color w:val="000000" w:themeColor="text1"/>
          <w:sz w:val="19"/>
          <w:szCs w:val="19"/>
        </w:rPr>
        <w:t>Soffar</w:t>
      </w:r>
      <w:proofErr w:type="spellEnd"/>
      <w:r w:rsidRPr="00423EE0">
        <w:rPr>
          <w:rFonts w:ascii="Arial" w:hAnsi="Arial" w:cs="Arial"/>
          <w:color w:val="000000" w:themeColor="text1"/>
          <w:sz w:val="19"/>
          <w:szCs w:val="19"/>
        </w:rPr>
        <w:t xml:space="preserve"> A, </w:t>
      </w:r>
      <w:proofErr w:type="spellStart"/>
      <w:r w:rsidRPr="00423EE0">
        <w:rPr>
          <w:rFonts w:ascii="Arial" w:hAnsi="Arial" w:cs="Arial"/>
          <w:color w:val="000000" w:themeColor="text1"/>
          <w:sz w:val="19"/>
          <w:szCs w:val="19"/>
        </w:rPr>
        <w:t>Elkohail</w:t>
      </w:r>
      <w:proofErr w:type="spellEnd"/>
      <w:r w:rsidRPr="00423EE0">
        <w:rPr>
          <w:rFonts w:ascii="Arial" w:hAnsi="Arial" w:cs="Arial"/>
          <w:color w:val="000000" w:themeColor="text1"/>
          <w:sz w:val="19"/>
          <w:szCs w:val="19"/>
        </w:rPr>
        <w:t xml:space="preserve"> A, Sayed A, et al. Remote follow-up using smartphone apps, telemedicine, and wearable activity sensors after joint replacement: a narrative review. Cureus. 2025. doi:10.7759/cureus.96693</w:t>
      </w:r>
    </w:p>
    <w:p w14:paraId="7E09F5CE"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20. </w:t>
      </w:r>
      <w:r w:rsidRPr="00423EE0">
        <w:rPr>
          <w:rFonts w:ascii="Arial" w:hAnsi="Arial" w:cs="Arial"/>
          <w:color w:val="000000" w:themeColor="text1"/>
          <w:sz w:val="19"/>
          <w:szCs w:val="19"/>
        </w:rPr>
        <w:t xml:space="preserve">American Medical Association, Centers for Medicare and Medicaid Services. Remote Therapeutic Monitoring CPT codes 98975-98981 and CY2026 Physician Fee Schedule updates. </w:t>
      </w:r>
      <w:proofErr w:type="spellStart"/>
      <w:r w:rsidRPr="00423EE0">
        <w:rPr>
          <w:rFonts w:ascii="Arial" w:hAnsi="Arial" w:cs="Arial"/>
          <w:color w:val="000000" w:themeColor="text1"/>
          <w:sz w:val="19"/>
          <w:szCs w:val="19"/>
        </w:rPr>
        <w:t>Summarised</w:t>
      </w:r>
      <w:proofErr w:type="spellEnd"/>
      <w:r w:rsidRPr="00423EE0">
        <w:rPr>
          <w:rFonts w:ascii="Arial" w:hAnsi="Arial" w:cs="Arial"/>
          <w:color w:val="000000" w:themeColor="text1"/>
          <w:sz w:val="19"/>
          <w:szCs w:val="19"/>
        </w:rPr>
        <w:t xml:space="preserve"> in: </w:t>
      </w:r>
      <w:proofErr w:type="spellStart"/>
      <w:r w:rsidRPr="00423EE0">
        <w:rPr>
          <w:rFonts w:ascii="Arial" w:hAnsi="Arial" w:cs="Arial"/>
          <w:color w:val="000000" w:themeColor="text1"/>
          <w:sz w:val="19"/>
          <w:szCs w:val="19"/>
        </w:rPr>
        <w:t>Tenovi</w:t>
      </w:r>
      <w:proofErr w:type="spellEnd"/>
      <w:r w:rsidRPr="00423EE0">
        <w:rPr>
          <w:rFonts w:ascii="Arial" w:hAnsi="Arial" w:cs="Arial"/>
          <w:color w:val="000000" w:themeColor="text1"/>
          <w:sz w:val="19"/>
          <w:szCs w:val="19"/>
        </w:rPr>
        <w:t>. RTM CPT Codes 2026. Available from: https://www.tenovi.com/rtm-cpt-codes-2026/</w:t>
      </w:r>
    </w:p>
    <w:p w14:paraId="5F27D4F3" w14:textId="77777777" w:rsidR="0079631A" w:rsidRPr="00423EE0" w:rsidRDefault="00000000">
      <w:pPr>
        <w:spacing w:after="140" w:line="264" w:lineRule="auto"/>
        <w:ind w:left="460" w:hanging="460"/>
        <w:rPr>
          <w:rFonts w:ascii="Arial" w:hAnsi="Arial" w:cs="Arial"/>
          <w:color w:val="000000" w:themeColor="text1"/>
        </w:rPr>
      </w:pPr>
      <w:r w:rsidRPr="00423EE0">
        <w:rPr>
          <w:rFonts w:ascii="Arial" w:hAnsi="Arial" w:cs="Arial"/>
          <w:b/>
          <w:bCs/>
          <w:color w:val="000000" w:themeColor="text1"/>
          <w:sz w:val="19"/>
          <w:szCs w:val="19"/>
        </w:rPr>
        <w:t xml:space="preserve">21. </w:t>
      </w:r>
      <w:r w:rsidRPr="00423EE0">
        <w:rPr>
          <w:rFonts w:ascii="Arial" w:hAnsi="Arial" w:cs="Arial"/>
          <w:color w:val="000000" w:themeColor="text1"/>
          <w:sz w:val="19"/>
          <w:szCs w:val="19"/>
        </w:rPr>
        <w:t xml:space="preserve">Lee U, Lee S, Kim SA, Kim Y, Lee S. Validity and reliability of single camera </w:t>
      </w:r>
      <w:proofErr w:type="spellStart"/>
      <w:r w:rsidRPr="00423EE0">
        <w:rPr>
          <w:rFonts w:ascii="Arial" w:hAnsi="Arial" w:cs="Arial"/>
          <w:color w:val="000000" w:themeColor="text1"/>
          <w:sz w:val="19"/>
          <w:szCs w:val="19"/>
        </w:rPr>
        <w:t>markerless</w:t>
      </w:r>
      <w:proofErr w:type="spellEnd"/>
      <w:r w:rsidRPr="00423EE0">
        <w:rPr>
          <w:rFonts w:ascii="Arial" w:hAnsi="Arial" w:cs="Arial"/>
          <w:color w:val="000000" w:themeColor="text1"/>
          <w:sz w:val="19"/>
          <w:szCs w:val="19"/>
        </w:rPr>
        <w:t xml:space="preserve"> motion capture systems with RGB-D sensors for measuring shoulder range-of-motion: a systematic review. Front </w:t>
      </w:r>
      <w:proofErr w:type="spellStart"/>
      <w:r w:rsidRPr="00423EE0">
        <w:rPr>
          <w:rFonts w:ascii="Arial" w:hAnsi="Arial" w:cs="Arial"/>
          <w:color w:val="000000" w:themeColor="text1"/>
          <w:sz w:val="19"/>
          <w:szCs w:val="19"/>
        </w:rPr>
        <w:t>Bioeng</w:t>
      </w:r>
      <w:proofErr w:type="spellEnd"/>
      <w:r w:rsidRPr="00423EE0">
        <w:rPr>
          <w:rFonts w:ascii="Arial" w:hAnsi="Arial" w:cs="Arial"/>
          <w:color w:val="000000" w:themeColor="text1"/>
          <w:sz w:val="19"/>
          <w:szCs w:val="19"/>
        </w:rPr>
        <w:t xml:space="preserve"> </w:t>
      </w:r>
      <w:proofErr w:type="spellStart"/>
      <w:r w:rsidRPr="00423EE0">
        <w:rPr>
          <w:rFonts w:ascii="Arial" w:hAnsi="Arial" w:cs="Arial"/>
          <w:color w:val="000000" w:themeColor="text1"/>
          <w:sz w:val="19"/>
          <w:szCs w:val="19"/>
        </w:rPr>
        <w:t>Biotechnol</w:t>
      </w:r>
      <w:proofErr w:type="spellEnd"/>
      <w:r w:rsidRPr="00423EE0">
        <w:rPr>
          <w:rFonts w:ascii="Arial" w:hAnsi="Arial" w:cs="Arial"/>
          <w:color w:val="000000" w:themeColor="text1"/>
          <w:sz w:val="19"/>
          <w:szCs w:val="19"/>
        </w:rPr>
        <w:t xml:space="preserve">. </w:t>
      </w:r>
      <w:proofErr w:type="gramStart"/>
      <w:r w:rsidRPr="00423EE0">
        <w:rPr>
          <w:rFonts w:ascii="Arial" w:hAnsi="Arial" w:cs="Arial"/>
          <w:color w:val="000000" w:themeColor="text1"/>
          <w:sz w:val="19"/>
          <w:szCs w:val="19"/>
        </w:rPr>
        <w:t>2025;13:1570637</w:t>
      </w:r>
      <w:proofErr w:type="gramEnd"/>
      <w:r w:rsidRPr="00423EE0">
        <w:rPr>
          <w:rFonts w:ascii="Arial" w:hAnsi="Arial" w:cs="Arial"/>
          <w:color w:val="000000" w:themeColor="text1"/>
          <w:sz w:val="19"/>
          <w:szCs w:val="19"/>
        </w:rPr>
        <w:t>. doi:10.3389/fbioe.2025.1570637</w:t>
      </w:r>
    </w:p>
    <w:sectPr w:rsidR="0079631A" w:rsidRPr="00423EE0">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6CBA" w14:textId="77777777" w:rsidR="009A1569" w:rsidRDefault="009A1569">
      <w:r>
        <w:separator/>
      </w:r>
    </w:p>
  </w:endnote>
  <w:endnote w:type="continuationSeparator" w:id="0">
    <w:p w14:paraId="2418E196" w14:textId="77777777" w:rsidR="009A1569" w:rsidRDefault="009A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1A9D" w14:textId="77777777" w:rsidR="0079631A" w:rsidRDefault="00000000">
    <w:pPr>
      <w:jc w:val="center"/>
    </w:pPr>
    <w:r>
      <w:rPr>
        <w:sz w:val="16"/>
        <w:szCs w:val="16"/>
      </w:rPr>
      <w:fldChar w:fldCharType="begin"/>
    </w:r>
    <w:r>
      <w:rPr>
        <w:sz w:val="16"/>
        <w:szCs w:val="16"/>
      </w:rPr>
      <w:instrText>PAGE</w:instrText>
    </w:r>
    <w:r>
      <w:rPr>
        <w:sz w:val="16"/>
        <w:szCs w:val="16"/>
      </w:rPr>
      <w:fldChar w:fldCharType="separate"/>
    </w:r>
    <w:r w:rsidR="00423EE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6F63A" w14:textId="77777777" w:rsidR="009A1569" w:rsidRDefault="009A1569">
      <w:r>
        <w:separator/>
      </w:r>
    </w:p>
  </w:footnote>
  <w:footnote w:type="continuationSeparator" w:id="0">
    <w:p w14:paraId="245CC50A" w14:textId="77777777" w:rsidR="009A1569" w:rsidRDefault="009A1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1641"/>
    <w:multiLevelType w:val="hybridMultilevel"/>
    <w:tmpl w:val="F05C7DC6"/>
    <w:lvl w:ilvl="0" w:tplc="7FCAE03E">
      <w:start w:val="1"/>
      <w:numFmt w:val="bullet"/>
      <w:lvlText w:val="●"/>
      <w:lvlJc w:val="left"/>
      <w:pPr>
        <w:ind w:left="720" w:hanging="360"/>
      </w:pPr>
    </w:lvl>
    <w:lvl w:ilvl="1" w:tplc="2C5C14F6">
      <w:start w:val="1"/>
      <w:numFmt w:val="bullet"/>
      <w:lvlText w:val="○"/>
      <w:lvlJc w:val="left"/>
      <w:pPr>
        <w:ind w:left="1440" w:hanging="360"/>
      </w:pPr>
    </w:lvl>
    <w:lvl w:ilvl="2" w:tplc="7D3CD07C">
      <w:start w:val="1"/>
      <w:numFmt w:val="bullet"/>
      <w:lvlText w:val="■"/>
      <w:lvlJc w:val="left"/>
      <w:pPr>
        <w:ind w:left="2160" w:hanging="360"/>
      </w:pPr>
    </w:lvl>
    <w:lvl w:ilvl="3" w:tplc="C3F051A6">
      <w:start w:val="1"/>
      <w:numFmt w:val="bullet"/>
      <w:lvlText w:val="●"/>
      <w:lvlJc w:val="left"/>
      <w:pPr>
        <w:ind w:left="2880" w:hanging="360"/>
      </w:pPr>
    </w:lvl>
    <w:lvl w:ilvl="4" w:tplc="E12E2084">
      <w:start w:val="1"/>
      <w:numFmt w:val="bullet"/>
      <w:lvlText w:val="○"/>
      <w:lvlJc w:val="left"/>
      <w:pPr>
        <w:ind w:left="3600" w:hanging="360"/>
      </w:pPr>
    </w:lvl>
    <w:lvl w:ilvl="5" w:tplc="D618EBF2">
      <w:start w:val="1"/>
      <w:numFmt w:val="bullet"/>
      <w:lvlText w:val="■"/>
      <w:lvlJc w:val="left"/>
      <w:pPr>
        <w:ind w:left="4320" w:hanging="360"/>
      </w:pPr>
    </w:lvl>
    <w:lvl w:ilvl="6" w:tplc="451226C2">
      <w:start w:val="1"/>
      <w:numFmt w:val="bullet"/>
      <w:lvlText w:val="●"/>
      <w:lvlJc w:val="left"/>
      <w:pPr>
        <w:ind w:left="5040" w:hanging="360"/>
      </w:pPr>
    </w:lvl>
    <w:lvl w:ilvl="7" w:tplc="4524E14A">
      <w:start w:val="1"/>
      <w:numFmt w:val="bullet"/>
      <w:lvlText w:val="●"/>
      <w:lvlJc w:val="left"/>
      <w:pPr>
        <w:ind w:left="5760" w:hanging="360"/>
      </w:pPr>
    </w:lvl>
    <w:lvl w:ilvl="8" w:tplc="98BE60BC">
      <w:start w:val="1"/>
      <w:numFmt w:val="bullet"/>
      <w:lvlText w:val="●"/>
      <w:lvlJc w:val="left"/>
      <w:pPr>
        <w:ind w:left="6480" w:hanging="360"/>
      </w:pPr>
    </w:lvl>
  </w:abstractNum>
  <w:abstractNum w:abstractNumId="1" w15:restartNumberingAfterBreak="0">
    <w:nsid w:val="1CCC7DA5"/>
    <w:multiLevelType w:val="hybridMultilevel"/>
    <w:tmpl w:val="12407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55793F"/>
    <w:multiLevelType w:val="hybridMultilevel"/>
    <w:tmpl w:val="770691C8"/>
    <w:lvl w:ilvl="0" w:tplc="4504064E">
      <w:start w:val="1"/>
      <w:numFmt w:val="bullet"/>
      <w:lvlText w:val="•"/>
      <w:lvlJc w:val="left"/>
      <w:pPr>
        <w:ind w:left="420" w:hanging="260"/>
      </w:pPr>
    </w:lvl>
    <w:lvl w:ilvl="1" w:tplc="3EEA11FE">
      <w:numFmt w:val="decimal"/>
      <w:lvlText w:val=""/>
      <w:lvlJc w:val="left"/>
    </w:lvl>
    <w:lvl w:ilvl="2" w:tplc="A934D0B4">
      <w:numFmt w:val="decimal"/>
      <w:lvlText w:val=""/>
      <w:lvlJc w:val="left"/>
    </w:lvl>
    <w:lvl w:ilvl="3" w:tplc="276832BC">
      <w:numFmt w:val="decimal"/>
      <w:lvlText w:val=""/>
      <w:lvlJc w:val="left"/>
    </w:lvl>
    <w:lvl w:ilvl="4" w:tplc="C9FAFED2">
      <w:numFmt w:val="decimal"/>
      <w:lvlText w:val=""/>
      <w:lvlJc w:val="left"/>
    </w:lvl>
    <w:lvl w:ilvl="5" w:tplc="5B066188">
      <w:numFmt w:val="decimal"/>
      <w:lvlText w:val=""/>
      <w:lvlJc w:val="left"/>
    </w:lvl>
    <w:lvl w:ilvl="6" w:tplc="FA44A830">
      <w:numFmt w:val="decimal"/>
      <w:lvlText w:val=""/>
      <w:lvlJc w:val="left"/>
    </w:lvl>
    <w:lvl w:ilvl="7" w:tplc="BC022556">
      <w:numFmt w:val="decimal"/>
      <w:lvlText w:val=""/>
      <w:lvlJc w:val="left"/>
    </w:lvl>
    <w:lvl w:ilvl="8" w:tplc="CD70C6FC">
      <w:numFmt w:val="decimal"/>
      <w:lvlText w:val=""/>
      <w:lvlJc w:val="left"/>
    </w:lvl>
  </w:abstractNum>
  <w:abstractNum w:abstractNumId="3" w15:restartNumberingAfterBreak="0">
    <w:nsid w:val="7A666B31"/>
    <w:multiLevelType w:val="hybridMultilevel"/>
    <w:tmpl w:val="75E69C3C"/>
    <w:lvl w:ilvl="0" w:tplc="D83E78D8">
      <w:start w:val="1"/>
      <w:numFmt w:val="decimal"/>
      <w:lvlText w:val="%1."/>
      <w:lvlJc w:val="left"/>
      <w:pPr>
        <w:ind w:left="720" w:hanging="360"/>
      </w:pPr>
      <w:rPr>
        <w:rFonts w:eastAsia="Cambria" w:hint="default"/>
        <w:b/>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730165">
    <w:abstractNumId w:val="0"/>
    <w:lvlOverride w:ilvl="0">
      <w:startOverride w:val="1"/>
    </w:lvlOverride>
  </w:num>
  <w:num w:numId="2" w16cid:durableId="1228568955">
    <w:abstractNumId w:val="2"/>
    <w:lvlOverride w:ilvl="0">
      <w:startOverride w:val="1"/>
    </w:lvlOverride>
  </w:num>
  <w:num w:numId="3" w16cid:durableId="944387953">
    <w:abstractNumId w:val="1"/>
  </w:num>
  <w:num w:numId="4" w16cid:durableId="138039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31A"/>
    <w:rsid w:val="00277D4B"/>
    <w:rsid w:val="00423EE0"/>
    <w:rsid w:val="0079631A"/>
    <w:rsid w:val="009A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248CFA"/>
  <w15:docId w15:val="{30CBE64F-6E55-CD40-9D22-7B32E5ED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23E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5460</Words>
  <Characters>31124</Characters>
  <Application>Microsoft Office Word</Application>
  <DocSecurity>0</DocSecurity>
  <Lines>259</Lines>
  <Paragraphs>73</Paragraphs>
  <ScaleCrop>false</ScaleCrop>
  <Company/>
  <LinksUpToDate>false</LinksUpToDate>
  <CharactersWithSpaces>36511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Onoja, Tony Dr (Sch Health Sciences)</cp:lastModifiedBy>
  <cp:revision>2</cp:revision>
  <dcterms:created xsi:type="dcterms:W3CDTF">2026-07-23T22:37:00Z</dcterms:created>
  <dcterms:modified xsi:type="dcterms:W3CDTF">2026-07-23T22:59:00Z</dcterms:modified>
</cp:coreProperties>
</file>