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Flexion</w:t>
      </w:r>
    </w:p>
    <w:p>
      <w:pPr>
        <w:spacing w:after="40"/>
      </w:pPr>
      <w:r>
        <w:rPr>
          <w:b/>
          <w:bCs/>
          <w:color w:val="1F6F5C"/>
          <w:sz w:val="30"/>
          <w:szCs w:val="30"/>
        </w:rPr>
        <w:t xml:space="preserve">Remote Movement Screening for Telehealth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Technical &amp; Clinical Specification — Prototype Stage · Revised July 2026 (literature-review update)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60" w:line="276"/>
      </w:pPr>
      <w:r>
        <w:rPr>
          <w:sz w:val="22"/>
          <w:szCs w:val="22"/>
        </w:rPr>
        <w:t xml:space="preserve">Telehealth removed physical observation from the musculoskeletal (MSK) exam. Flexion restores it: during a video visit, or as a between-visit check-in, the patient records a short guided movement routine on their phone or laptop camera. On-device pose estimation converts that video into joint angles, range of motion (ROM), left/right symmetry, and stability scores. Results are attached to the visit as structured data — numbers a provider can trend over time, not just a video to rewatch.</w:t>
      </w:r>
    </w:p>
    <w:p>
      <w:pPr>
        <w:spacing w:after="160" w:line="276"/>
      </w:pPr>
      <w:r>
        <w:rPr>
          <w:sz w:val="22"/>
          <w:szCs w:val="22"/>
        </w:rPr>
        <w:t xml:space="preserve">This revision incorporates a structured review of 20 papers on telehealth MSK assessment and markerless/single-camera motion capture (see literature_research_on_the_app.docx and literature_citations_on_app.csv). The review's central finding — that measurement accuracy is highly specific to movement type, joint, and plane of motion, not a single number that applies to "pose estimation" generally — is now reflected directly in the product: every score Flexion produces carries an explicit evidence tier (High / Moderate / Exploratory), and the movement battery itself changed to favor the domains the literature supports best. A working prototype implementing this is referenced throughout (flexion-prototype/).</w:t>
      </w:r>
    </w:p>
    <w:p>
      <w:pPr>
        <w:pStyle w:val="Heading1"/>
        <w:spacing w:after="160" w:before="360"/>
      </w:pPr>
      <w:r>
        <w:t xml:space="preserve">2. System Architecture</w:t>
      </w:r>
    </w:p>
    <w:p>
      <w:pPr>
        <w:spacing w:after="160" w:line="276"/>
      </w:pPr>
      <w:r>
        <w:rPr>
          <w:sz w:val="22"/>
          <w:szCs w:val="22"/>
        </w:rPr>
        <w:t xml:space="preserve">Four components, deliberately separated so the clinically-sensitive part (scoring) can be validated and versioned independently of the product surface around it: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2200"/>
      </w:tblGrid>
      <w:tr>
        <w:trPr>
          <w:tblHeader/>
        </w:trPr>
        <w:tc>
          <w:tcPr>
            <w:tcW w:type="dxa" w:w="2400"/>
            <w:shd w:fill="0F3D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00"/>
            <w:shd w:fill="0F3D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shd w:fill="0F3D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Prototype status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Capture client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Guides the patient through the movement routine; checks camera framing before scoring starts; runs pose estimation and scoring in the browser so raw video never has to leave the device by default.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Implemented (index.html)</w:t>
            </w:r>
          </w:p>
        </w:tc>
      </w:tr>
      <w:tr>
        <w:tc>
          <w:tcPr>
            <w:tcW w:type="dxa" w:w="24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56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Pure functions mapping pose landmarks → joint angles → ROM / symmetry / stability scores, each tagged with an evidence-graded confidence tier and citation. Framework-agnostic so the exact same math can run client-side or server-side for re-scoring/audits.</w:t>
            </w:r>
          </w:p>
        </w:tc>
        <w:tc>
          <w:tcPr>
            <w:tcW w:type="dxa" w:w="22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Implemented (js/scoring.js), unit tested (20 tests)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 API / store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Persists sessions, links them to patient + provider + visit, exposes them to the dashboard and to EHR export. Not built in the prototype — the prototype substitutes browser localStorage.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Stubbed (localStorage)</w:t>
            </w:r>
          </w:p>
        </w:tc>
      </w:tr>
      <w:tr>
        <w:tc>
          <w:tcPr>
            <w:tcW w:type="dxa" w:w="24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Provider dashboard</w:t>
            </w:r>
          </w:p>
        </w:tc>
        <w:tc>
          <w:tcPr>
            <w:tcW w:type="dxa" w:w="56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Trends scores over time per patient/movement, surfaces flags and confidence tiers, and lets a provider push a session into the chart as a documented exam finding.</w:t>
            </w:r>
          </w:p>
        </w:tc>
        <w:tc>
          <w:tcPr>
            <w:tcW w:type="dxa" w:w="22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Implemented (dashboard.html)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Processing pose estimation on-device (rather than uploading raw video to a server) is both a latency and a privacy decision: it avoids transmitting or storing patient video by default, which simplifies the HIPAA data-flow story considerably (see Section 6). The production system should preserve this property — video stays local; only derived numeric scores and, optionally, short annotated clips the provider explicitly requests, leave the device.</w:t>
      </w:r>
    </w:p>
    <w:p>
      <w:pPr>
        <w:pStyle w:val="Heading1"/>
        <w:spacing w:after="160" w:before="360"/>
      </w:pPr>
      <w:r>
        <w:t xml:space="preserve">3. Pose Detection &amp; Scoring Methodology</w:t>
      </w:r>
    </w:p>
    <w:p>
      <w:pPr>
        <w:spacing w:after="160" w:line="276"/>
      </w:pPr>
      <w:r>
        <w:rPr>
          <w:sz w:val="22"/>
          <w:szCs w:val="22"/>
        </w:rPr>
        <w:t xml:space="preserve">The prototype uses MediaPipe's Pose Landmarker (BlazePose), a single-camera, markerless model that outputs 33 body landmarks per frame with normalized x/y/z coordinates and a visibility confidence score, running as WebAssembly in the browser. This is consistent with the broader single-camera markerless capture literature reviewed for this product, which the sections below draw on directly.</w:t>
      </w:r>
    </w:p>
    <w:p>
      <w:pPr>
        <w:pStyle w:val="Heading2"/>
        <w:spacing w:after="120" w:before="260"/>
      </w:pPr>
      <w:r>
        <w:t xml:space="preserve">3.1 Joint angle calculation</w:t>
      </w:r>
    </w:p>
    <w:p>
      <w:pPr>
        <w:spacing w:after="160" w:line="276"/>
      </w:pPr>
      <w:r>
        <w:rPr>
          <w:sz w:val="22"/>
          <w:szCs w:val="22"/>
        </w:rPr>
        <w:t xml:space="preserve">Every joint angle is computed the same way: given three landmarks A (proximal), B (the joint vertex), and C (distal), the interior angle at B is the angle between vectors BA and BC, via the standard dot-product formula, clamped to [−1, 1] before acos to avoid floating-point domain errors. This is the same geometric definition a goniometer measures physically.</w:t>
      </w:r>
    </w:p>
    <w:p>
      <w:pPr>
        <w:pStyle w:val="Heading2"/>
        <w:spacing w:after="120" w:before="260"/>
      </w:pPr>
      <w:r>
        <w:t xml:space="preserve">3.2 What the literature actually supports, movement by movement</w:t>
      </w:r>
    </w:p>
    <w:p>
      <w:pPr>
        <w:spacing w:after="160" w:line="276"/>
      </w:pPr>
      <w:r>
        <w:rPr>
          <w:sz w:val="22"/>
          <w:szCs w:val="22"/>
        </w:rPr>
        <w:t xml:space="preserve">The reviewed literature is specific about where single-camera markerless capture is and isn't accurate yet, and Flexion's evidence tiers are built directly from these findings rather than a general claim of "AI accuracy."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400"/>
      </w:tblGrid>
      <w:tr>
        <w:trPr>
          <w:tblHeader/>
        </w:trPr>
        <w:tc>
          <w:tcPr>
            <w:tcW w:type="dxa" w:w="2600"/>
            <w:shd w:fill="0F3D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200"/>
            <w:shd w:fill="0F3D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Literature finding</w:t>
            </w:r>
          </w:p>
        </w:tc>
        <w:tc>
          <w:tcPr>
            <w:tcW w:type="dxa" w:w="3400"/>
            <w:shd w:fill="0F3D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Flexion's response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Sagittal-plane hip/knee kinematics, near-static positions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Mean error &lt;1.1° and limits of agreement &lt;5° vs. lab-based marker systems, holding up even in space-constrained clinical settings (hallways, not just labs).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Squat depth (captured at the near-static bottom of the movement) is scored High confidence.</w:t>
            </w:r>
          </w:p>
        </w:tc>
      </w:tr>
      <w:tr>
        <w:tc>
          <w:tcPr>
            <w:tcW w:type="dxa" w:w="26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Spatiotemporal gait parameters (step count, cadence, timing)</w:t>
            </w:r>
          </w:p>
        </w:tc>
        <w:tc>
          <w:tcPr>
            <w:tcW w:type="dxa" w:w="42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Good-to-excellent inter-rater reliability and concurrent validity, ICC 0.81–0.98.</w:t>
            </w:r>
          </w:p>
        </w:tc>
        <w:tc>
          <w:tcPr>
            <w:tcW w:type="dxa" w:w="34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Walk-in-place cadence/step count scored High confidence; step-height asymmetry (a kinematic proxy) scored lower.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Dynamic transitional movements (e.g., sit-to-stand)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Joint-angle measurements during sit-to-stand show wide limits of agreement (12–20°) even in studies where other markerless measures were reliable.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Sit-to-stand is scored by rep count and total time — the established Five-Times-Sit-to-Stand functional/fall-risk metric — and deliberately does not report a knee-angle depth.</w:t>
            </w:r>
          </w:p>
        </w:tc>
      </w:tr>
      <w:tr>
        <w:tc>
          <w:tcPr>
            <w:tcW w:type="dxa" w:w="26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 (single-plane) shoulder movement: flexion, abduction</w:t>
            </w:r>
          </w:p>
        </w:tc>
        <w:tc>
          <w:tcPr>
            <w:tcW w:type="dxa" w:w="42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Good-to-excellent validity for simple planar movements; complex/rotational shoulder movement is inconsistent across studies.</w:t>
            </w:r>
          </w:p>
        </w:tc>
        <w:tc>
          <w:tcPr>
            <w:tcW w:type="dxa" w:w="34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Arm-raise module measures flexion/abduction only, scored Moderate confidence; not claimed for rotational mobility.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/ functional movement scoring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least evidence-covered domain identified in the review across clinical need, validation data, and standardization.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stability score scored Exploratory — presented as a within-patient trend, not an absolute measurement, pending pilot validation.</w:t>
            </w:r>
          </w:p>
        </w:tc>
      </w:tr>
      <w:tr>
        <w:tc>
          <w:tcPr>
            <w:tcW w:type="dxa" w:w="26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Smartphone/consumer-camera conditions generally</w:t>
            </w:r>
          </w:p>
        </w:tc>
        <w:tc>
          <w:tcPr>
            <w:tcW w:type="dxa" w:w="42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Overall gait RMSE of 5.8°, peak error 11.3°, in a smartphone-based single-camera validation — above the 2–5° threshold generally considered clinically desirable, though comparable to some IMU/commercial markerless systems.</w:t>
            </w:r>
          </w:p>
        </w:tc>
        <w:tc>
          <w:tcPr>
            <w:tcW w:type="dxa" w:w="34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Framing/tracking-quality check added before scoring starts; every report surfaces its evidence tier so a provider isn't given false precision.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t xml:space="preserve">3.3 Evidence tiers in the product</w:t>
      </w:r>
    </w:p>
    <w:p>
      <w:pPr>
        <w:spacing w:after="160" w:line="276"/>
      </w:pPr>
      <w:r>
        <w:rPr>
          <w:sz w:val="22"/>
          <w:szCs w:val="22"/>
        </w:rPr>
        <w:t xml:space="preserve">Every RoutineResult (Section 4) now carries an evidence object — tier (high / moderate / exploratory), a plain-language note, and a citation — generated from a single EVIDENCE table in js/scoring.js so the confidence framing shown to a provider in the dashboard, in the patient-facing report, and in the exported FHIR Observation's note field are all guaranteed to match. This directly addresses what the literature review flagged as the biggest structural gap: not whether remote movement capture works at all, but whether it produces standardized, trustworthy, decision-grade data rather than an undifferentiated number.</w:t>
      </w:r>
    </w:p>
    <w:p>
      <w:pPr>
        <w:pStyle w:val="Heading2"/>
        <w:spacing w:after="120" w:before="260"/>
      </w:pPr>
      <w:r>
        <w:t xml:space="preserve">3.4 Camera setup and framing</w:t>
      </w:r>
    </w:p>
    <w:p>
      <w:pPr>
        <w:spacing w:after="160" w:line="276"/>
      </w:pPr>
      <w:r>
        <w:rPr>
          <w:sz w:val="22"/>
          <w:szCs w:val="22"/>
        </w:rPr>
        <w:t xml:space="preserve">Multiple reviewed papers connect measurement accuracy to camera setup and full-body visibility, and separately call for standardized virtual-exam protocols (patient positioning, camera framing, environment) rather than ad hoc video calls. The capture client now enforces a brief framing check — full-body landmark visibility must hold for roughly 1.2 seconds — before the timed routine begins, and displays a live tracking-quality indicator throughout the session.</w:t>
      </w:r>
    </w:p>
    <w:p>
      <w:pPr>
        <w:pStyle w:val="Heading1"/>
        <w:spacing w:after="160" w:before="360"/>
      </w:pPr>
      <w:r>
        <w:t xml:space="preserve">4. Data Model</w:t>
      </w:r>
    </w:p>
    <w:p>
      <w:pPr>
        <w:spacing w:after="160" w:line="276"/>
      </w:pPr>
      <w:r>
        <w:rPr>
          <w:sz w:val="22"/>
          <w:szCs w:val="22"/>
        </w:rPr>
        <w:t xml:space="preserve">Core entities for the session API (not yet built — the prototype substitutes localStorage on the capture/dashboard clients):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600"/>
      </w:tblGrid>
      <w:tr>
        <w:trPr>
          <w:tblHeader/>
        </w:trPr>
        <w:tc>
          <w:tcPr>
            <w:tcW w:type="dxa" w:w="2600"/>
            <w:shd w:fill="0F3D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8600"/>
            <w:shd w:fill="0F3D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external EHR patient ID (for matching), name, DOB, assigned provider(s)</w:t>
            </w:r>
          </w:p>
        </w:tc>
      </w:tr>
      <w:tr>
        <w:tc>
          <w:tcPr>
            <w:tcW w:type="dxa" w:w="26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Provider</w:t>
            </w:r>
          </w:p>
        </w:tc>
        <w:tc>
          <w:tcPr>
            <w:tcW w:type="dxa" w:w="86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external EHR provider ID, name, practice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patientId, providerId, visitId (optional link to a telehealth encounter), capturedAt, deviceInfo, routineVersion</w:t>
            </w:r>
          </w:p>
        </w:tc>
      </w:tr>
      <w:tr>
        <w:tc>
          <w:tcPr>
            <w:tcW w:type="dxa" w:w="26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RoutineResult</w:t>
            </w:r>
          </w:p>
        </w:tc>
        <w:tc>
          <w:tcPr>
            <w:tcW w:type="dxa" w:w="86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sessionId, movement, metrics (JSON: angles/ROM/asymmetry/stability per movement type), evidence (tier, note, citation), flags[], rawLandmarkRef (optional, for audit/re-scoring)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ScoringModelVersion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releasedAt, changelog — every RoutineResult records which scoring model version produced it, so historical trends stay comparable after model updates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Recording rawLandmarkRef (not raw video) alongside each result is what makes retrospective re-scoring, audits, and A/B testing of new scoring models possible without ever needing to re-transmit or re-store patient video.</w:t>
      </w:r>
    </w:p>
    <w:p>
      <w:pPr>
        <w:pStyle w:val="Heading1"/>
        <w:spacing w:after="160" w:before="360"/>
      </w:pPr>
      <w:r>
        <w:t xml:space="preserve">5. EHR Integration</w:t>
      </w:r>
    </w:p>
    <w:p>
      <w:pPr>
        <w:spacing w:after="160" w:line="276"/>
      </w:pPr>
      <w:r>
        <w:rPr>
          <w:sz w:val="22"/>
          <w:szCs w:val="22"/>
        </w:rPr>
        <w:t xml:space="preserve">Each RoutineResult is designed to map 1:1 onto a FHIR Observation resource — the prototype already emits this shape, including the evidence tier as an Observation.note (see buildReport() in js/capture.js). Production integration is standard SMART on FHIR: OAuth2 app launch from the EHR, Observation.write scope, category="exam", with the movement name and structured metrics in the Observation payload and component fields for individual angle/ROM values so they're queryable, not just a JSON blob.</w:t>
      </w:r>
    </w:p>
    <w:p>
      <w:pPr>
        <w:pStyle w:val="Heading2"/>
        <w:spacing w:after="120" w:before="260"/>
      </w:pPr>
      <w:r>
        <w:t xml:space="preserve">5.1 Billing context (RTM)</w:t>
      </w:r>
    </w:p>
    <w:p>
      <w:pPr>
        <w:spacing w:after="160" w:line="276"/>
      </w:pPr>
      <w:r>
        <w:rPr>
          <w:sz w:val="22"/>
          <w:szCs w:val="22"/>
        </w:rPr>
        <w:t xml:space="preserve">The 2022 CPT code set for Remote Therapeutic Monitoring (RTM) — 98975, 98976, 98977, 98980, 98981 — explicitly covers musculoskeletal system status monitoring, and is the natural billing pathway for a between-visit functional monitoring product like this one. 98977 covers device supply/data-transmission for MSK monitoring (16–30 days in a 30-day period; 2026 national average payment ~$40), and 98980/98981 cover the clinician's monthly treatment-management time reviewing that data. CMS's CY2026 Physician Fee Schedule further expanded RTM, including a new lower-threshold device code (2–15 days of data vs. the prior 16-day minimum) — which directly lowers the bar for how often a patient needs to complete a Flexion routine to support billing.</w:t>
      </w:r>
    </w:p>
    <w:p>
      <w:pPr>
        <w:pStyle w:val="Heading1"/>
        <w:spacing w:after="160" w:before="360"/>
      </w:pPr>
      <w:r>
        <w:t xml:space="preserve">6. Security &amp; Compliance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PHI minimization by design: video is processed on-device and not persisted or transmitted by default; only derived scores (numbers, not imagery) leave the device unless a provider explicitly requests a clip.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HIPAA: as a vendor handling PHI (scores tied to patient identity) on behalf of covered-entity practices, Flexion is a business associate and requires a signed BAA with every practice/EHR partner before any pilot involving real patient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Encryption in transit (TLS) and at rest for the session store; row-level access control scoped to a patient's assigned provider(s).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Audit logging on every read/export of a patient's session data, and on every push to an EHR.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Model/version pinning: because scoring thresholds directly affect what gets flagged to a clinician, every score must be traceable to the exact scoring model version that produced it (see ScoringModelVersion in Section 4).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Device/browser camera permissions are the only patient-side access required — no separate app install is strictly necessary for the web version, which matters for a telehealth population with variable technical comfort.</w:t>
      </w:r>
    </w:p>
    <w:p>
      <w:pPr>
        <w:pStyle w:val="Heading1"/>
        <w:spacing w:after="160" w:before="360"/>
      </w:pPr>
      <w:r>
        <w:t xml:space="preserve">7. Pilot Validation Protocol</w:t>
      </w:r>
    </w:p>
    <w:p>
      <w:pPr>
        <w:spacing w:after="160" w:line="276"/>
      </w:pPr>
      <w:r>
        <w:rPr>
          <w:sz w:val="22"/>
          <w:szCs w:val="22"/>
        </w:rPr>
        <w:t xml:space="preserve">The stated goal is concrete: does the AI's movement score agree with an in-person physical therapist's assessment of the same patient doing the same movement? This is a concurrent-validity study, not a usability study, and should be run before any clinical or billing claim is made. The literature review sharpens the priority order: movements already scored High confidence (squat depth, sit-to-stand timing, gait cadence) are the strongest early candidates for confirming product-specific validity quickly; Moderate and Exploratory movements (arm raise, balance) should be weighted more heavily in the pilot's sample size and analysis, since published evidence gives less basis for expecting agreement.</w:t>
      </w:r>
    </w:p>
    <w:p>
      <w:pPr>
        <w:pStyle w:val="Heading2"/>
        <w:spacing w:after="120" w:before="260"/>
      </w:pPr>
      <w:r>
        <w:t xml:space="preserve">7.1 Design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3–5 telehealth providers treating chronic pain / MSK patients; target 30–50 patients for adequate statistical power on correlation and agreement estimates.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For each patient's first cohort visit, run the Flexion routine and a licensed PT's in-person (or synchronous video-observed) assessment of the same movements, same day, in randomized order to avoid learning/fatigue bias.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Repeat at 2–3 follow-up points over 6–8 weeks to also assess test–retest reliability and whether the AI tracks the same improvement/decline trend the PT documents.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Include older adults and patients with mobility limitations explicitly in recruitment — the reviewed literature repeatedly flags insufficient testing in these populations as an open gap, and they are Flexion's target population for fall-risk and chronic-pain use cases.</w:t>
      </w:r>
    </w:p>
    <w:p>
      <w:pPr>
        <w:pStyle w:val="Heading2"/>
        <w:spacing w:after="120" w:before="260"/>
      </w:pPr>
      <w:r>
        <w:t xml:space="preserve">7.2 Statistics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Intraclass correlation coefficient (ICC) between AI and PT scores per movement — the same metric used in the published markerless-vs-marker-based validation literature, so results are comparable to prior 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Bland–Altman plots per movement to visualize bias and the range of disagreement, not just a single correlation number — mirroring the analysis used in the reviewed clinical-hallway markerless validation study.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Sensitivity/specificity of the AI's flags (e.g. "limited_depth", "slow_sit_to_stand_time", "fall_risk_review") against the PT's clinical judgment of whether that finding was clinically significant.</w:t>
      </w:r>
    </w:p>
    <w:p>
      <w:pPr>
        <w:pStyle w:val="Heading2"/>
        <w:spacing w:after="120" w:before="260"/>
      </w:pPr>
      <w:r>
        <w:t xml:space="preserve">7.3 Exit criteria</w:t>
      </w:r>
    </w:p>
    <w:p>
      <w:pPr>
        <w:spacing w:after="160" w:line="276"/>
      </w:pPr>
      <w:r>
        <w:rPr>
          <w:sz w:val="22"/>
          <w:szCs w:val="22"/>
        </w:rPr>
        <w:t xml:space="preserve">A movement's evidence tier in the product should be revised based on pilot results, not just literature precedent — a High-confidence tier earned from general markerless-capture literature can be downgraded if Flexion's own pilot disagrees with PT assessment, and an Exploratory tier (like balance) can be upgraded once product-specific validity is demonstrated. A movement should not ship to general clinical use, or claim a higher evidence tier, until its ICC and Bland–Altman results clear a threshold agreed with the pilot's clinical advisors — accuracy earns adoption; nothing else on the roadmap matters if this step is skipped.</w:t>
      </w:r>
    </w:p>
    <w:p>
      <w:pPr>
        <w:pStyle w:val="Heading1"/>
        <w:spacing w:after="160" w:before="360"/>
      </w:pPr>
      <w:r>
        <w:t xml:space="preserve">8. Business Model Notes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00"/>
        <w:gridCol w:w="3100"/>
      </w:tblGrid>
      <w:tr>
        <w:trPr>
          <w:tblHeader/>
        </w:trPr>
        <w:tc>
          <w:tcPr>
            <w:tcW w:type="dxa" w:w="3200"/>
            <w:shd w:fill="0F3D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900"/>
            <w:shd w:fill="0F3D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3100"/>
            <w:shd w:fill="0F3D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Expansion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Chronic pain / MSK telehealth practices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Between-visit functional monitoring, billed under RTM (98975–98981).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Progress tracking across a full care episode.</w:t>
            </w:r>
          </w:p>
        </w:tc>
      </w:tr>
      <w:tr>
        <w:tc>
          <w:tcPr>
            <w:tcW w:type="dxa" w:w="32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Senior health plans</w:t>
            </w:r>
          </w:p>
        </w:tc>
        <w:tc>
          <w:tcPr>
            <w:tcW w:type="dxa" w:w="39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Fall-risk scoring from the balance and sit-to-stand modules.</w:t>
            </w:r>
          </w:p>
        </w:tc>
        <w:tc>
          <w:tcPr>
            <w:tcW w:type="dxa" w:w="3100"/>
            <w:shd w:fill="EAF3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Population-level fall-risk dashboards.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Outpatient rehab / PT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Home exercise adherence + progress tracking between in-clinic visits.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Discharge-readiness scoring.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Pricing in the $200–500/provider/month range (scaling with patient volume and EHR integration depth) is reasonable relative to RTM billing potential per patient per month, but the pilot's validity results should inform final pricing — a product that reliably reduces PT documentation time and supports RTM billing justifies the higher end; a screening-only tool without validated accuracy does not.</w:t>
      </w:r>
    </w:p>
    <w:p>
      <w:pPr>
        <w:pStyle w:val="Heading1"/>
        <w:spacing w:after="160" w:before="360"/>
      </w:pPr>
      <w:r>
        <w:t xml:space="preserve">9. Immediate Next Steps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Run the prototype with 2–3 internal testers across different cameras/lighting to sanity-check the scoring thresholds and framing-check behavior before any patient touches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Recruit the 3–5 pilot providers and their clinical partners (PTs) for the validation study in Section 7, explicitly including older-adult and mobility-limited patients.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Build the Session API + real auth, replacing the prototype's localStorage substitute, and stand up the FHIR Observation export end-to-end against one EHR sandbox (e.g. a SMART on FHIR sandbox) before the first real patient session.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Draft and execute BAAs with pilot practices before any real patient data is captured.</w:t>
      </w:r>
    </w:p>
    <w:p>
      <w:pPr>
        <w:pStyle w:val="Heading1"/>
        <w:spacing w:after="160" w:before="360"/>
      </w:pPr>
      <w:r>
        <w:t xml:space="preserve">References</w:t>
      </w:r>
    </w:p>
    <w:p>
      <w:pPr>
        <w:spacing w:after="160" w:line="276"/>
      </w:pPr>
      <w:r>
        <w:rPr>
          <w:i/>
          <w:iCs/>
          <w:color w:val="666666"/>
          <w:sz w:val="22"/>
          <w:szCs w:val="22"/>
        </w:rPr>
        <w:t xml:space="preserve">Core citations from the structured literature review (literature_research_on_the_app.docx, literature_citations_on_app.csv):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Chakka K, Wu R, Belko S, Annaswamy T. “Determining Gaps in Current Physiatric Tele-Physical Assessments via a Needs Assessment Survey.” American Journal of Physical Medicine &amp; Rehabilitation, 2023. </w:t>
      </w:r>
      <w:hyperlink w:history="1" r:id="rIdzsnvylfeb5ynowolh2kg3">
        <w:r>
          <w:rPr>
            <w:rStyle w:val="Hyperlink"/>
            <w:sz w:val="20"/>
            <w:szCs w:val="20"/>
          </w:rPr>
          <w:t xml:space="preserve">https://consensus.app/papers/determining-gaps-in-current-physiatric-telephysical-chakka-wu/29cafd2f88e85da7a9470a11f2a103a1/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Wade L, Needham L, McGuigan P, Bilzon J. “Applications and limitations of current markerless motion capture methods for clinical gait biomechanics.” PeerJ, 2022. </w:t>
      </w:r>
      <w:hyperlink w:history="1" r:id="rId_clnzxnh1bi1qfoymmalt">
        <w:r>
          <w:rPr>
            <w:rStyle w:val="Hyperlink"/>
            <w:sz w:val="20"/>
            <w:szCs w:val="20"/>
          </w:rPr>
          <w:t xml:space="preserve">https://consensus.app/papers/applications-and-limitations-of-current-markerless-wade-needham/99638d434aeb52bfb793fbcafd601174/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Zischke C, Simas V, Hing W, Milne N, Spittle A, Pope R. “The utility of physiotherapy assessments delivered by telehealth: A systematic review.” Journal of Global Health, 2021. </w:t>
      </w:r>
      <w:hyperlink w:history="1" r:id="rIdhrk9gvz-0hyxwtbliv7f2">
        <w:r>
          <w:rPr>
            <w:rStyle w:val="Hyperlink"/>
            <w:sz w:val="20"/>
            <w:szCs w:val="20"/>
          </w:rPr>
          <w:t xml:space="preserve">https://consensus.app/papers/the-utility-of-physiotherapy-assessments-delivered-by-zischke-simas/9d164ce4d37b5b03ae6c92e8f6eba165/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Scott B, Blana D, Chadwick E, Philp F, Seyres M. “Healthcare applications of single camera markerless motion capture: a scoping review.” PeerJ, 2022. </w:t>
      </w:r>
      <w:hyperlink w:history="1" r:id="rIdd-ukonwxzsqzf3cppuldh">
        <w:r>
          <w:rPr>
            <w:rStyle w:val="Hyperlink"/>
            <w:sz w:val="20"/>
            <w:szCs w:val="20"/>
          </w:rPr>
          <w:t xml:space="preserve">https://consensus.app/papers/healthcare-applications-of-single-camera-markerless-scott-blana/c74772b19a9a5852995bf30e78f0ffd9/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Scataglini S, Abts E, Van Bocxlaer C, Van den Bussche M, Meletani S, Truijen S. “Accuracy, Validity, and Reliability of Markerless Camera-Based 3D Motion Capture Systems versus Marker-Based 3D Motion Capture Systems in Gait Analysis: A Systematic Review and Meta-Analysis.” Sensors, 2024. </w:t>
      </w:r>
      <w:hyperlink w:history="1" r:id="rIdedpsr9csz9qox2ln0upds">
        <w:r>
          <w:rPr>
            <w:rStyle w:val="Hyperlink"/>
            <w:sz w:val="20"/>
            <w:szCs w:val="20"/>
          </w:rPr>
          <w:t xml:space="preserve">https://consensus.app/papers/accuracy-validity-and-reliability-of-markerless-scataglini-abts/b2ea274d06605ac19019c898cf994898/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Horsak B, Eichmann A, Lauer K, Prock K, Krondorfer P, Siragy T, Dumphart B. “Concurrent validity of smartphone-based markerless motion capturing to quantify lower-limb joint kinematics in healthy and pathological gait.” Journal of Biomechanics, 2023. </w:t>
      </w:r>
      <w:hyperlink w:history="1" r:id="rIdsya1o_-bawx_68kjmuqkw">
        <w:r>
          <w:rPr>
            <w:rStyle w:val="Hyperlink"/>
            <w:sz w:val="20"/>
            <w:szCs w:val="20"/>
          </w:rPr>
          <w:t xml:space="preserve">https://consensus.app/papers/concurrent-validity-of-smartphonebased-markerless-horsak-eichmann/e9c6da483a905903af8e7053f53a999e/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Pratapneni A, Halvorson R, Silvestros P, Harris N, Bailey J. “Validating Single-Camera Pose Estimation Against Multi-Camera Motion Capture for Accessible Biomechanical Assessment.” IEEE Access, 2026. </w:t>
      </w:r>
      <w:hyperlink w:history="1" r:id="rIdp-kybioj3lqqfpjornoa1">
        <w:r>
          <w:rPr>
            <w:rStyle w:val="Hyperlink"/>
            <w:sz w:val="20"/>
            <w:szCs w:val="20"/>
          </w:rPr>
          <w:t xml:space="preserve">https://consensus.app/papers/validating-singlecamera-pose-estimation-against-pratapneni-halvorson/37ceb9d8a3ea5aeaad215db374e1f570/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8. </w:t>
      </w:r>
      <w:r>
        <w:rPr>
          <w:sz w:val="20"/>
          <w:szCs w:val="20"/>
        </w:rPr>
        <w:t xml:space="preserve">Ruder M, Malek M, Gafoor F, Di Bacco V, Outerleys J, Laende E. “Evaluating the Reliability of Markerless Motion Capture for Joint Angle Estimation in a Clinical Hallway Setting Compared to a Traditional Laboratory Setting.” Orthopaedic Proceedings, 2026. </w:t>
      </w:r>
      <w:hyperlink w:history="1" r:id="rIdmr1vgord9ruokefpai_af">
        <w:r>
          <w:rPr>
            <w:rStyle w:val="Hyperlink"/>
            <w:sz w:val="20"/>
            <w:szCs w:val="20"/>
          </w:rPr>
          <w:t xml:space="preserve">https://consensus.app/papers/evaluating-the-reliability-of-markerless-motion-capture-ruder-malek/5b1d256058dd5c90a78d644289464e1c/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9. </w:t>
      </w:r>
      <w:r>
        <w:rPr>
          <w:sz w:val="20"/>
          <w:szCs w:val="20"/>
        </w:rPr>
        <w:t xml:space="preserve">Lee U, Lee S, Kim S-A, Kim Y, Lee S. “Validity and reliability of single camera markerless motion capture systems with RGB-D sensors for measuring shoulder range-of-motion: a systematic review.” Frontiers in Bioengineering and Biotechnology, 2025. </w:t>
      </w:r>
      <w:hyperlink w:history="1" r:id="rIdxcymv483lwsbfak-tg5sq">
        <w:r>
          <w:rPr>
            <w:rStyle w:val="Hyperlink"/>
            <w:sz w:val="20"/>
            <w:szCs w:val="20"/>
          </w:rPr>
          <w:t xml:space="preserve">https://consensus.app/papers/validity-and-reliability-of-single-camera-markerless-lee-lee/e51cfeae42e55f46870aa809f98c26e8/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10. </w:t>
      </w:r>
      <w:r>
        <w:rPr>
          <w:sz w:val="20"/>
          <w:szCs w:val="20"/>
        </w:rPr>
        <w:t xml:space="preserve">Lam WWT, Tang Y, Fong K. “A systematic review of the applications of markerless motion capture (MMC) technology for clinical measurement in rehabilitation.” Journal of NeuroEngineering and Rehabilitation, 2023. </w:t>
      </w:r>
      <w:hyperlink w:history="1" r:id="rIdfc2rquzqgl2hfptsw2itt">
        <w:r>
          <w:rPr>
            <w:rStyle w:val="Hyperlink"/>
            <w:sz w:val="20"/>
            <w:szCs w:val="20"/>
          </w:rPr>
          <w:t xml:space="preserve">https://consensus.app/papers/a-systematic-review-of-the-applications-of-markerless-lam-tang/6aa2b704d62c5fbb806b5963e50b50d1/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11. </w:t>
      </w:r>
      <w:r>
        <w:rPr>
          <w:sz w:val="20"/>
          <w:szCs w:val="20"/>
        </w:rPr>
        <w:t xml:space="preserve">Johnson MA, Khilnani TK, Hyun A, Amen TB, Varady NH, Nwachukwu BU, Dines JS. “The State of Telemedicine, Telerehabilitation, and Virtual Care in Musculoskeletal Health: A Narrative Review.” HSS Journal, 2025. </w:t>
      </w:r>
      <w:hyperlink w:history="1" r:id="rIdbiv-q2a0z0wbnkphoq6yi">
        <w:r>
          <w:rPr>
            <w:rStyle w:val="Hyperlink"/>
            <w:sz w:val="20"/>
            <w:szCs w:val="20"/>
          </w:rPr>
          <w:t xml:space="preserve">https://consensus.app/papers/the-state-of-telemedicine-telerehabilitation-and-virtual-johnson-khilnani/7c246c8b5ae25b18b1a00e20424f2a68/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12. </w:t>
      </w:r>
      <w:r>
        <w:rPr>
          <w:sz w:val="20"/>
          <w:szCs w:val="20"/>
        </w:rPr>
        <w:t xml:space="preserve">Laskowski E, Johnson SE, Shelerud R, et al. “The Telemedicine Musculoskeletal Examination.” Mayo Clinic Proceedings, 2020. </w:t>
      </w:r>
      <w:hyperlink w:history="1" r:id="rIdfeg5wgqyo5su67_rrjp_d">
        <w:r>
          <w:rPr>
            <w:rStyle w:val="Hyperlink"/>
            <w:sz w:val="20"/>
            <w:szCs w:val="20"/>
          </w:rPr>
          <w:t xml:space="preserve">https://consensus.app/papers/the-telemedicine-musculoskeletal-examination-laskowski-johnson/fb0c1438fca15d0cba33da55c324f51f/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13. </w:t>
      </w:r>
      <w:r>
        <w:rPr>
          <w:sz w:val="20"/>
          <w:szCs w:val="20"/>
        </w:rPr>
        <w:t xml:space="preserve">Tanaka MJ, Oh L, Martin S, Berkson E. “Telemedicine in the Era of COVID-19.” Journal of Bone and Joint Surgery, 2020. </w:t>
      </w:r>
      <w:hyperlink w:history="1" r:id="rIdu1hfrvr1mmraukuthreqp">
        <w:r>
          <w:rPr>
            <w:rStyle w:val="Hyperlink"/>
            <w:sz w:val="20"/>
            <w:szCs w:val="20"/>
          </w:rPr>
          <w:t xml:space="preserve">https://consensus.app/papers/telemedicine-in-the-era-of-covid19-tanaka-oh/6e967fa68f2f5f4aa15a7ab4ce2bf784/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14. </w:t>
      </w:r>
      <w:r>
        <w:rPr>
          <w:sz w:val="20"/>
          <w:szCs w:val="20"/>
        </w:rPr>
        <w:t xml:space="preserve">Tenovi. “RTM CPT Codes 2026.” </w:t>
      </w:r>
      <w:hyperlink w:history="1" r:id="rId3f-tzs1ih6mffdykmdyap">
        <w:r>
          <w:rPr>
            <w:rStyle w:val="Hyperlink"/>
            <w:sz w:val="20"/>
            <w:szCs w:val="20"/>
          </w:rPr>
          <w:t xml:space="preserve">https://www.tenovi.com/rtm-cpt-codes-2026/</w:t>
        </w:r>
      </w:hyperlink>
    </w:p>
    <w:p>
      <w:pPr>
        <w:spacing w:after="120"/>
      </w:pPr>
      <w:r>
        <w:rPr>
          <w:b/>
          <w:bCs/>
          <w:sz w:val="20"/>
          <w:szCs w:val="20"/>
        </w:rPr>
        <w:t xml:space="preserve">15. </w:t>
      </w:r>
      <w:r>
        <w:rPr>
          <w:sz w:val="20"/>
          <w:szCs w:val="20"/>
        </w:rPr>
        <w:t xml:space="preserve">Coherent Market Insights. “Digital Musculoskeletal (MSK) Care Market Size 2026–2033.” </w:t>
      </w:r>
      <w:hyperlink w:history="1" r:id="rIdusd7scd3mzo6q_of62u4f">
        <w:r>
          <w:rPr>
            <w:rStyle w:val="Hyperlink"/>
            <w:sz w:val="20"/>
            <w:szCs w:val="20"/>
          </w:rPr>
          <w:t xml:space="preserve">https://www.coherentmarketinsights.com/industry-reports/digital-musculoskeletal-msk-care-market</w:t>
        </w:r>
      </w:hyperlink>
    </w:p>
    <w:p>
      <w:pPr>
        <w:spacing w:after="160" w:line="276"/>
      </w:pPr>
      <w:r>
        <w:rPr>
          <w:i/>
          <w:iCs/>
          <w:color w:val="666666"/>
          <w:sz w:val="22"/>
          <w:szCs w:val="22"/>
        </w:rPr>
        <w:t xml:space="preserve">Full list of 20 reviewed papers, abstracts, and evidence-coverage scoring is in literature_citations_on_app.csv and literature_research_on_the_app.docx.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0F3D33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snvylfeb5ynowolh2kg3" Type="http://schemas.openxmlformats.org/officeDocument/2006/relationships/hyperlink" Target="https://consensus.app/papers/determining-gaps-in-current-physiatric-telephysical-chakka-wu/29cafd2f88e85da7a9470a11f2a103a1/" TargetMode="External"/><Relationship Id="rId_clnzxnh1bi1qfoymmalt" Type="http://schemas.openxmlformats.org/officeDocument/2006/relationships/hyperlink" Target="https://consensus.app/papers/applications-and-limitations-of-current-markerless-wade-needham/99638d434aeb52bfb793fbcafd601174/" TargetMode="External"/><Relationship Id="rIdhrk9gvz-0hyxwtbliv7f2" Type="http://schemas.openxmlformats.org/officeDocument/2006/relationships/hyperlink" Target="https://consensus.app/papers/the-utility-of-physiotherapy-assessments-delivered-by-zischke-simas/9d164ce4d37b5b03ae6c92e8f6eba165/" TargetMode="External"/><Relationship Id="rIdd-ukonwxzsqzf3cppuldh" Type="http://schemas.openxmlformats.org/officeDocument/2006/relationships/hyperlink" Target="https://consensus.app/papers/healthcare-applications-of-single-camera-markerless-scott-blana/c74772b19a9a5852995bf30e78f0ffd9/" TargetMode="External"/><Relationship Id="rIdedpsr9csz9qox2ln0upds" Type="http://schemas.openxmlformats.org/officeDocument/2006/relationships/hyperlink" Target="https://consensus.app/papers/accuracy-validity-and-reliability-of-markerless-scataglini-abts/b2ea274d06605ac19019c898cf994898/" TargetMode="External"/><Relationship Id="rIdsya1o_-bawx_68kjmuqkw" Type="http://schemas.openxmlformats.org/officeDocument/2006/relationships/hyperlink" Target="https://consensus.app/papers/concurrent-validity-of-smartphonebased-markerless-horsak-eichmann/e9c6da483a905903af8e7053f53a999e/" TargetMode="External"/><Relationship Id="rIdp-kybioj3lqqfpjornoa1" Type="http://schemas.openxmlformats.org/officeDocument/2006/relationships/hyperlink" Target="https://consensus.app/papers/validating-singlecamera-pose-estimation-against-pratapneni-halvorson/37ceb9d8a3ea5aeaad215db374e1f570/" TargetMode="External"/><Relationship Id="rIdmr1vgord9ruokefpai_af" Type="http://schemas.openxmlformats.org/officeDocument/2006/relationships/hyperlink" Target="https://consensus.app/papers/evaluating-the-reliability-of-markerless-motion-capture-ruder-malek/5b1d256058dd5c90a78d644289464e1c/" TargetMode="External"/><Relationship Id="rIdxcymv483lwsbfak-tg5sq" Type="http://schemas.openxmlformats.org/officeDocument/2006/relationships/hyperlink" Target="https://consensus.app/papers/validity-and-reliability-of-single-camera-markerless-lee-lee/e51cfeae42e55f46870aa809f98c26e8/" TargetMode="External"/><Relationship Id="rIdfc2rquzqgl2hfptsw2itt" Type="http://schemas.openxmlformats.org/officeDocument/2006/relationships/hyperlink" Target="https://consensus.app/papers/a-systematic-review-of-the-applications-of-markerless-lam-tang/6aa2b704d62c5fbb806b5963e50b50d1/" TargetMode="External"/><Relationship Id="rIdbiv-q2a0z0wbnkphoq6yi" Type="http://schemas.openxmlformats.org/officeDocument/2006/relationships/hyperlink" Target="https://consensus.app/papers/the-state-of-telemedicine-telerehabilitation-and-virtual-johnson-khilnani/7c246c8b5ae25b18b1a00e20424f2a68/" TargetMode="External"/><Relationship Id="rIdfeg5wgqyo5su67_rrjp_d" Type="http://schemas.openxmlformats.org/officeDocument/2006/relationships/hyperlink" Target="https://consensus.app/papers/the-telemedicine-musculoskeletal-examination-laskowski-johnson/fb0c1438fca15d0cba33da55c324f51f/" TargetMode="External"/><Relationship Id="rIdu1hfrvr1mmraukuthreqp" Type="http://schemas.openxmlformats.org/officeDocument/2006/relationships/hyperlink" Target="https://consensus.app/papers/telemedicine-in-the-era-of-covid19-tanaka-oh/6e967fa68f2f5f4aa15a7ab4ce2bf784/" TargetMode="External"/><Relationship Id="rId3f-tzs1ih6mffdykmdyap" Type="http://schemas.openxmlformats.org/officeDocument/2006/relationships/hyperlink" Target="https://www.tenovi.com/rtm-cpt-codes-2026/" TargetMode="External"/><Relationship Id="rIdusd7scd3mzo6q_of62u4f" Type="http://schemas.openxmlformats.org/officeDocument/2006/relationships/hyperlink" Target="https://www.coherentmarketinsights.com/industry-reports/digital-musculoskeletal-msk-care-market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2026-07-23T16:46:12.490Z</dcterms:created>
  <dcterms:modified xsi:type="dcterms:W3CDTF">2026-07-23T16:46:12.491Z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