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06B6" w14:textId="77777777" w:rsidR="00842B4C" w:rsidRDefault="00842B4C"/>
    <w:p w14:paraId="21DE32C2" w14:textId="77777777" w:rsidR="001B069C" w:rsidRDefault="001B069C" w:rsidP="00EE09EB">
      <w:pPr>
        <w:jc w:val="center"/>
        <w:rPr>
          <w:b/>
          <w:sz w:val="28"/>
          <w:u w:val="single"/>
        </w:rPr>
      </w:pPr>
    </w:p>
    <w:p w14:paraId="644E109F" w14:textId="77777777" w:rsidR="001B069C" w:rsidRDefault="001B069C" w:rsidP="00EE09EB">
      <w:pPr>
        <w:jc w:val="center"/>
        <w:rPr>
          <w:b/>
          <w:sz w:val="28"/>
          <w:u w:val="single"/>
        </w:rPr>
      </w:pPr>
    </w:p>
    <w:p w14:paraId="21E07CEE" w14:textId="77777777" w:rsidR="001B069C" w:rsidRDefault="001B069C" w:rsidP="001B069C">
      <w:pPr>
        <w:pStyle w:val="Heading1"/>
        <w:jc w:val="center"/>
      </w:pPr>
      <w:r>
        <w:t>CASO DE ESTUDIO SECTOR TRANSPORTE</w:t>
      </w:r>
    </w:p>
    <w:p w14:paraId="3C256FC8" w14:textId="77777777" w:rsidR="001B069C" w:rsidRDefault="001B069C" w:rsidP="001B069C">
      <w:pPr>
        <w:pStyle w:val="Heading1"/>
        <w:jc w:val="center"/>
      </w:pPr>
      <w:r>
        <w:t>Modelo de Datos para Eficiencia Energética</w:t>
      </w:r>
    </w:p>
    <w:p w14:paraId="033E23C7" w14:textId="77777777" w:rsidR="001B069C" w:rsidRDefault="001B069C" w:rsidP="00EE09EB">
      <w:pPr>
        <w:jc w:val="center"/>
        <w:rPr>
          <w:b/>
          <w:sz w:val="28"/>
          <w:u w:val="single"/>
        </w:rPr>
      </w:pPr>
    </w:p>
    <w:p w14:paraId="01EF2DCA" w14:textId="77777777" w:rsidR="001B069C" w:rsidRDefault="001B069C" w:rsidP="00EE09EB">
      <w:pPr>
        <w:jc w:val="center"/>
        <w:rPr>
          <w:b/>
          <w:sz w:val="28"/>
          <w:u w:val="single"/>
        </w:rPr>
      </w:pPr>
      <w:r>
        <w:rPr>
          <w:b/>
          <w:noProof/>
          <w:sz w:val="28"/>
          <w:u w:val="single"/>
          <w:lang w:eastAsia="es-ES"/>
        </w:rPr>
        <w:drawing>
          <wp:inline distT="0" distB="0" distL="0" distR="0" wp14:anchorId="05EA3410" wp14:editId="04DBEBAF">
            <wp:extent cx="3619500" cy="685800"/>
            <wp:effectExtent l="1905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619500" cy="685800"/>
                    </a:xfrm>
                    <a:prstGeom prst="rect">
                      <a:avLst/>
                    </a:prstGeom>
                    <a:noFill/>
                  </pic:spPr>
                </pic:pic>
              </a:graphicData>
            </a:graphic>
          </wp:inline>
        </w:drawing>
      </w:r>
    </w:p>
    <w:p w14:paraId="4FBC3D1B" w14:textId="77777777" w:rsidR="001B069C" w:rsidRDefault="001B069C" w:rsidP="00EE09EB">
      <w:pPr>
        <w:jc w:val="center"/>
        <w:rPr>
          <w:b/>
          <w:sz w:val="28"/>
          <w:u w:val="single"/>
        </w:rPr>
      </w:pPr>
    </w:p>
    <w:p w14:paraId="0381116B" w14:textId="77777777" w:rsidR="001B069C" w:rsidRDefault="001B069C" w:rsidP="00EE09EB">
      <w:pPr>
        <w:jc w:val="center"/>
        <w:rPr>
          <w:b/>
          <w:sz w:val="28"/>
          <w:u w:val="single"/>
        </w:rPr>
      </w:pPr>
    </w:p>
    <w:p w14:paraId="0985F530" w14:textId="77777777" w:rsidR="001B069C" w:rsidRDefault="001B069C" w:rsidP="00EE09EB">
      <w:pPr>
        <w:jc w:val="center"/>
        <w:rPr>
          <w:b/>
          <w:sz w:val="28"/>
          <w:u w:val="single"/>
        </w:rPr>
      </w:pPr>
    </w:p>
    <w:p w14:paraId="731BF891" w14:textId="77777777" w:rsidR="001B069C" w:rsidRDefault="001B069C" w:rsidP="00EE09EB">
      <w:pPr>
        <w:jc w:val="center"/>
        <w:rPr>
          <w:b/>
          <w:sz w:val="28"/>
          <w:u w:val="single"/>
        </w:rPr>
      </w:pPr>
    </w:p>
    <w:p w14:paraId="131BD37B" w14:textId="77777777" w:rsidR="001B069C" w:rsidRDefault="001B069C" w:rsidP="00EE09EB">
      <w:pPr>
        <w:jc w:val="center"/>
        <w:rPr>
          <w:b/>
          <w:sz w:val="28"/>
          <w:u w:val="single"/>
        </w:rPr>
      </w:pPr>
    </w:p>
    <w:p w14:paraId="2D8CD274" w14:textId="77777777" w:rsidR="001B069C" w:rsidRDefault="001B069C" w:rsidP="00EE09EB">
      <w:pPr>
        <w:jc w:val="center"/>
        <w:rPr>
          <w:b/>
          <w:sz w:val="28"/>
          <w:u w:val="single"/>
        </w:rPr>
      </w:pPr>
    </w:p>
    <w:p w14:paraId="0E726B89" w14:textId="77777777" w:rsidR="001B069C" w:rsidRDefault="001B069C" w:rsidP="00EE09EB">
      <w:pPr>
        <w:jc w:val="center"/>
        <w:rPr>
          <w:b/>
          <w:sz w:val="28"/>
          <w:u w:val="single"/>
        </w:rPr>
      </w:pPr>
    </w:p>
    <w:p w14:paraId="56940D82" w14:textId="77777777" w:rsidR="001B069C" w:rsidRDefault="001B069C" w:rsidP="00EE09EB">
      <w:pPr>
        <w:jc w:val="center"/>
        <w:rPr>
          <w:b/>
          <w:sz w:val="28"/>
          <w:u w:val="single"/>
        </w:rPr>
      </w:pPr>
    </w:p>
    <w:p w14:paraId="08D70A8C" w14:textId="77777777" w:rsidR="001B069C" w:rsidRDefault="001B069C" w:rsidP="00EE09EB">
      <w:pPr>
        <w:jc w:val="center"/>
        <w:rPr>
          <w:b/>
          <w:sz w:val="28"/>
          <w:u w:val="single"/>
        </w:rPr>
      </w:pPr>
    </w:p>
    <w:p w14:paraId="3CBC59ED" w14:textId="77777777" w:rsidR="001B069C" w:rsidRDefault="001B069C" w:rsidP="00EE09EB">
      <w:pPr>
        <w:jc w:val="center"/>
        <w:rPr>
          <w:b/>
          <w:sz w:val="28"/>
          <w:u w:val="single"/>
        </w:rPr>
      </w:pPr>
    </w:p>
    <w:p w14:paraId="20D2B45D" w14:textId="77777777" w:rsidR="001B069C" w:rsidRDefault="001B069C" w:rsidP="00EE09EB">
      <w:pPr>
        <w:jc w:val="center"/>
        <w:rPr>
          <w:b/>
          <w:sz w:val="28"/>
          <w:u w:val="single"/>
        </w:rPr>
      </w:pPr>
    </w:p>
    <w:p w14:paraId="4E5E1067" w14:textId="77777777" w:rsidR="001B069C" w:rsidRDefault="001B069C" w:rsidP="00EE09EB">
      <w:pPr>
        <w:jc w:val="center"/>
        <w:rPr>
          <w:b/>
          <w:sz w:val="28"/>
          <w:u w:val="single"/>
        </w:rPr>
      </w:pPr>
    </w:p>
    <w:p w14:paraId="09A8173D" w14:textId="77777777" w:rsidR="001B069C" w:rsidRDefault="001B069C" w:rsidP="00EE09EB">
      <w:pPr>
        <w:jc w:val="center"/>
        <w:rPr>
          <w:b/>
          <w:sz w:val="28"/>
          <w:u w:val="single"/>
        </w:rPr>
      </w:pPr>
    </w:p>
    <w:p w14:paraId="10902E25" w14:textId="77777777" w:rsidR="001B069C" w:rsidRDefault="001B069C" w:rsidP="00EE09EB">
      <w:pPr>
        <w:jc w:val="center"/>
        <w:rPr>
          <w:b/>
          <w:sz w:val="28"/>
          <w:u w:val="single"/>
        </w:rPr>
      </w:pPr>
    </w:p>
    <w:p w14:paraId="0646F0A6" w14:textId="77777777" w:rsidR="001B069C" w:rsidRDefault="001B069C" w:rsidP="00EE09EB">
      <w:pPr>
        <w:jc w:val="center"/>
        <w:rPr>
          <w:b/>
          <w:sz w:val="28"/>
          <w:u w:val="single"/>
        </w:rPr>
      </w:pPr>
    </w:p>
    <w:p w14:paraId="6A8AD46A" w14:textId="77777777" w:rsidR="001B069C" w:rsidRDefault="001B069C" w:rsidP="00EE09EB">
      <w:pPr>
        <w:jc w:val="center"/>
        <w:rPr>
          <w:b/>
          <w:sz w:val="28"/>
          <w:u w:val="single"/>
        </w:rPr>
      </w:pPr>
    </w:p>
    <w:p w14:paraId="6B03C49E" w14:textId="77777777" w:rsidR="001B069C" w:rsidRDefault="0021291C" w:rsidP="005D4C4E">
      <w:pPr>
        <w:tabs>
          <w:tab w:val="left" w:pos="7657"/>
        </w:tabs>
        <w:jc w:val="left"/>
        <w:rPr>
          <w:b/>
          <w:sz w:val="28"/>
          <w:u w:val="single"/>
        </w:rPr>
      </w:pPr>
      <w:r w:rsidRPr="0021291C">
        <w:rPr>
          <w:b/>
          <w:noProof/>
          <w:sz w:val="28"/>
          <w:u w:val="single"/>
        </w:rPr>
        <w:drawing>
          <wp:anchor distT="0" distB="0" distL="114300" distR="114300" simplePos="0" relativeHeight="251668480" behindDoc="1" locked="0" layoutInCell="1" allowOverlap="1" wp14:anchorId="03ED5B72" wp14:editId="43D9E7D4">
            <wp:simplePos x="0" y="0"/>
            <wp:positionH relativeFrom="column">
              <wp:posOffset>4769347</wp:posOffset>
            </wp:positionH>
            <wp:positionV relativeFrom="paragraph">
              <wp:posOffset>654014</wp:posOffset>
            </wp:positionV>
            <wp:extent cx="1405600" cy="280658"/>
            <wp:effectExtent l="19050" t="0" r="4100" b="0"/>
            <wp:wrapNone/>
            <wp:docPr id="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600" cy="280658"/>
                    </a:xfrm>
                    <a:prstGeom prst="rect">
                      <a:avLst/>
                    </a:prstGeom>
                    <a:noFill/>
                    <a:ln>
                      <a:noFill/>
                    </a:ln>
                  </pic:spPr>
                </pic:pic>
              </a:graphicData>
            </a:graphic>
          </wp:anchor>
        </w:drawing>
      </w:r>
    </w:p>
    <w:p w14:paraId="0A9AC0A3" w14:textId="77777777" w:rsidR="009B1816" w:rsidRPr="00EE09EB" w:rsidRDefault="005D4C4E" w:rsidP="00EE09EB">
      <w:pPr>
        <w:jc w:val="center"/>
        <w:rPr>
          <w:b/>
          <w:sz w:val="32"/>
          <w:u w:val="single"/>
        </w:rPr>
      </w:pPr>
      <w:r>
        <w:rPr>
          <w:b/>
          <w:sz w:val="28"/>
          <w:u w:val="single"/>
        </w:rPr>
        <w:lastRenderedPageBreak/>
        <w:t>Cuestiones Iniciales para Diseño del Modelo</w:t>
      </w:r>
    </w:p>
    <w:p w14:paraId="6DDCDB98" w14:textId="77777777" w:rsidR="00033E77" w:rsidRPr="002F6AE9" w:rsidRDefault="00033E77" w:rsidP="00033E77">
      <w:pPr>
        <w:pStyle w:val="NormalWeb"/>
        <w:shd w:val="clear" w:color="auto" w:fill="FFFFFF"/>
        <w:rPr>
          <w:rFonts w:ascii="Arial" w:hAnsi="Arial" w:cs="Arial"/>
          <w:color w:val="004080"/>
          <w:sz w:val="20"/>
          <w:szCs w:val="20"/>
          <w:lang w:val="en-US"/>
        </w:rPr>
      </w:pPr>
      <w:r w:rsidRPr="002F6AE9">
        <w:rPr>
          <w:rFonts w:ascii="Arial" w:hAnsi="Arial" w:cs="Arial"/>
          <w:color w:val="004080"/>
          <w:sz w:val="20"/>
          <w:szCs w:val="20"/>
          <w:lang w:val="en-US"/>
        </w:rPr>
        <w:t>1) Logistic Company's decarbonization needs and targets (Scope 1, Scope 2 Scope 3 actual figures and reduction targets).</w:t>
      </w:r>
    </w:p>
    <w:p w14:paraId="4CE140C4" w14:textId="77777777" w:rsidR="00A80926" w:rsidRPr="002F6AE9" w:rsidRDefault="00A80926"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 xml:space="preserve">En la actualidad, sólo la tecnología GLP ofrece una solución para los vehículos blindados. </w:t>
      </w:r>
    </w:p>
    <w:p w14:paraId="787E846E" w14:textId="77777777" w:rsidR="00A80926" w:rsidRPr="002F6AE9" w:rsidRDefault="00A80926"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Se han realizado algunas pruebas con vehículos eléctricos en otros países y empresas, pero el resultado no ha sido bueno en términos de fiabilidad, autonomía y seguridad.</w:t>
      </w:r>
    </w:p>
    <w:p w14:paraId="28AB5903" w14:textId="77777777" w:rsidR="001062AC" w:rsidRPr="002F6AE9" w:rsidRDefault="001062AC"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En consecuencia, la estrategia ha sido la renovación de tecnología diesel con nuevas unidades sujetas a la norma Euro6.</w:t>
      </w:r>
    </w:p>
    <w:p w14:paraId="5082950A" w14:textId="77777777" w:rsidR="001062AC" w:rsidRDefault="001062AC"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 xml:space="preserve">La evolución tecnológica determinará la posibilidad de ejecutar planes más impactantes. A su vez, la tendencia del negocio es la de reducir el número de rutas lo </w:t>
      </w:r>
      <w:r w:rsidR="0021291C">
        <w:rPr>
          <w:rFonts w:ascii="Arial" w:hAnsi="Arial" w:cs="Arial"/>
          <w:color w:val="222222"/>
          <w:sz w:val="20"/>
          <w:szCs w:val="20"/>
        </w:rPr>
        <w:t>que conlleva una reducción de Km</w:t>
      </w:r>
      <w:r w:rsidRPr="002F6AE9">
        <w:rPr>
          <w:rFonts w:ascii="Arial" w:hAnsi="Arial" w:cs="Arial"/>
          <w:color w:val="222222"/>
          <w:sz w:val="20"/>
          <w:szCs w:val="20"/>
        </w:rPr>
        <w:t xml:space="preserve"> que impacta en la reducción de emisiones.</w:t>
      </w:r>
      <w:r w:rsidR="00AF5ADB">
        <w:rPr>
          <w:rFonts w:ascii="Arial" w:hAnsi="Arial" w:cs="Arial"/>
          <w:color w:val="222222"/>
          <w:sz w:val="20"/>
          <w:szCs w:val="20"/>
        </w:rPr>
        <w:t xml:space="preserve"> </w:t>
      </w:r>
      <w:r w:rsidR="00AF5ADB" w:rsidRPr="00AF5ADB">
        <w:rPr>
          <w:rFonts w:ascii="Arial" w:hAnsi="Arial" w:cs="Arial"/>
          <w:color w:val="222222"/>
          <w:sz w:val="20"/>
          <w:szCs w:val="20"/>
        </w:rPr>
        <w:t>No obstante, hemos considerado la siguiente evolución total de l</w:t>
      </w:r>
      <w:r w:rsidR="00AF5ADB">
        <w:rPr>
          <w:rFonts w:ascii="Arial" w:hAnsi="Arial" w:cs="Arial"/>
          <w:color w:val="222222"/>
          <w:sz w:val="20"/>
          <w:szCs w:val="20"/>
        </w:rPr>
        <w:t>a flota:</w:t>
      </w:r>
    </w:p>
    <w:tbl>
      <w:tblPr>
        <w:tblW w:w="3600" w:type="dxa"/>
        <w:tblInd w:w="64" w:type="dxa"/>
        <w:tblCellMar>
          <w:left w:w="70" w:type="dxa"/>
          <w:right w:w="70" w:type="dxa"/>
        </w:tblCellMar>
        <w:tblLook w:val="04A0" w:firstRow="1" w:lastRow="0" w:firstColumn="1" w:lastColumn="0" w:noHBand="0" w:noVBand="1"/>
      </w:tblPr>
      <w:tblGrid>
        <w:gridCol w:w="1200"/>
        <w:gridCol w:w="1200"/>
        <w:gridCol w:w="1200"/>
      </w:tblGrid>
      <w:tr w:rsidR="00AF5ADB" w:rsidRPr="00AF5ADB" w14:paraId="7AD09088" w14:textId="77777777" w:rsidTr="00AF5ADB">
        <w:trPr>
          <w:trHeight w:val="290"/>
        </w:trPr>
        <w:tc>
          <w:tcPr>
            <w:tcW w:w="1200" w:type="dxa"/>
            <w:tcBorders>
              <w:top w:val="nil"/>
              <w:left w:val="nil"/>
              <w:bottom w:val="nil"/>
              <w:right w:val="single" w:sz="4" w:space="0" w:color="FFFFFF"/>
            </w:tcBorders>
            <w:shd w:val="clear" w:color="000000" w:fill="4F81BD"/>
            <w:noWrap/>
            <w:vAlign w:val="bottom"/>
            <w:hideMark/>
          </w:tcPr>
          <w:p w14:paraId="3C9C8F61" w14:textId="77777777" w:rsidR="00AF5ADB" w:rsidRPr="00AF5ADB" w:rsidRDefault="00AF5ADB" w:rsidP="00AF5ADB">
            <w:pPr>
              <w:spacing w:line="240" w:lineRule="auto"/>
              <w:ind w:firstLine="0"/>
              <w:jc w:val="center"/>
              <w:rPr>
                <w:rFonts w:ascii="Calibri" w:eastAsia="Times New Roman" w:hAnsi="Calibri" w:cs="Calibri"/>
                <w:b/>
                <w:bCs/>
                <w:color w:val="FFFFFF"/>
                <w:lang w:eastAsia="es-ES"/>
              </w:rPr>
            </w:pPr>
            <w:r w:rsidRPr="00AF5ADB">
              <w:rPr>
                <w:rFonts w:ascii="Calibri" w:eastAsia="Times New Roman" w:hAnsi="Calibri" w:cs="Calibri"/>
                <w:b/>
                <w:bCs/>
                <w:color w:val="FFFFFF"/>
                <w:lang w:eastAsia="es-ES"/>
              </w:rPr>
              <w:t>2025</w:t>
            </w:r>
          </w:p>
        </w:tc>
        <w:tc>
          <w:tcPr>
            <w:tcW w:w="1200" w:type="dxa"/>
            <w:tcBorders>
              <w:top w:val="nil"/>
              <w:left w:val="nil"/>
              <w:bottom w:val="nil"/>
              <w:right w:val="single" w:sz="4" w:space="0" w:color="FFFFFF"/>
            </w:tcBorders>
            <w:shd w:val="clear" w:color="000000" w:fill="4F81BD"/>
            <w:noWrap/>
            <w:vAlign w:val="bottom"/>
            <w:hideMark/>
          </w:tcPr>
          <w:p w14:paraId="5D35418C" w14:textId="77777777" w:rsidR="00AF5ADB" w:rsidRPr="00AF5ADB" w:rsidRDefault="00AF5ADB" w:rsidP="00AF5ADB">
            <w:pPr>
              <w:spacing w:line="240" w:lineRule="auto"/>
              <w:ind w:firstLine="0"/>
              <w:jc w:val="center"/>
              <w:rPr>
                <w:rFonts w:ascii="Calibri" w:eastAsia="Times New Roman" w:hAnsi="Calibri" w:cs="Calibri"/>
                <w:b/>
                <w:bCs/>
                <w:color w:val="FFFFFF"/>
                <w:lang w:eastAsia="es-ES"/>
              </w:rPr>
            </w:pPr>
            <w:r w:rsidRPr="00AF5ADB">
              <w:rPr>
                <w:rFonts w:ascii="Calibri" w:eastAsia="Times New Roman" w:hAnsi="Calibri" w:cs="Calibri"/>
                <w:b/>
                <w:bCs/>
                <w:color w:val="FFFFFF"/>
                <w:lang w:eastAsia="es-ES"/>
              </w:rPr>
              <w:t>2030</w:t>
            </w:r>
          </w:p>
        </w:tc>
        <w:tc>
          <w:tcPr>
            <w:tcW w:w="1200" w:type="dxa"/>
            <w:tcBorders>
              <w:top w:val="nil"/>
              <w:left w:val="nil"/>
              <w:bottom w:val="nil"/>
              <w:right w:val="single" w:sz="4" w:space="0" w:color="FFFFFF"/>
            </w:tcBorders>
            <w:shd w:val="clear" w:color="000000" w:fill="4F81BD"/>
            <w:noWrap/>
            <w:vAlign w:val="bottom"/>
            <w:hideMark/>
          </w:tcPr>
          <w:p w14:paraId="5F20725F" w14:textId="77777777" w:rsidR="00AF5ADB" w:rsidRPr="00AF5ADB" w:rsidRDefault="00AF5ADB" w:rsidP="00AF5ADB">
            <w:pPr>
              <w:spacing w:line="240" w:lineRule="auto"/>
              <w:ind w:firstLine="0"/>
              <w:jc w:val="center"/>
              <w:rPr>
                <w:rFonts w:ascii="Calibri" w:eastAsia="Times New Roman" w:hAnsi="Calibri" w:cs="Calibri"/>
                <w:b/>
                <w:bCs/>
                <w:color w:val="FFFFFF"/>
                <w:lang w:eastAsia="es-ES"/>
              </w:rPr>
            </w:pPr>
            <w:r w:rsidRPr="00AF5ADB">
              <w:rPr>
                <w:rFonts w:ascii="Calibri" w:eastAsia="Times New Roman" w:hAnsi="Calibri" w:cs="Calibri"/>
                <w:b/>
                <w:bCs/>
                <w:color w:val="FFFFFF"/>
                <w:lang w:eastAsia="es-ES"/>
              </w:rPr>
              <w:t>2035</w:t>
            </w:r>
          </w:p>
        </w:tc>
      </w:tr>
      <w:tr w:rsidR="00AF5ADB" w:rsidRPr="00AF5ADB" w14:paraId="64B3D9A8" w14:textId="77777777" w:rsidTr="00AF5ADB">
        <w:trPr>
          <w:trHeight w:val="290"/>
        </w:trPr>
        <w:tc>
          <w:tcPr>
            <w:tcW w:w="1200" w:type="dxa"/>
            <w:tcBorders>
              <w:top w:val="single" w:sz="4" w:space="0" w:color="auto"/>
              <w:left w:val="single" w:sz="4" w:space="0" w:color="auto"/>
              <w:bottom w:val="single" w:sz="4" w:space="0" w:color="auto"/>
              <w:right w:val="single" w:sz="4" w:space="0" w:color="auto"/>
            </w:tcBorders>
            <w:shd w:val="clear" w:color="000000" w:fill="E5E0EC"/>
            <w:noWrap/>
            <w:vAlign w:val="bottom"/>
            <w:hideMark/>
          </w:tcPr>
          <w:p w14:paraId="2E45B26F" w14:textId="77777777" w:rsidR="00AF5ADB" w:rsidRPr="00AF5ADB" w:rsidRDefault="00AF5ADB" w:rsidP="00AF5ADB">
            <w:pPr>
              <w:spacing w:line="240" w:lineRule="auto"/>
              <w:ind w:firstLine="0"/>
              <w:jc w:val="center"/>
              <w:rPr>
                <w:rFonts w:ascii="Calibri" w:eastAsia="Times New Roman" w:hAnsi="Calibri" w:cs="Calibri"/>
                <w:color w:val="000000"/>
                <w:lang w:eastAsia="es-ES"/>
              </w:rPr>
            </w:pPr>
            <w:r w:rsidRPr="00AF5ADB">
              <w:rPr>
                <w:rFonts w:ascii="Calibri" w:eastAsia="Times New Roman" w:hAnsi="Calibri" w:cs="Calibri"/>
                <w:color w:val="000000"/>
                <w:lang w:eastAsia="es-ES"/>
              </w:rPr>
              <w:t>198</w:t>
            </w:r>
          </w:p>
        </w:tc>
        <w:tc>
          <w:tcPr>
            <w:tcW w:w="1200" w:type="dxa"/>
            <w:tcBorders>
              <w:top w:val="single" w:sz="4" w:space="0" w:color="auto"/>
              <w:left w:val="nil"/>
              <w:bottom w:val="single" w:sz="4" w:space="0" w:color="auto"/>
              <w:right w:val="single" w:sz="4" w:space="0" w:color="auto"/>
            </w:tcBorders>
            <w:shd w:val="clear" w:color="000000" w:fill="E5E0EC"/>
            <w:noWrap/>
            <w:vAlign w:val="bottom"/>
            <w:hideMark/>
          </w:tcPr>
          <w:p w14:paraId="42DB1E12" w14:textId="77777777" w:rsidR="00AF5ADB" w:rsidRPr="00AF5ADB" w:rsidRDefault="00AF5ADB" w:rsidP="00AF5ADB">
            <w:pPr>
              <w:spacing w:line="240" w:lineRule="auto"/>
              <w:ind w:firstLine="0"/>
              <w:jc w:val="center"/>
              <w:rPr>
                <w:rFonts w:ascii="Calibri" w:eastAsia="Times New Roman" w:hAnsi="Calibri" w:cs="Calibri"/>
                <w:color w:val="000000"/>
                <w:lang w:eastAsia="es-ES"/>
              </w:rPr>
            </w:pPr>
            <w:r w:rsidRPr="00AF5ADB">
              <w:rPr>
                <w:rFonts w:ascii="Calibri" w:eastAsia="Times New Roman" w:hAnsi="Calibri" w:cs="Calibri"/>
                <w:color w:val="000000"/>
                <w:lang w:eastAsia="es-ES"/>
              </w:rPr>
              <w:t>201</w:t>
            </w:r>
          </w:p>
        </w:tc>
        <w:tc>
          <w:tcPr>
            <w:tcW w:w="1200" w:type="dxa"/>
            <w:tcBorders>
              <w:top w:val="single" w:sz="4" w:space="0" w:color="auto"/>
              <w:left w:val="nil"/>
              <w:bottom w:val="single" w:sz="4" w:space="0" w:color="auto"/>
              <w:right w:val="single" w:sz="4" w:space="0" w:color="auto"/>
            </w:tcBorders>
            <w:shd w:val="clear" w:color="000000" w:fill="E5E0EC"/>
            <w:noWrap/>
            <w:vAlign w:val="bottom"/>
            <w:hideMark/>
          </w:tcPr>
          <w:p w14:paraId="6B1D78E5" w14:textId="77777777" w:rsidR="00AF5ADB" w:rsidRPr="00AF5ADB" w:rsidRDefault="00AF5ADB" w:rsidP="00AF5ADB">
            <w:pPr>
              <w:spacing w:line="240" w:lineRule="auto"/>
              <w:ind w:firstLine="0"/>
              <w:jc w:val="center"/>
              <w:rPr>
                <w:rFonts w:ascii="Calibri" w:eastAsia="Times New Roman" w:hAnsi="Calibri" w:cs="Calibri"/>
                <w:color w:val="000000"/>
                <w:lang w:eastAsia="es-ES"/>
              </w:rPr>
            </w:pPr>
            <w:r w:rsidRPr="00AF5ADB">
              <w:rPr>
                <w:rFonts w:ascii="Calibri" w:eastAsia="Times New Roman" w:hAnsi="Calibri" w:cs="Calibri"/>
                <w:color w:val="000000"/>
                <w:lang w:eastAsia="es-ES"/>
              </w:rPr>
              <w:t>204</w:t>
            </w:r>
          </w:p>
        </w:tc>
      </w:tr>
    </w:tbl>
    <w:p w14:paraId="62B1F498" w14:textId="77777777" w:rsidR="00AF5ADB" w:rsidRPr="00AF5ADB" w:rsidRDefault="00AF5ADB" w:rsidP="00033E77">
      <w:pPr>
        <w:pStyle w:val="NormalWeb"/>
        <w:shd w:val="clear" w:color="auto" w:fill="FFFFFF"/>
        <w:rPr>
          <w:rFonts w:ascii="Arial" w:hAnsi="Arial" w:cs="Arial"/>
          <w:color w:val="222222"/>
          <w:sz w:val="20"/>
          <w:szCs w:val="20"/>
        </w:rPr>
      </w:pPr>
    </w:p>
    <w:p w14:paraId="60016101" w14:textId="77777777" w:rsidR="00033E77" w:rsidRPr="00AF5ADB" w:rsidRDefault="00033E77" w:rsidP="00033E77">
      <w:pPr>
        <w:pStyle w:val="NormalWeb"/>
        <w:shd w:val="clear" w:color="auto" w:fill="FFFFFF"/>
        <w:rPr>
          <w:rFonts w:ascii="Arial" w:hAnsi="Arial" w:cs="Arial"/>
          <w:color w:val="004080"/>
          <w:sz w:val="20"/>
          <w:szCs w:val="20"/>
          <w:lang w:val="en-US"/>
        </w:rPr>
      </w:pPr>
      <w:r w:rsidRPr="00AF5ADB">
        <w:rPr>
          <w:rFonts w:ascii="Arial" w:hAnsi="Arial" w:cs="Arial"/>
          <w:color w:val="004080"/>
          <w:sz w:val="20"/>
          <w:szCs w:val="20"/>
          <w:lang w:val="en-US"/>
        </w:rPr>
        <w:t>2) New investment fleet strategy (if any).</w:t>
      </w:r>
    </w:p>
    <w:p w14:paraId="2FF351E2" w14:textId="77777777" w:rsidR="005F3115" w:rsidRPr="002F6AE9" w:rsidRDefault="00A80926"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La política de inversiones está condicionada tanto por la evolución tecnológica como por la tendencia del sector en donde el uso del efectivo va perdiendo hegemonía.</w:t>
      </w:r>
    </w:p>
    <w:p w14:paraId="249921DF" w14:textId="77777777" w:rsidR="00A80926" w:rsidRPr="002F6AE9" w:rsidRDefault="00ED4FD3"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Si se puede estimar que hay un elevado número de vehículos que cu</w:t>
      </w:r>
      <w:r w:rsidR="00737B84" w:rsidRPr="002F6AE9">
        <w:rPr>
          <w:rFonts w:ascii="Arial" w:hAnsi="Arial" w:cs="Arial"/>
          <w:color w:val="222222"/>
          <w:sz w:val="20"/>
          <w:szCs w:val="20"/>
        </w:rPr>
        <w:t>mplen la</w:t>
      </w:r>
      <w:r w:rsidRPr="002F6AE9">
        <w:rPr>
          <w:rFonts w:ascii="Arial" w:hAnsi="Arial" w:cs="Arial"/>
          <w:color w:val="222222"/>
          <w:sz w:val="20"/>
          <w:szCs w:val="20"/>
        </w:rPr>
        <w:t xml:space="preserve"> norma Euro 6, </w:t>
      </w:r>
      <w:r w:rsidR="00737B84" w:rsidRPr="002F6AE9">
        <w:rPr>
          <w:rFonts w:ascii="Arial" w:hAnsi="Arial" w:cs="Arial"/>
          <w:color w:val="222222"/>
          <w:sz w:val="20"/>
          <w:szCs w:val="20"/>
        </w:rPr>
        <w:t>mientras que se darán de baja todos los vehículos Euro5 en 2030.</w:t>
      </w:r>
    </w:p>
    <w:p w14:paraId="21B52887" w14:textId="77777777" w:rsidR="00737B84" w:rsidRPr="002F6AE9" w:rsidRDefault="00737B84" w:rsidP="00033E77">
      <w:pPr>
        <w:pStyle w:val="NormalWeb"/>
        <w:shd w:val="clear" w:color="auto" w:fill="FFFFFF"/>
        <w:rPr>
          <w:rFonts w:ascii="Arial" w:hAnsi="Arial" w:cs="Arial"/>
          <w:color w:val="222222"/>
          <w:sz w:val="20"/>
          <w:szCs w:val="20"/>
        </w:rPr>
      </w:pPr>
      <w:r w:rsidRPr="002F6AE9">
        <w:rPr>
          <w:rFonts w:ascii="Arial" w:hAnsi="Arial" w:cs="Arial"/>
          <w:color w:val="222222"/>
          <w:sz w:val="20"/>
          <w:szCs w:val="20"/>
        </w:rPr>
        <w:t xml:space="preserve">El caso elaborado contempla </w:t>
      </w:r>
      <w:r w:rsidR="0021291C">
        <w:rPr>
          <w:rFonts w:ascii="Arial" w:hAnsi="Arial" w:cs="Arial"/>
          <w:color w:val="222222"/>
          <w:sz w:val="20"/>
          <w:szCs w:val="20"/>
        </w:rPr>
        <w:t xml:space="preserve">el siguiente </w:t>
      </w:r>
      <w:r w:rsidRPr="002F6AE9">
        <w:rPr>
          <w:rFonts w:ascii="Arial" w:hAnsi="Arial" w:cs="Arial"/>
          <w:color w:val="222222"/>
          <w:sz w:val="20"/>
          <w:szCs w:val="20"/>
        </w:rPr>
        <w:t>Capex</w:t>
      </w:r>
      <w:r w:rsidR="0021291C">
        <w:rPr>
          <w:rFonts w:ascii="Arial" w:hAnsi="Arial" w:cs="Arial"/>
          <w:color w:val="222222"/>
          <w:sz w:val="20"/>
          <w:szCs w:val="20"/>
        </w:rPr>
        <w:t xml:space="preserve"> </w:t>
      </w:r>
      <w:r w:rsidRPr="002F6AE9">
        <w:rPr>
          <w:rFonts w:ascii="Arial" w:hAnsi="Arial" w:cs="Arial"/>
          <w:color w:val="222222"/>
          <w:sz w:val="20"/>
          <w:szCs w:val="20"/>
        </w:rPr>
        <w:t>(esquema simplificado en periodos de 5 años)</w:t>
      </w:r>
    </w:p>
    <w:p w14:paraId="3DE08594" w14:textId="77777777" w:rsidR="00737B84" w:rsidRPr="002F6AE9" w:rsidRDefault="00737B84" w:rsidP="00033E77">
      <w:pPr>
        <w:pStyle w:val="NormalWeb"/>
        <w:shd w:val="clear" w:color="auto" w:fill="FFFFFF"/>
        <w:rPr>
          <w:rFonts w:ascii="Arial" w:hAnsi="Arial" w:cs="Arial"/>
          <w:color w:val="222222"/>
          <w:sz w:val="20"/>
          <w:szCs w:val="20"/>
        </w:rPr>
      </w:pPr>
      <w:r w:rsidRPr="002F6AE9">
        <w:rPr>
          <w:rFonts w:ascii="Arial" w:hAnsi="Arial" w:cs="Arial"/>
          <w:noProof/>
          <w:sz w:val="20"/>
          <w:szCs w:val="20"/>
        </w:rPr>
        <w:drawing>
          <wp:inline distT="0" distB="0" distL="0" distR="0" wp14:anchorId="199F75FF" wp14:editId="157E7C80">
            <wp:extent cx="3140075" cy="382905"/>
            <wp:effectExtent l="1905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140075" cy="382905"/>
                    </a:xfrm>
                    <a:prstGeom prst="rect">
                      <a:avLst/>
                    </a:prstGeom>
                    <a:noFill/>
                    <a:ln w="9525">
                      <a:noFill/>
                      <a:miter lim="800000"/>
                      <a:headEnd/>
                      <a:tailEnd/>
                    </a:ln>
                  </pic:spPr>
                </pic:pic>
              </a:graphicData>
            </a:graphic>
          </wp:inline>
        </w:drawing>
      </w:r>
    </w:p>
    <w:p w14:paraId="697163FE" w14:textId="77777777" w:rsidR="00596FED" w:rsidRPr="002F6AE9" w:rsidRDefault="0021291C" w:rsidP="00033E77">
      <w:pPr>
        <w:pStyle w:val="NormalWeb"/>
        <w:shd w:val="clear" w:color="auto" w:fill="FFFFFF"/>
        <w:rPr>
          <w:rFonts w:ascii="Arial" w:hAnsi="Arial" w:cs="Arial"/>
          <w:color w:val="222222"/>
          <w:sz w:val="20"/>
          <w:szCs w:val="20"/>
        </w:rPr>
      </w:pPr>
      <w:r>
        <w:rPr>
          <w:rFonts w:ascii="Arial" w:hAnsi="Arial" w:cs="Arial"/>
          <w:color w:val="222222"/>
          <w:sz w:val="20"/>
          <w:szCs w:val="20"/>
        </w:rPr>
        <w:t>S</w:t>
      </w:r>
      <w:r w:rsidR="00737B84" w:rsidRPr="002F6AE9">
        <w:rPr>
          <w:rFonts w:ascii="Arial" w:hAnsi="Arial" w:cs="Arial"/>
          <w:color w:val="222222"/>
          <w:sz w:val="20"/>
          <w:szCs w:val="20"/>
        </w:rPr>
        <w:t xml:space="preserve">e considera la </w:t>
      </w:r>
      <w:r>
        <w:rPr>
          <w:rFonts w:ascii="Arial" w:hAnsi="Arial" w:cs="Arial"/>
          <w:color w:val="222222"/>
          <w:sz w:val="20"/>
          <w:szCs w:val="20"/>
        </w:rPr>
        <w:t xml:space="preserve">siguiente </w:t>
      </w:r>
      <w:r w:rsidR="00737B84" w:rsidRPr="002F6AE9">
        <w:rPr>
          <w:rFonts w:ascii="Arial" w:hAnsi="Arial" w:cs="Arial"/>
          <w:color w:val="222222"/>
          <w:sz w:val="20"/>
          <w:szCs w:val="20"/>
        </w:rPr>
        <w:t>i</w:t>
      </w:r>
      <w:r w:rsidR="00596FED" w:rsidRPr="002F6AE9">
        <w:rPr>
          <w:rFonts w:ascii="Arial" w:hAnsi="Arial" w:cs="Arial"/>
          <w:color w:val="222222"/>
          <w:sz w:val="20"/>
          <w:szCs w:val="20"/>
        </w:rPr>
        <w:t xml:space="preserve">ncorporación de </w:t>
      </w:r>
      <w:r w:rsidR="00737B84" w:rsidRPr="002F6AE9">
        <w:rPr>
          <w:rFonts w:ascii="Arial" w:hAnsi="Arial" w:cs="Arial"/>
          <w:color w:val="222222"/>
          <w:sz w:val="20"/>
          <w:szCs w:val="20"/>
        </w:rPr>
        <w:t xml:space="preserve">nuevas </w:t>
      </w:r>
      <w:r>
        <w:rPr>
          <w:rFonts w:ascii="Arial" w:hAnsi="Arial" w:cs="Arial"/>
          <w:color w:val="222222"/>
          <w:sz w:val="20"/>
          <w:szCs w:val="20"/>
        </w:rPr>
        <w:t xml:space="preserve">unidades </w:t>
      </w:r>
      <w:r w:rsidR="00596FED" w:rsidRPr="002F6AE9">
        <w:rPr>
          <w:rFonts w:ascii="Arial" w:hAnsi="Arial" w:cs="Arial"/>
          <w:color w:val="222222"/>
          <w:sz w:val="20"/>
          <w:szCs w:val="20"/>
        </w:rPr>
        <w:t>con GLP así como la adquisi</w:t>
      </w:r>
      <w:r w:rsidR="00737B84" w:rsidRPr="002F6AE9">
        <w:rPr>
          <w:rFonts w:ascii="Arial" w:hAnsi="Arial" w:cs="Arial"/>
          <w:color w:val="222222"/>
          <w:sz w:val="20"/>
          <w:szCs w:val="20"/>
        </w:rPr>
        <w:t>ción de algunas unidades eléctri</w:t>
      </w:r>
      <w:r w:rsidR="00596FED" w:rsidRPr="002F6AE9">
        <w:rPr>
          <w:rFonts w:ascii="Arial" w:hAnsi="Arial" w:cs="Arial"/>
          <w:color w:val="222222"/>
          <w:sz w:val="20"/>
          <w:szCs w:val="20"/>
        </w:rPr>
        <w:t xml:space="preserve">cas </w:t>
      </w:r>
      <w:r w:rsidR="00737B84" w:rsidRPr="002F6AE9">
        <w:rPr>
          <w:rFonts w:ascii="Arial" w:hAnsi="Arial" w:cs="Arial"/>
          <w:color w:val="222222"/>
          <w:sz w:val="20"/>
          <w:szCs w:val="20"/>
        </w:rPr>
        <w:t>y</w:t>
      </w:r>
      <w:r w:rsidR="00596FED" w:rsidRPr="002F6AE9">
        <w:rPr>
          <w:rFonts w:ascii="Arial" w:hAnsi="Arial" w:cs="Arial"/>
          <w:color w:val="222222"/>
          <w:sz w:val="20"/>
          <w:szCs w:val="20"/>
        </w:rPr>
        <w:t xml:space="preserve"> de hidrógeno para 2035 (si la tecnología garantiza una fiabilidad y disponibilidad adecuadas)</w:t>
      </w:r>
    </w:p>
    <w:p w14:paraId="3E15F053" w14:textId="77777777" w:rsidR="00737B84" w:rsidRPr="002F6AE9" w:rsidRDefault="00737B84" w:rsidP="00033E77">
      <w:pPr>
        <w:pStyle w:val="NormalWeb"/>
        <w:shd w:val="clear" w:color="auto" w:fill="FFFFFF"/>
        <w:rPr>
          <w:rFonts w:ascii="Arial" w:hAnsi="Arial" w:cs="Arial"/>
          <w:color w:val="004080"/>
          <w:sz w:val="20"/>
          <w:szCs w:val="20"/>
          <w:lang w:val="en-US"/>
        </w:rPr>
      </w:pPr>
      <w:r w:rsidRPr="002F6AE9">
        <w:rPr>
          <w:rFonts w:ascii="Arial" w:hAnsi="Arial" w:cs="Arial"/>
          <w:noProof/>
          <w:sz w:val="20"/>
          <w:szCs w:val="20"/>
        </w:rPr>
        <w:drawing>
          <wp:inline distT="0" distB="0" distL="0" distR="0" wp14:anchorId="307AEB34" wp14:editId="769E0646">
            <wp:extent cx="3140075" cy="1308100"/>
            <wp:effectExtent l="19050" t="0" r="3175"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3140075" cy="1308100"/>
                    </a:xfrm>
                    <a:prstGeom prst="rect">
                      <a:avLst/>
                    </a:prstGeom>
                    <a:noFill/>
                    <a:ln w="9525">
                      <a:noFill/>
                      <a:miter lim="800000"/>
                      <a:headEnd/>
                      <a:tailEnd/>
                    </a:ln>
                  </pic:spPr>
                </pic:pic>
              </a:graphicData>
            </a:graphic>
          </wp:inline>
        </w:drawing>
      </w:r>
    </w:p>
    <w:p w14:paraId="6AB16CF4" w14:textId="77777777" w:rsidR="00AF5ADB" w:rsidRDefault="00AF5ADB" w:rsidP="00033E77">
      <w:pPr>
        <w:pStyle w:val="NormalWeb"/>
        <w:shd w:val="clear" w:color="auto" w:fill="FFFFFF"/>
        <w:rPr>
          <w:rFonts w:ascii="Arial" w:hAnsi="Arial" w:cs="Arial"/>
          <w:color w:val="004080"/>
          <w:sz w:val="20"/>
          <w:szCs w:val="20"/>
          <w:lang w:val="en-US"/>
        </w:rPr>
      </w:pPr>
    </w:p>
    <w:p w14:paraId="33ADAD73" w14:textId="77777777" w:rsidR="0021291C" w:rsidRDefault="0021291C" w:rsidP="00033E77">
      <w:pPr>
        <w:pStyle w:val="NormalWeb"/>
        <w:shd w:val="clear" w:color="auto" w:fill="FFFFFF"/>
        <w:rPr>
          <w:rFonts w:ascii="Arial" w:hAnsi="Arial" w:cs="Arial"/>
          <w:color w:val="004080"/>
          <w:sz w:val="20"/>
          <w:szCs w:val="20"/>
          <w:lang w:val="en-US"/>
        </w:rPr>
      </w:pPr>
      <w:r>
        <w:rPr>
          <w:rFonts w:ascii="Arial" w:hAnsi="Arial" w:cs="Arial"/>
          <w:noProof/>
          <w:color w:val="004080"/>
          <w:sz w:val="20"/>
          <w:szCs w:val="20"/>
        </w:rPr>
        <w:drawing>
          <wp:anchor distT="0" distB="0" distL="114300" distR="114300" simplePos="0" relativeHeight="251666432" behindDoc="1" locked="0" layoutInCell="1" allowOverlap="1" wp14:anchorId="2763AA36" wp14:editId="358599FB">
            <wp:simplePos x="0" y="0"/>
            <wp:positionH relativeFrom="column">
              <wp:posOffset>4768850</wp:posOffset>
            </wp:positionH>
            <wp:positionV relativeFrom="paragraph">
              <wp:posOffset>716915</wp:posOffset>
            </wp:positionV>
            <wp:extent cx="1405255" cy="280035"/>
            <wp:effectExtent l="19050" t="0" r="4445" b="0"/>
            <wp:wrapNone/>
            <wp:docPr id="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255" cy="280035"/>
                    </a:xfrm>
                    <a:prstGeom prst="rect">
                      <a:avLst/>
                    </a:prstGeom>
                    <a:noFill/>
                    <a:ln>
                      <a:noFill/>
                    </a:ln>
                  </pic:spPr>
                </pic:pic>
              </a:graphicData>
            </a:graphic>
          </wp:anchor>
        </w:drawing>
      </w:r>
    </w:p>
    <w:p w14:paraId="28E3E254" w14:textId="77777777" w:rsidR="00033E77" w:rsidRPr="002F6AE9" w:rsidRDefault="00033E77" w:rsidP="00033E77">
      <w:pPr>
        <w:pStyle w:val="NormalWeb"/>
        <w:shd w:val="clear" w:color="auto" w:fill="FFFFFF"/>
        <w:rPr>
          <w:rFonts w:ascii="Arial" w:hAnsi="Arial" w:cs="Arial"/>
          <w:color w:val="004080"/>
          <w:sz w:val="20"/>
          <w:szCs w:val="20"/>
          <w:lang w:val="en-US"/>
        </w:rPr>
      </w:pPr>
      <w:r w:rsidRPr="002F6AE9">
        <w:rPr>
          <w:rFonts w:ascii="Arial" w:hAnsi="Arial" w:cs="Arial"/>
          <w:color w:val="004080"/>
          <w:sz w:val="20"/>
          <w:szCs w:val="20"/>
          <w:lang w:val="en-US"/>
        </w:rPr>
        <w:lastRenderedPageBreak/>
        <w:t>3) Typical logistic route model (point-to point, hub &amp; delivery etc) with a practical example of real locations.</w:t>
      </w:r>
    </w:p>
    <w:p w14:paraId="496E8A48" w14:textId="77777777" w:rsidR="00033E77" w:rsidRPr="002F6AE9" w:rsidRDefault="001062AC" w:rsidP="00033E77">
      <w:pPr>
        <w:shd w:val="clear" w:color="auto" w:fill="FFFFFF"/>
        <w:spacing w:before="100" w:beforeAutospacing="1" w:after="100" w:afterAutospacing="1" w:line="240" w:lineRule="auto"/>
        <w:ind w:firstLine="0"/>
        <w:jc w:val="left"/>
        <w:outlineLvl w:val="1"/>
        <w:rPr>
          <w:rFonts w:ascii="Arial" w:eastAsia="Times New Roman" w:hAnsi="Arial" w:cs="Arial"/>
          <w:b/>
          <w:bCs/>
          <w:color w:val="222222"/>
          <w:sz w:val="20"/>
          <w:szCs w:val="20"/>
          <w:lang w:eastAsia="es-ES"/>
        </w:rPr>
      </w:pPr>
      <w:r w:rsidRPr="002F6AE9">
        <w:rPr>
          <w:rFonts w:ascii="Arial" w:eastAsia="Times New Roman" w:hAnsi="Arial" w:cs="Arial"/>
          <w:b/>
          <w:bCs/>
          <w:color w:val="222222"/>
          <w:sz w:val="20"/>
          <w:szCs w:val="20"/>
          <w:lang w:eastAsia="es-ES"/>
        </w:rPr>
        <w:t xml:space="preserve">3.1 </w:t>
      </w:r>
      <w:r w:rsidR="00033E77" w:rsidRPr="002F6AE9">
        <w:rPr>
          <w:rFonts w:ascii="Arial" w:eastAsia="Times New Roman" w:hAnsi="Arial" w:cs="Arial"/>
          <w:b/>
          <w:bCs/>
          <w:color w:val="222222"/>
          <w:sz w:val="20"/>
          <w:szCs w:val="20"/>
          <w:lang w:eastAsia="es-ES"/>
        </w:rPr>
        <w:t>Descripción operativa del transporte de fondos</w:t>
      </w:r>
    </w:p>
    <w:p w14:paraId="30BBB6DC"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La operativa de dis</w:t>
      </w:r>
      <w:r w:rsidR="001062AC" w:rsidRPr="002F6AE9">
        <w:rPr>
          <w:rFonts w:ascii="Arial" w:eastAsia="Times New Roman" w:hAnsi="Arial" w:cs="Arial"/>
          <w:color w:val="222222"/>
          <w:sz w:val="20"/>
          <w:szCs w:val="20"/>
          <w:lang w:eastAsia="es-ES"/>
        </w:rPr>
        <w:t xml:space="preserve">tribución de efectivo </w:t>
      </w:r>
      <w:r w:rsidRPr="002F6AE9">
        <w:rPr>
          <w:rFonts w:ascii="Arial" w:eastAsia="Times New Roman" w:hAnsi="Arial" w:cs="Arial"/>
          <w:color w:val="222222"/>
          <w:sz w:val="20"/>
          <w:szCs w:val="20"/>
          <w:lang w:eastAsia="es-ES"/>
        </w:rPr>
        <w:t>se apoya en una amplia red de </w:t>
      </w:r>
      <w:r w:rsidRPr="002F6AE9">
        <w:rPr>
          <w:rFonts w:ascii="Arial" w:eastAsia="Times New Roman" w:hAnsi="Arial" w:cs="Arial"/>
          <w:b/>
          <w:bCs/>
          <w:color w:val="222222"/>
          <w:sz w:val="20"/>
          <w:szCs w:val="20"/>
          <w:lang w:eastAsia="es-ES"/>
        </w:rPr>
        <w:t>centros logísticos y de procesamiento de valores</w:t>
      </w:r>
      <w:r w:rsidRPr="002F6AE9">
        <w:rPr>
          <w:rFonts w:ascii="Arial" w:eastAsia="Times New Roman" w:hAnsi="Arial" w:cs="Arial"/>
          <w:color w:val="222222"/>
          <w:sz w:val="20"/>
          <w:szCs w:val="20"/>
          <w:lang w:eastAsia="es-ES"/>
        </w:rPr>
        <w:t>. Las principales empresas del sector cuentan con más de 25 centros cada una, aunque han adoptado estrategias diferentes según la región.</w:t>
      </w:r>
    </w:p>
    <w:p w14:paraId="2C62F36F" w14:textId="77777777" w:rsidR="00217E9D" w:rsidRPr="002F6AE9" w:rsidRDefault="00217E9D" w:rsidP="00033E77">
      <w:pPr>
        <w:shd w:val="clear" w:color="auto" w:fill="FFFFFF"/>
        <w:spacing w:line="240" w:lineRule="auto"/>
        <w:ind w:firstLine="0"/>
        <w:jc w:val="left"/>
        <w:rPr>
          <w:rFonts w:ascii="Arial" w:eastAsia="Times New Roman" w:hAnsi="Arial" w:cs="Arial"/>
          <w:color w:val="222222"/>
          <w:sz w:val="20"/>
          <w:szCs w:val="20"/>
          <w:lang w:eastAsia="es-ES"/>
        </w:rPr>
      </w:pPr>
    </w:p>
    <w:p w14:paraId="6B21B72C"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En algunos territorios, </w:t>
      </w:r>
      <w:r w:rsidR="001062AC" w:rsidRPr="002F6AE9">
        <w:rPr>
          <w:rFonts w:ascii="Arial" w:eastAsia="Times New Roman" w:hAnsi="Arial" w:cs="Arial"/>
          <w:color w:val="222222"/>
          <w:sz w:val="20"/>
          <w:szCs w:val="20"/>
          <w:lang w:eastAsia="es-ES"/>
        </w:rPr>
        <w:t xml:space="preserve">se </w:t>
      </w:r>
      <w:r w:rsidRPr="002F6AE9">
        <w:rPr>
          <w:rFonts w:ascii="Arial" w:eastAsia="Times New Roman" w:hAnsi="Arial" w:cs="Arial"/>
          <w:color w:val="222222"/>
          <w:sz w:val="20"/>
          <w:szCs w:val="20"/>
          <w:lang w:eastAsia="es-ES"/>
        </w:rPr>
        <w:t xml:space="preserve">dispone de centros de procesamiento y logística propios, mientras </w:t>
      </w:r>
      <w:r w:rsidR="001062AC" w:rsidRPr="002F6AE9">
        <w:rPr>
          <w:rFonts w:ascii="Arial" w:eastAsia="Times New Roman" w:hAnsi="Arial" w:cs="Arial"/>
          <w:color w:val="222222"/>
          <w:sz w:val="20"/>
          <w:szCs w:val="20"/>
          <w:lang w:eastAsia="es-ES"/>
        </w:rPr>
        <w:t>otros territorios se a</w:t>
      </w:r>
      <w:r w:rsidRPr="002F6AE9">
        <w:rPr>
          <w:rFonts w:ascii="Arial" w:eastAsia="Times New Roman" w:hAnsi="Arial" w:cs="Arial"/>
          <w:color w:val="222222"/>
          <w:sz w:val="20"/>
          <w:szCs w:val="20"/>
          <w:lang w:eastAsia="es-ES"/>
        </w:rPr>
        <w:t>tiende</w:t>
      </w:r>
      <w:r w:rsidR="001062AC" w:rsidRPr="002F6AE9">
        <w:rPr>
          <w:rFonts w:ascii="Arial" w:eastAsia="Times New Roman" w:hAnsi="Arial" w:cs="Arial"/>
          <w:color w:val="222222"/>
          <w:sz w:val="20"/>
          <w:szCs w:val="20"/>
          <w:lang w:eastAsia="es-ES"/>
        </w:rPr>
        <w:t>n</w:t>
      </w:r>
      <w:r w:rsidRPr="002F6AE9">
        <w:rPr>
          <w:rFonts w:ascii="Arial" w:eastAsia="Times New Roman" w:hAnsi="Arial" w:cs="Arial"/>
          <w:color w:val="222222"/>
          <w:sz w:val="20"/>
          <w:szCs w:val="20"/>
          <w:lang w:eastAsia="es-ES"/>
        </w:rPr>
        <w:t xml:space="preserve"> desde centros ubicados en otras regiones. Esto genera recorridos más extensos para sus vehículos blindados</w:t>
      </w:r>
      <w:r w:rsidR="0021291C">
        <w:rPr>
          <w:rFonts w:ascii="Arial" w:eastAsia="Times New Roman" w:hAnsi="Arial" w:cs="Arial"/>
          <w:color w:val="222222"/>
          <w:sz w:val="20"/>
          <w:szCs w:val="20"/>
          <w:lang w:eastAsia="es-ES"/>
        </w:rPr>
        <w:t xml:space="preserve"> para realizar los </w:t>
      </w:r>
      <w:r w:rsidRPr="002F6AE9">
        <w:rPr>
          <w:rFonts w:ascii="Arial" w:eastAsia="Times New Roman" w:hAnsi="Arial" w:cs="Arial"/>
          <w:color w:val="222222"/>
          <w:sz w:val="20"/>
          <w:szCs w:val="20"/>
          <w:lang w:eastAsia="es-ES"/>
        </w:rPr>
        <w:t>movimientos diarios entre los centros de procesamiento y los hubs logísticos.</w:t>
      </w:r>
    </w:p>
    <w:p w14:paraId="077D08A0" w14:textId="77777777" w:rsidR="00033E77" w:rsidRPr="002F6AE9" w:rsidRDefault="001062AC" w:rsidP="00033E77">
      <w:pPr>
        <w:shd w:val="clear" w:color="auto" w:fill="FFFFFF"/>
        <w:spacing w:before="100" w:beforeAutospacing="1" w:after="100" w:afterAutospacing="1" w:line="240" w:lineRule="auto"/>
        <w:ind w:firstLine="0"/>
        <w:jc w:val="left"/>
        <w:outlineLvl w:val="2"/>
        <w:rPr>
          <w:rFonts w:ascii="Arial" w:eastAsia="Times New Roman" w:hAnsi="Arial" w:cs="Arial"/>
          <w:b/>
          <w:bCs/>
          <w:color w:val="222222"/>
          <w:sz w:val="20"/>
          <w:szCs w:val="20"/>
          <w:lang w:eastAsia="es-ES"/>
        </w:rPr>
      </w:pPr>
      <w:r w:rsidRPr="002F6AE9">
        <w:rPr>
          <w:rFonts w:ascii="Arial" w:eastAsia="Times New Roman" w:hAnsi="Arial" w:cs="Arial"/>
          <w:b/>
          <w:bCs/>
          <w:color w:val="222222"/>
          <w:sz w:val="20"/>
          <w:szCs w:val="20"/>
          <w:lang w:eastAsia="es-ES"/>
        </w:rPr>
        <w:t xml:space="preserve">3.2 </w:t>
      </w:r>
      <w:r w:rsidR="00033E77" w:rsidRPr="002F6AE9">
        <w:rPr>
          <w:rFonts w:ascii="Arial" w:eastAsia="Times New Roman" w:hAnsi="Arial" w:cs="Arial"/>
          <w:b/>
          <w:bCs/>
          <w:color w:val="222222"/>
          <w:sz w:val="20"/>
          <w:szCs w:val="20"/>
          <w:lang w:eastAsia="es-ES"/>
        </w:rPr>
        <w:t>Horarios y régimen operativo</w:t>
      </w:r>
    </w:p>
    <w:p w14:paraId="62C09C7E"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Debido a los procesos de aprobación de movimientos de efectivo entre bancos y el </w:t>
      </w:r>
      <w:r w:rsidRPr="002F6AE9">
        <w:rPr>
          <w:rFonts w:ascii="Arial" w:eastAsia="Times New Roman" w:hAnsi="Arial" w:cs="Arial"/>
          <w:b/>
          <w:bCs/>
          <w:color w:val="222222"/>
          <w:sz w:val="20"/>
          <w:szCs w:val="20"/>
          <w:lang w:eastAsia="es-ES"/>
        </w:rPr>
        <w:t>Banco de España</w:t>
      </w:r>
      <w:r w:rsidRPr="002F6AE9">
        <w:rPr>
          <w:rFonts w:ascii="Arial" w:eastAsia="Times New Roman" w:hAnsi="Arial" w:cs="Arial"/>
          <w:color w:val="222222"/>
          <w:sz w:val="20"/>
          <w:szCs w:val="20"/>
          <w:lang w:eastAsia="es-ES"/>
        </w:rPr>
        <w:t>, las operaciones —salvo en Madrid, Barcelona, Valencia y Sevilla— se desarrollan principalmente entre las </w:t>
      </w:r>
      <w:r w:rsidRPr="002F6AE9">
        <w:rPr>
          <w:rFonts w:ascii="Arial" w:eastAsia="Times New Roman" w:hAnsi="Arial" w:cs="Arial"/>
          <w:b/>
          <w:bCs/>
          <w:color w:val="222222"/>
          <w:sz w:val="20"/>
          <w:szCs w:val="20"/>
          <w:lang w:eastAsia="es-ES"/>
        </w:rPr>
        <w:t>08:00 y las 15:00 horas</w:t>
      </w:r>
      <w:r w:rsidRPr="002F6AE9">
        <w:rPr>
          <w:rFonts w:ascii="Arial" w:eastAsia="Times New Roman" w:hAnsi="Arial" w:cs="Arial"/>
          <w:color w:val="222222"/>
          <w:sz w:val="20"/>
          <w:szCs w:val="20"/>
          <w:lang w:eastAsia="es-ES"/>
        </w:rPr>
        <w:t>.</w:t>
      </w:r>
    </w:p>
    <w:p w14:paraId="12407AB9" w14:textId="77777777" w:rsidR="00217E9D" w:rsidRPr="002F6AE9" w:rsidRDefault="00217E9D" w:rsidP="00033E77">
      <w:pPr>
        <w:shd w:val="clear" w:color="auto" w:fill="FFFFFF"/>
        <w:spacing w:line="240" w:lineRule="auto"/>
        <w:ind w:firstLine="0"/>
        <w:jc w:val="left"/>
        <w:rPr>
          <w:rFonts w:ascii="Arial" w:eastAsia="Times New Roman" w:hAnsi="Arial" w:cs="Arial"/>
          <w:color w:val="222222"/>
          <w:sz w:val="20"/>
          <w:szCs w:val="20"/>
          <w:lang w:eastAsia="es-ES"/>
        </w:rPr>
      </w:pPr>
    </w:p>
    <w:p w14:paraId="4EB0C2BA"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La mayoría de los centros opera de </w:t>
      </w:r>
      <w:r w:rsidRPr="002F6AE9">
        <w:rPr>
          <w:rFonts w:ascii="Arial" w:eastAsia="Times New Roman" w:hAnsi="Arial" w:cs="Arial"/>
          <w:b/>
          <w:bCs/>
          <w:color w:val="222222"/>
          <w:sz w:val="20"/>
          <w:szCs w:val="20"/>
          <w:lang w:eastAsia="es-ES"/>
        </w:rPr>
        <w:t>lunes a viernes</w:t>
      </w:r>
      <w:r w:rsidRPr="002F6AE9">
        <w:rPr>
          <w:rFonts w:ascii="Arial" w:eastAsia="Times New Roman" w:hAnsi="Arial" w:cs="Arial"/>
          <w:color w:val="222222"/>
          <w:sz w:val="20"/>
          <w:szCs w:val="20"/>
          <w:lang w:eastAsia="es-ES"/>
        </w:rPr>
        <w:t>, aunque algunos mantienen actividad los </w:t>
      </w:r>
      <w:r w:rsidRPr="002F6AE9">
        <w:rPr>
          <w:rFonts w:ascii="Arial" w:eastAsia="Times New Roman" w:hAnsi="Arial" w:cs="Arial"/>
          <w:b/>
          <w:bCs/>
          <w:color w:val="222222"/>
          <w:sz w:val="20"/>
          <w:szCs w:val="20"/>
          <w:lang w:eastAsia="es-ES"/>
        </w:rPr>
        <w:t>fines de semana</w:t>
      </w:r>
      <w:r w:rsidRPr="002F6AE9">
        <w:rPr>
          <w:rFonts w:ascii="Arial" w:eastAsia="Times New Roman" w:hAnsi="Arial" w:cs="Arial"/>
          <w:color w:val="222222"/>
          <w:sz w:val="20"/>
          <w:szCs w:val="20"/>
          <w:lang w:eastAsia="es-ES"/>
        </w:rPr>
        <w:t>. En las principales ciudades (especialmente Madrid y Barcelona), existen también </w:t>
      </w:r>
      <w:r w:rsidRPr="002F6AE9">
        <w:rPr>
          <w:rFonts w:ascii="Arial" w:eastAsia="Times New Roman" w:hAnsi="Arial" w:cs="Arial"/>
          <w:b/>
          <w:bCs/>
          <w:color w:val="222222"/>
          <w:sz w:val="20"/>
          <w:szCs w:val="20"/>
          <w:lang w:eastAsia="es-ES"/>
        </w:rPr>
        <w:t>turnos nocturnos</w:t>
      </w:r>
      <w:r w:rsidR="001062AC" w:rsidRPr="002F6AE9">
        <w:rPr>
          <w:rFonts w:ascii="Arial" w:eastAsia="Times New Roman" w:hAnsi="Arial" w:cs="Arial"/>
          <w:color w:val="222222"/>
          <w:sz w:val="20"/>
          <w:szCs w:val="20"/>
          <w:lang w:eastAsia="es-ES"/>
        </w:rPr>
        <w:t>, con una productividad muy</w:t>
      </w:r>
      <w:r w:rsidRPr="002F6AE9">
        <w:rPr>
          <w:rFonts w:ascii="Arial" w:eastAsia="Times New Roman" w:hAnsi="Arial" w:cs="Arial"/>
          <w:b/>
          <w:bCs/>
          <w:color w:val="222222"/>
          <w:sz w:val="20"/>
          <w:szCs w:val="20"/>
          <w:lang w:eastAsia="es-ES"/>
        </w:rPr>
        <w:t xml:space="preserve"> superior</w:t>
      </w:r>
      <w:r w:rsidRPr="002F6AE9">
        <w:rPr>
          <w:rFonts w:ascii="Arial" w:eastAsia="Times New Roman" w:hAnsi="Arial" w:cs="Arial"/>
          <w:color w:val="222222"/>
          <w:sz w:val="20"/>
          <w:szCs w:val="20"/>
          <w:lang w:eastAsia="es-ES"/>
        </w:rPr>
        <w:t> a la de los turnos diurnos, principalmente por la menor congestión vehicular.</w:t>
      </w:r>
    </w:p>
    <w:p w14:paraId="6E2B4A43" w14:textId="77777777" w:rsidR="00033E77" w:rsidRPr="002F6AE9" w:rsidRDefault="001062AC" w:rsidP="00033E77">
      <w:pPr>
        <w:shd w:val="clear" w:color="auto" w:fill="FFFFFF"/>
        <w:spacing w:before="100" w:beforeAutospacing="1" w:after="100" w:afterAutospacing="1" w:line="240" w:lineRule="auto"/>
        <w:ind w:firstLine="0"/>
        <w:jc w:val="left"/>
        <w:outlineLvl w:val="2"/>
        <w:rPr>
          <w:rFonts w:ascii="Arial" w:eastAsia="Times New Roman" w:hAnsi="Arial" w:cs="Arial"/>
          <w:b/>
          <w:bCs/>
          <w:color w:val="222222"/>
          <w:sz w:val="20"/>
          <w:szCs w:val="20"/>
          <w:lang w:eastAsia="es-ES"/>
        </w:rPr>
      </w:pPr>
      <w:r w:rsidRPr="002F6AE9">
        <w:rPr>
          <w:rFonts w:ascii="Arial" w:eastAsia="Times New Roman" w:hAnsi="Arial" w:cs="Arial"/>
          <w:b/>
          <w:bCs/>
          <w:color w:val="222222"/>
          <w:sz w:val="20"/>
          <w:szCs w:val="20"/>
          <w:lang w:eastAsia="es-ES"/>
        </w:rPr>
        <w:t xml:space="preserve">3.3 </w:t>
      </w:r>
      <w:r w:rsidR="00737B84" w:rsidRPr="002F6AE9">
        <w:rPr>
          <w:rFonts w:ascii="Arial" w:eastAsia="Times New Roman" w:hAnsi="Arial" w:cs="Arial"/>
          <w:b/>
          <w:bCs/>
          <w:color w:val="222222"/>
          <w:sz w:val="20"/>
          <w:szCs w:val="20"/>
          <w:lang w:eastAsia="es-ES"/>
        </w:rPr>
        <w:t>Typical logistic route model (</w:t>
      </w:r>
      <w:r w:rsidR="00033E77" w:rsidRPr="002F6AE9">
        <w:rPr>
          <w:rFonts w:ascii="Arial" w:eastAsia="Times New Roman" w:hAnsi="Arial" w:cs="Arial"/>
          <w:b/>
          <w:bCs/>
          <w:color w:val="222222"/>
          <w:sz w:val="20"/>
          <w:szCs w:val="20"/>
          <w:lang w:eastAsia="es-ES"/>
        </w:rPr>
        <w:t>Estructura de las rutas y servicio</w:t>
      </w:r>
      <w:r w:rsidR="00737B84" w:rsidRPr="002F6AE9">
        <w:rPr>
          <w:rFonts w:ascii="Arial" w:eastAsia="Times New Roman" w:hAnsi="Arial" w:cs="Arial"/>
          <w:b/>
          <w:bCs/>
          <w:color w:val="222222"/>
          <w:sz w:val="20"/>
          <w:szCs w:val="20"/>
          <w:lang w:eastAsia="es-ES"/>
        </w:rPr>
        <w:t>)</w:t>
      </w:r>
    </w:p>
    <w:p w14:paraId="0DCCCD60" w14:textId="77777777" w:rsidR="00033E77" w:rsidRPr="002F6AE9" w:rsidRDefault="00033E77" w:rsidP="00033E77">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Las rutas de servicio local, la distribución de última milla, se reali</w:t>
      </w:r>
      <w:r w:rsidR="0021291C">
        <w:rPr>
          <w:rFonts w:ascii="Arial" w:eastAsia="Times New Roman" w:hAnsi="Arial" w:cs="Arial"/>
          <w:color w:val="222222"/>
          <w:sz w:val="20"/>
          <w:szCs w:val="20"/>
          <w:lang w:eastAsia="es-ES"/>
        </w:rPr>
        <w:t xml:space="preserve">za con vehículos de tamaño ligero </w:t>
      </w:r>
      <w:r w:rsidRPr="002F6AE9">
        <w:rPr>
          <w:rFonts w:ascii="Arial" w:eastAsia="Times New Roman" w:hAnsi="Arial" w:cs="Arial"/>
          <w:color w:val="222222"/>
          <w:sz w:val="20"/>
          <w:szCs w:val="20"/>
          <w:lang w:eastAsia="es-ES"/>
        </w:rPr>
        <w:t>y medio. Cada vehículo realiza en promedio</w:t>
      </w:r>
      <w:r w:rsidR="00217E9D" w:rsidRPr="002F6AE9">
        <w:rPr>
          <w:rFonts w:ascii="Arial" w:eastAsia="Times New Roman" w:hAnsi="Arial" w:cs="Arial"/>
          <w:color w:val="222222"/>
          <w:sz w:val="20"/>
          <w:szCs w:val="20"/>
          <w:lang w:eastAsia="es-ES"/>
        </w:rPr>
        <w:t xml:space="preserve"> de</w:t>
      </w:r>
      <w:r w:rsidRPr="002F6AE9">
        <w:rPr>
          <w:rFonts w:ascii="Arial" w:eastAsia="Times New Roman" w:hAnsi="Arial" w:cs="Arial"/>
          <w:color w:val="222222"/>
          <w:sz w:val="20"/>
          <w:szCs w:val="20"/>
          <w:lang w:eastAsia="es-ES"/>
        </w:rPr>
        <w:t> </w:t>
      </w:r>
      <w:r w:rsidR="00217E9D" w:rsidRPr="002F6AE9">
        <w:rPr>
          <w:rFonts w:ascii="Arial" w:eastAsia="Times New Roman" w:hAnsi="Arial" w:cs="Arial"/>
          <w:b/>
          <w:color w:val="222222"/>
          <w:sz w:val="20"/>
          <w:szCs w:val="20"/>
          <w:lang w:eastAsia="es-ES"/>
        </w:rPr>
        <w:t xml:space="preserve">25 a </w:t>
      </w:r>
      <w:r w:rsidRPr="002F6AE9">
        <w:rPr>
          <w:rFonts w:ascii="Arial" w:eastAsia="Times New Roman" w:hAnsi="Arial" w:cs="Arial"/>
          <w:b/>
          <w:bCs/>
          <w:color w:val="222222"/>
          <w:sz w:val="20"/>
          <w:szCs w:val="20"/>
          <w:lang w:eastAsia="es-ES"/>
        </w:rPr>
        <w:t>30 paradas por jornada</w:t>
      </w:r>
      <w:r w:rsidRPr="002F6AE9">
        <w:rPr>
          <w:rFonts w:ascii="Arial" w:eastAsia="Times New Roman" w:hAnsi="Arial" w:cs="Arial"/>
          <w:color w:val="222222"/>
          <w:sz w:val="20"/>
          <w:szCs w:val="20"/>
          <w:lang w:eastAsia="es-ES"/>
        </w:rPr>
        <w:t>, aunque esta cifra varía según la densidad de puntos de servicio, la región y el día de la semana (los pedidos se confirman con 24 horas de antelación).</w:t>
      </w:r>
    </w:p>
    <w:p w14:paraId="04EF980C" w14:textId="77777777" w:rsidR="00033E77" w:rsidRPr="002F6AE9" w:rsidRDefault="00033E77" w:rsidP="00033E77">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Cada servicio implica:</w:t>
      </w:r>
    </w:p>
    <w:p w14:paraId="76A8B25D" w14:textId="77777777" w:rsidR="00033E77" w:rsidRPr="002F6AE9" w:rsidRDefault="00033E77" w:rsidP="00033E77">
      <w:pPr>
        <w:numPr>
          <w:ilvl w:val="0"/>
          <w:numId w:val="3"/>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Desplazamiento</w:t>
      </w:r>
      <w:r w:rsidRPr="002F6AE9">
        <w:rPr>
          <w:rFonts w:ascii="Arial" w:eastAsia="Times New Roman" w:hAnsi="Arial" w:cs="Arial"/>
          <w:color w:val="222222"/>
          <w:sz w:val="20"/>
          <w:szCs w:val="20"/>
          <w:lang w:eastAsia="es-ES"/>
        </w:rPr>
        <w:t> desde el punto anterior (o desde base, en el primer servicio).</w:t>
      </w:r>
    </w:p>
    <w:p w14:paraId="40CF87DB" w14:textId="77777777" w:rsidR="00033E77" w:rsidRPr="002F6AE9" w:rsidRDefault="00033E77" w:rsidP="00033E77">
      <w:pPr>
        <w:numPr>
          <w:ilvl w:val="0"/>
          <w:numId w:val="3"/>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Estacionamiento</w:t>
      </w:r>
      <w:r w:rsidRPr="002F6AE9">
        <w:rPr>
          <w:rFonts w:ascii="Arial" w:eastAsia="Times New Roman" w:hAnsi="Arial" w:cs="Arial"/>
          <w:color w:val="222222"/>
          <w:sz w:val="20"/>
          <w:szCs w:val="20"/>
          <w:lang w:eastAsia="es-ES"/>
        </w:rPr>
        <w:t> frente al punto de servicio.</w:t>
      </w:r>
    </w:p>
    <w:p w14:paraId="749BAFF3" w14:textId="77777777" w:rsidR="00033E77" w:rsidRPr="002F6AE9" w:rsidRDefault="00033E77" w:rsidP="00033E77">
      <w:pPr>
        <w:numPr>
          <w:ilvl w:val="0"/>
          <w:numId w:val="3"/>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Ejecución del servicio</w:t>
      </w:r>
      <w:r w:rsidRPr="002F6AE9">
        <w:rPr>
          <w:rFonts w:ascii="Arial" w:eastAsia="Times New Roman" w:hAnsi="Arial" w:cs="Arial"/>
          <w:color w:val="222222"/>
          <w:sz w:val="20"/>
          <w:szCs w:val="20"/>
          <w:lang w:eastAsia="es-ES"/>
        </w:rPr>
        <w:t>: el conductor permanece dentro del vehículo con el motor encendido (requisito operativo obligatorio).</w:t>
      </w:r>
    </w:p>
    <w:p w14:paraId="13BA03DA" w14:textId="77777777" w:rsidR="00033E77" w:rsidRPr="002F6AE9" w:rsidRDefault="00033E77" w:rsidP="00033E77">
      <w:pPr>
        <w:numPr>
          <w:ilvl w:val="0"/>
          <w:numId w:val="3"/>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Retorno a la unidad</w:t>
      </w:r>
      <w:r w:rsidRPr="002F6AE9">
        <w:rPr>
          <w:rFonts w:ascii="Arial" w:eastAsia="Times New Roman" w:hAnsi="Arial" w:cs="Arial"/>
          <w:color w:val="222222"/>
          <w:sz w:val="20"/>
          <w:szCs w:val="20"/>
          <w:lang w:eastAsia="es-ES"/>
        </w:rPr>
        <w:t> y continuación de la ruta.</w:t>
      </w:r>
    </w:p>
    <w:p w14:paraId="62327E5C"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El tiempo promedio por servicio es de </w:t>
      </w:r>
      <w:r w:rsidRPr="002F6AE9">
        <w:rPr>
          <w:rFonts w:ascii="Arial" w:eastAsia="Times New Roman" w:hAnsi="Arial" w:cs="Arial"/>
          <w:b/>
          <w:bCs/>
          <w:color w:val="222222"/>
          <w:sz w:val="20"/>
          <w:szCs w:val="20"/>
          <w:lang w:eastAsia="es-ES"/>
        </w:rPr>
        <w:t>5 a 7 minutos</w:t>
      </w:r>
      <w:r w:rsidRPr="002F6AE9">
        <w:rPr>
          <w:rFonts w:ascii="Arial" w:eastAsia="Times New Roman" w:hAnsi="Arial" w:cs="Arial"/>
          <w:color w:val="222222"/>
          <w:sz w:val="20"/>
          <w:szCs w:val="20"/>
          <w:lang w:eastAsia="es-ES"/>
        </w:rPr>
        <w:t>, más </w:t>
      </w:r>
      <w:r w:rsidRPr="002F6AE9">
        <w:rPr>
          <w:rFonts w:ascii="Arial" w:eastAsia="Times New Roman" w:hAnsi="Arial" w:cs="Arial"/>
          <w:b/>
          <w:bCs/>
          <w:color w:val="222222"/>
          <w:sz w:val="20"/>
          <w:szCs w:val="20"/>
          <w:lang w:eastAsia="es-ES"/>
        </w:rPr>
        <w:t>8 a 10 minutos</w:t>
      </w:r>
      <w:r w:rsidRPr="002F6AE9">
        <w:rPr>
          <w:rFonts w:ascii="Arial" w:eastAsia="Times New Roman" w:hAnsi="Arial" w:cs="Arial"/>
          <w:color w:val="222222"/>
          <w:sz w:val="20"/>
          <w:szCs w:val="20"/>
          <w:lang w:eastAsia="es-ES"/>
        </w:rPr>
        <w:t> de traslado entre puntos.</w:t>
      </w:r>
      <w:r w:rsidR="0021291C">
        <w:rPr>
          <w:rFonts w:ascii="Arial" w:eastAsia="Times New Roman" w:hAnsi="Arial" w:cs="Arial"/>
          <w:color w:val="222222"/>
          <w:sz w:val="20"/>
          <w:szCs w:val="20"/>
          <w:lang w:eastAsia="es-ES"/>
        </w:rPr>
        <w:t xml:space="preserve"> </w:t>
      </w:r>
      <w:r w:rsidRPr="002F6AE9">
        <w:rPr>
          <w:rFonts w:ascii="Arial" w:eastAsia="Times New Roman" w:hAnsi="Arial" w:cs="Arial"/>
          <w:color w:val="222222"/>
          <w:sz w:val="20"/>
          <w:szCs w:val="20"/>
          <w:lang w:eastAsia="es-ES"/>
        </w:rPr>
        <w:t>Al finalizar, los vehículos regresan a base para </w:t>
      </w:r>
      <w:r w:rsidRPr="002F6AE9">
        <w:rPr>
          <w:rFonts w:ascii="Arial" w:eastAsia="Times New Roman" w:hAnsi="Arial" w:cs="Arial"/>
          <w:b/>
          <w:bCs/>
          <w:color w:val="222222"/>
          <w:sz w:val="20"/>
          <w:szCs w:val="20"/>
          <w:lang w:eastAsia="es-ES"/>
        </w:rPr>
        <w:t>entregar los valores recogidos</w:t>
      </w:r>
      <w:r w:rsidRPr="002F6AE9">
        <w:rPr>
          <w:rFonts w:ascii="Arial" w:eastAsia="Times New Roman" w:hAnsi="Arial" w:cs="Arial"/>
          <w:color w:val="222222"/>
          <w:sz w:val="20"/>
          <w:szCs w:val="20"/>
          <w:lang w:eastAsia="es-ES"/>
        </w:rPr>
        <w:t> y aquellos que no pudieron ser entregados.</w:t>
      </w:r>
    </w:p>
    <w:p w14:paraId="46268A28" w14:textId="77777777" w:rsidR="00033E77" w:rsidRPr="002F6AE9" w:rsidRDefault="00033E77" w:rsidP="00033E77">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En algunos centros existe infraestructura interna para </w:t>
      </w:r>
      <w:r w:rsidRPr="002F6AE9">
        <w:rPr>
          <w:rFonts w:ascii="Arial" w:eastAsia="Times New Roman" w:hAnsi="Arial" w:cs="Arial"/>
          <w:b/>
          <w:bCs/>
          <w:color w:val="222222"/>
          <w:sz w:val="20"/>
          <w:szCs w:val="20"/>
          <w:lang w:eastAsia="es-ES"/>
        </w:rPr>
        <w:t>repostar combustible</w:t>
      </w:r>
      <w:r w:rsidRPr="002F6AE9">
        <w:rPr>
          <w:rFonts w:ascii="Arial" w:eastAsia="Times New Roman" w:hAnsi="Arial" w:cs="Arial"/>
          <w:color w:val="222222"/>
          <w:sz w:val="20"/>
          <w:szCs w:val="20"/>
          <w:lang w:eastAsia="es-ES"/>
        </w:rPr>
        <w:t>, aunque son la minoría. En los casos restantes, los vehículos se abastecen al finalizar la jornada en estaciones de servicio cercanas. Siempre se procura </w:t>
      </w:r>
      <w:r w:rsidRPr="002F6AE9">
        <w:rPr>
          <w:rFonts w:ascii="Arial" w:eastAsia="Times New Roman" w:hAnsi="Arial" w:cs="Arial"/>
          <w:b/>
          <w:bCs/>
          <w:color w:val="222222"/>
          <w:sz w:val="20"/>
          <w:szCs w:val="20"/>
          <w:lang w:eastAsia="es-ES"/>
        </w:rPr>
        <w:t>evitar la carga de combustible con valores a bordo</w:t>
      </w:r>
      <w:r w:rsidRPr="002F6AE9">
        <w:rPr>
          <w:rFonts w:ascii="Arial" w:eastAsia="Times New Roman" w:hAnsi="Arial" w:cs="Arial"/>
          <w:color w:val="222222"/>
          <w:sz w:val="20"/>
          <w:szCs w:val="20"/>
          <w:lang w:eastAsia="es-ES"/>
        </w:rPr>
        <w:t>, salvo cuando resulta estrictamente necesario.</w:t>
      </w:r>
    </w:p>
    <w:p w14:paraId="4F8EE83D" w14:textId="77777777" w:rsidR="00737B84" w:rsidRPr="002F6AE9" w:rsidRDefault="001062AC" w:rsidP="00737B84">
      <w:pPr>
        <w:shd w:val="clear" w:color="auto" w:fill="FFFFFF"/>
        <w:spacing w:before="100" w:beforeAutospacing="1" w:after="100" w:afterAutospacing="1" w:line="240" w:lineRule="auto"/>
        <w:ind w:firstLine="0"/>
        <w:jc w:val="left"/>
        <w:outlineLvl w:val="2"/>
        <w:rPr>
          <w:rFonts w:ascii="Arial" w:eastAsia="Times New Roman" w:hAnsi="Arial" w:cs="Arial"/>
          <w:b/>
          <w:bCs/>
          <w:color w:val="222222"/>
          <w:sz w:val="20"/>
          <w:szCs w:val="20"/>
          <w:lang w:eastAsia="es-ES"/>
        </w:rPr>
      </w:pPr>
      <w:r w:rsidRPr="002F6AE9">
        <w:rPr>
          <w:rFonts w:ascii="Arial" w:eastAsia="Times New Roman" w:hAnsi="Arial" w:cs="Arial"/>
          <w:b/>
          <w:bCs/>
          <w:color w:val="222222"/>
          <w:sz w:val="20"/>
          <w:szCs w:val="20"/>
          <w:lang w:eastAsia="es-ES"/>
        </w:rPr>
        <w:t xml:space="preserve">3.4 </w:t>
      </w:r>
      <w:r w:rsidR="00737B84" w:rsidRPr="002F6AE9">
        <w:rPr>
          <w:rFonts w:ascii="Arial" w:eastAsia="Times New Roman" w:hAnsi="Arial" w:cs="Arial"/>
          <w:b/>
          <w:bCs/>
          <w:color w:val="222222"/>
          <w:sz w:val="20"/>
          <w:szCs w:val="20"/>
          <w:lang w:eastAsia="es-ES"/>
        </w:rPr>
        <w:t>Shuttle model</w:t>
      </w:r>
      <w:r w:rsidR="00737B84" w:rsidRPr="002F6AE9">
        <w:rPr>
          <w:rFonts w:ascii="Arial" w:hAnsi="Arial" w:cs="Arial"/>
          <w:color w:val="004080"/>
          <w:sz w:val="20"/>
          <w:szCs w:val="20"/>
        </w:rPr>
        <w:t xml:space="preserve"> (</w:t>
      </w:r>
      <w:r w:rsidR="00737B84" w:rsidRPr="002F6AE9">
        <w:rPr>
          <w:rFonts w:ascii="Arial" w:eastAsia="Times New Roman" w:hAnsi="Arial" w:cs="Arial"/>
          <w:b/>
          <w:bCs/>
          <w:color w:val="222222"/>
          <w:sz w:val="20"/>
          <w:szCs w:val="20"/>
          <w:lang w:eastAsia="es-ES"/>
        </w:rPr>
        <w:t>Estructura Rutas Interprovinciales)</w:t>
      </w:r>
    </w:p>
    <w:p w14:paraId="38703F7B" w14:textId="77777777" w:rsidR="00737B84" w:rsidRDefault="00737B84" w:rsidP="00737B84">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Las rutas de servicio interprovinciales se realiza</w:t>
      </w:r>
      <w:r w:rsidR="0021291C">
        <w:rPr>
          <w:rFonts w:ascii="Arial" w:eastAsia="Times New Roman" w:hAnsi="Arial" w:cs="Arial"/>
          <w:color w:val="222222"/>
          <w:sz w:val="20"/>
          <w:szCs w:val="20"/>
          <w:lang w:eastAsia="es-ES"/>
        </w:rPr>
        <w:t>n</w:t>
      </w:r>
      <w:r w:rsidRPr="002F6AE9">
        <w:rPr>
          <w:rFonts w:ascii="Arial" w:eastAsia="Times New Roman" w:hAnsi="Arial" w:cs="Arial"/>
          <w:color w:val="222222"/>
          <w:sz w:val="20"/>
          <w:szCs w:val="20"/>
          <w:lang w:eastAsia="es-ES"/>
        </w:rPr>
        <w:t xml:space="preserve"> con vehículos pesados. Son rutas de punto a punto, sin paradas intermedias.</w:t>
      </w:r>
    </w:p>
    <w:p w14:paraId="45402AEC" w14:textId="77777777" w:rsidR="005D4C4E" w:rsidRDefault="005D4C4E" w:rsidP="00737B84">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p>
    <w:p w14:paraId="49BB8663" w14:textId="77777777" w:rsidR="0021291C" w:rsidRPr="002F6AE9" w:rsidRDefault="0021291C" w:rsidP="00737B84">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1291C">
        <w:rPr>
          <w:rFonts w:ascii="Arial" w:eastAsia="Times New Roman" w:hAnsi="Arial" w:cs="Arial"/>
          <w:noProof/>
          <w:color w:val="222222"/>
          <w:sz w:val="20"/>
          <w:szCs w:val="20"/>
          <w:lang w:eastAsia="es-ES"/>
        </w:rPr>
        <w:drawing>
          <wp:anchor distT="0" distB="0" distL="114300" distR="114300" simplePos="0" relativeHeight="251664384" behindDoc="1" locked="0" layoutInCell="1" allowOverlap="1" wp14:anchorId="61710D25" wp14:editId="491231E9">
            <wp:simplePos x="0" y="0"/>
            <wp:positionH relativeFrom="column">
              <wp:posOffset>4770699</wp:posOffset>
            </wp:positionH>
            <wp:positionV relativeFrom="paragraph">
              <wp:posOffset>549520</wp:posOffset>
            </wp:positionV>
            <wp:extent cx="1405600" cy="280658"/>
            <wp:effectExtent l="19050" t="0" r="4100" b="0"/>
            <wp:wrapNone/>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600" cy="280658"/>
                    </a:xfrm>
                    <a:prstGeom prst="rect">
                      <a:avLst/>
                    </a:prstGeom>
                    <a:noFill/>
                    <a:ln>
                      <a:noFill/>
                    </a:ln>
                  </pic:spPr>
                </pic:pic>
              </a:graphicData>
            </a:graphic>
          </wp:anchor>
        </w:drawing>
      </w:r>
    </w:p>
    <w:p w14:paraId="3A1F57F6" w14:textId="77777777" w:rsidR="00033E77" w:rsidRPr="002F6AE9" w:rsidRDefault="001062AC"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lastRenderedPageBreak/>
        <w:t xml:space="preserve">3.5 </w:t>
      </w:r>
      <w:r w:rsidR="00033E77" w:rsidRPr="002F6AE9">
        <w:rPr>
          <w:rFonts w:ascii="Arial" w:eastAsia="Times New Roman" w:hAnsi="Arial" w:cs="Arial"/>
          <w:b/>
          <w:bCs/>
          <w:color w:val="222222"/>
          <w:sz w:val="20"/>
          <w:szCs w:val="20"/>
          <w:lang w:eastAsia="es-ES"/>
        </w:rPr>
        <w:t>Descripción técnica de los vehículos blindados</w:t>
      </w:r>
    </w:p>
    <w:p w14:paraId="5F7E4398" w14:textId="77777777" w:rsidR="00033E77" w:rsidRPr="002F6AE9" w:rsidRDefault="00033E77" w:rsidP="00033E77">
      <w:pPr>
        <w:shd w:val="clear" w:color="auto" w:fill="FFFFFF"/>
        <w:spacing w:before="100" w:beforeAutospacing="1" w:after="100" w:afterAutospacing="1"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Los</w:t>
      </w:r>
      <w:r w:rsidR="001062AC" w:rsidRPr="002F6AE9">
        <w:rPr>
          <w:rFonts w:ascii="Arial" w:eastAsia="Times New Roman" w:hAnsi="Arial" w:cs="Arial"/>
          <w:color w:val="222222"/>
          <w:sz w:val="20"/>
          <w:szCs w:val="20"/>
          <w:lang w:eastAsia="es-ES"/>
        </w:rPr>
        <w:t xml:space="preserve"> blindados utilizados </w:t>
      </w:r>
      <w:r w:rsidRPr="002F6AE9">
        <w:rPr>
          <w:rFonts w:ascii="Arial" w:eastAsia="Times New Roman" w:hAnsi="Arial" w:cs="Arial"/>
          <w:color w:val="222222"/>
          <w:sz w:val="20"/>
          <w:szCs w:val="20"/>
          <w:lang w:eastAsia="es-ES"/>
        </w:rPr>
        <w:t>presentan una configuración estándar de </w:t>
      </w:r>
      <w:r w:rsidRPr="002F6AE9">
        <w:rPr>
          <w:rFonts w:ascii="Arial" w:eastAsia="Times New Roman" w:hAnsi="Arial" w:cs="Arial"/>
          <w:b/>
          <w:bCs/>
          <w:color w:val="222222"/>
          <w:sz w:val="20"/>
          <w:szCs w:val="20"/>
          <w:lang w:eastAsia="es-ES"/>
        </w:rPr>
        <w:t>tres compartimentos</w:t>
      </w:r>
      <w:r w:rsidRPr="002F6AE9">
        <w:rPr>
          <w:rFonts w:ascii="Arial" w:eastAsia="Times New Roman" w:hAnsi="Arial" w:cs="Arial"/>
          <w:color w:val="222222"/>
          <w:sz w:val="20"/>
          <w:szCs w:val="20"/>
          <w:lang w:eastAsia="es-ES"/>
        </w:rPr>
        <w:t>, que se rep</w:t>
      </w:r>
      <w:r w:rsidR="00217E9D" w:rsidRPr="002F6AE9">
        <w:rPr>
          <w:rFonts w:ascii="Arial" w:eastAsia="Times New Roman" w:hAnsi="Arial" w:cs="Arial"/>
          <w:color w:val="222222"/>
          <w:sz w:val="20"/>
          <w:szCs w:val="20"/>
          <w:lang w:eastAsia="es-ES"/>
        </w:rPr>
        <w:t>lica para cada modelo de camión:</w:t>
      </w:r>
    </w:p>
    <w:p w14:paraId="09F40626" w14:textId="77777777" w:rsidR="00033E77" w:rsidRPr="002F6AE9" w:rsidRDefault="00033E77" w:rsidP="00033E77">
      <w:pPr>
        <w:numPr>
          <w:ilvl w:val="0"/>
          <w:numId w:val="4"/>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Cabina del conductor</w:t>
      </w:r>
    </w:p>
    <w:p w14:paraId="719C90CE"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Acceso exclusivo del conductor.</w:t>
      </w:r>
    </w:p>
    <w:p w14:paraId="1E6C2719"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Blindaje </w:t>
      </w:r>
      <w:r w:rsidRPr="002F6AE9">
        <w:rPr>
          <w:rFonts w:ascii="Arial" w:eastAsia="Times New Roman" w:hAnsi="Arial" w:cs="Arial"/>
          <w:b/>
          <w:bCs/>
          <w:color w:val="222222"/>
          <w:sz w:val="20"/>
          <w:szCs w:val="20"/>
          <w:lang w:eastAsia="es-ES"/>
        </w:rPr>
        <w:t>RB</w:t>
      </w:r>
      <w:r w:rsidR="00217E9D" w:rsidRPr="002F6AE9">
        <w:rPr>
          <w:rFonts w:ascii="Arial" w:eastAsia="Times New Roman" w:hAnsi="Arial" w:cs="Arial"/>
          <w:b/>
          <w:bCs/>
          <w:color w:val="222222"/>
          <w:sz w:val="20"/>
          <w:szCs w:val="20"/>
          <w:lang w:eastAsia="es-ES"/>
        </w:rPr>
        <w:t>6</w:t>
      </w:r>
    </w:p>
    <w:p w14:paraId="3624B217"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Aire acondicionado original de fábrica.</w:t>
      </w:r>
    </w:p>
    <w:p w14:paraId="38D0E530" w14:textId="77777777" w:rsidR="00033E77" w:rsidRPr="002F6AE9" w:rsidRDefault="00033E77" w:rsidP="00033E77">
      <w:pPr>
        <w:numPr>
          <w:ilvl w:val="0"/>
          <w:numId w:val="4"/>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Compartimento operativo (portavalor y custodio)</w:t>
      </w:r>
    </w:p>
    <w:p w14:paraId="40F52B31"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Dos puertas laterales y una puerta interior hacia el compartimento de valores.</w:t>
      </w:r>
    </w:p>
    <w:p w14:paraId="1886DEF4"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Blindaje </w:t>
      </w:r>
      <w:r w:rsidRPr="002F6AE9">
        <w:rPr>
          <w:rFonts w:ascii="Arial" w:eastAsia="Times New Roman" w:hAnsi="Arial" w:cs="Arial"/>
          <w:b/>
          <w:bCs/>
          <w:color w:val="222222"/>
          <w:sz w:val="20"/>
          <w:szCs w:val="20"/>
          <w:lang w:eastAsia="es-ES"/>
        </w:rPr>
        <w:t>RB</w:t>
      </w:r>
      <w:r w:rsidR="00217E9D" w:rsidRPr="002F6AE9">
        <w:rPr>
          <w:rFonts w:ascii="Arial" w:eastAsia="Times New Roman" w:hAnsi="Arial" w:cs="Arial"/>
          <w:b/>
          <w:bCs/>
          <w:color w:val="222222"/>
          <w:sz w:val="20"/>
          <w:szCs w:val="20"/>
          <w:lang w:eastAsia="es-ES"/>
        </w:rPr>
        <w:t>6</w:t>
      </w:r>
      <w:r w:rsidRPr="002F6AE9">
        <w:rPr>
          <w:rFonts w:ascii="Arial" w:eastAsia="Times New Roman" w:hAnsi="Arial" w:cs="Arial"/>
          <w:color w:val="222222"/>
          <w:sz w:val="20"/>
          <w:szCs w:val="20"/>
          <w:lang w:eastAsia="es-ES"/>
        </w:rPr>
        <w:t>.</w:t>
      </w:r>
    </w:p>
    <w:p w14:paraId="0923FC8D"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Sistema de </w:t>
      </w:r>
      <w:r w:rsidRPr="002F6AE9">
        <w:rPr>
          <w:rFonts w:ascii="Arial" w:eastAsia="Times New Roman" w:hAnsi="Arial" w:cs="Arial"/>
          <w:b/>
          <w:bCs/>
          <w:color w:val="222222"/>
          <w:sz w:val="20"/>
          <w:szCs w:val="20"/>
          <w:lang w:eastAsia="es-ES"/>
        </w:rPr>
        <w:t>aire acondicionado adicional</w:t>
      </w:r>
      <w:r w:rsidRPr="002F6AE9">
        <w:rPr>
          <w:rFonts w:ascii="Arial" w:eastAsia="Times New Roman" w:hAnsi="Arial" w:cs="Arial"/>
          <w:color w:val="222222"/>
          <w:sz w:val="20"/>
          <w:szCs w:val="20"/>
          <w:lang w:eastAsia="es-ES"/>
        </w:rPr>
        <w:t> para refrigeración y calefacción.</w:t>
      </w:r>
    </w:p>
    <w:p w14:paraId="449C72C2" w14:textId="77777777" w:rsidR="00033E77" w:rsidRPr="002F6AE9" w:rsidRDefault="00033E77" w:rsidP="00033E77">
      <w:pPr>
        <w:numPr>
          <w:ilvl w:val="0"/>
          <w:numId w:val="4"/>
        </w:numPr>
        <w:shd w:val="clear" w:color="auto" w:fill="FFFFFF"/>
        <w:spacing w:after="100" w:afterAutospacing="1" w:line="240" w:lineRule="auto"/>
        <w:ind w:left="804"/>
        <w:jc w:val="left"/>
        <w:rPr>
          <w:rFonts w:ascii="Arial" w:eastAsia="Times New Roman" w:hAnsi="Arial" w:cs="Arial"/>
          <w:color w:val="222222"/>
          <w:sz w:val="20"/>
          <w:szCs w:val="20"/>
          <w:lang w:eastAsia="es-ES"/>
        </w:rPr>
      </w:pPr>
      <w:r w:rsidRPr="002F6AE9">
        <w:rPr>
          <w:rFonts w:ascii="Arial" w:eastAsia="Times New Roman" w:hAnsi="Arial" w:cs="Arial"/>
          <w:b/>
          <w:bCs/>
          <w:color w:val="222222"/>
          <w:sz w:val="20"/>
          <w:szCs w:val="20"/>
          <w:lang w:eastAsia="es-ES"/>
        </w:rPr>
        <w:t>Compartimento de valores</w:t>
      </w:r>
    </w:p>
    <w:p w14:paraId="40EB4588"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Conectado con el área operativa y con el </w:t>
      </w:r>
      <w:r w:rsidRPr="002F6AE9">
        <w:rPr>
          <w:rFonts w:ascii="Arial" w:eastAsia="Times New Roman" w:hAnsi="Arial" w:cs="Arial"/>
          <w:b/>
          <w:bCs/>
          <w:color w:val="222222"/>
          <w:sz w:val="20"/>
          <w:szCs w:val="20"/>
          <w:lang w:eastAsia="es-ES"/>
        </w:rPr>
        <w:t>portón trasero</w:t>
      </w:r>
      <w:r w:rsidRPr="002F6AE9">
        <w:rPr>
          <w:rFonts w:ascii="Arial" w:eastAsia="Times New Roman" w:hAnsi="Arial" w:cs="Arial"/>
          <w:color w:val="222222"/>
          <w:sz w:val="20"/>
          <w:szCs w:val="20"/>
          <w:lang w:eastAsia="es-ES"/>
        </w:rPr>
        <w:t>.</w:t>
      </w:r>
    </w:p>
    <w:p w14:paraId="1CD75012"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Blindaje </w:t>
      </w:r>
      <w:r w:rsidRPr="002F6AE9">
        <w:rPr>
          <w:rFonts w:ascii="Arial" w:eastAsia="Times New Roman" w:hAnsi="Arial" w:cs="Arial"/>
          <w:b/>
          <w:bCs/>
          <w:color w:val="222222"/>
          <w:sz w:val="20"/>
          <w:szCs w:val="20"/>
          <w:lang w:eastAsia="es-ES"/>
        </w:rPr>
        <w:t>RB</w:t>
      </w:r>
      <w:r w:rsidR="00217E9D" w:rsidRPr="002F6AE9">
        <w:rPr>
          <w:rFonts w:ascii="Arial" w:eastAsia="Times New Roman" w:hAnsi="Arial" w:cs="Arial"/>
          <w:b/>
          <w:bCs/>
          <w:color w:val="222222"/>
          <w:sz w:val="20"/>
          <w:szCs w:val="20"/>
          <w:lang w:eastAsia="es-ES"/>
        </w:rPr>
        <w:t>4</w:t>
      </w:r>
      <w:r w:rsidRPr="002F6AE9">
        <w:rPr>
          <w:rFonts w:ascii="Arial" w:eastAsia="Times New Roman" w:hAnsi="Arial" w:cs="Arial"/>
          <w:color w:val="222222"/>
          <w:sz w:val="20"/>
          <w:szCs w:val="20"/>
          <w:lang w:eastAsia="es-ES"/>
        </w:rPr>
        <w:t>, de menor nivel, para </w:t>
      </w:r>
      <w:r w:rsidRPr="002F6AE9">
        <w:rPr>
          <w:rFonts w:ascii="Arial" w:eastAsia="Times New Roman" w:hAnsi="Arial" w:cs="Arial"/>
          <w:b/>
          <w:bCs/>
          <w:color w:val="222222"/>
          <w:sz w:val="20"/>
          <w:szCs w:val="20"/>
          <w:lang w:eastAsia="es-ES"/>
        </w:rPr>
        <w:t>reducir peso total</w:t>
      </w:r>
      <w:r w:rsidRPr="002F6AE9">
        <w:rPr>
          <w:rFonts w:ascii="Arial" w:eastAsia="Times New Roman" w:hAnsi="Arial" w:cs="Arial"/>
          <w:color w:val="222222"/>
          <w:sz w:val="20"/>
          <w:szCs w:val="20"/>
          <w:lang w:eastAsia="es-ES"/>
        </w:rPr>
        <w:t>.</w:t>
      </w:r>
    </w:p>
    <w:p w14:paraId="0B2777F7" w14:textId="77777777" w:rsidR="00033E77" w:rsidRPr="002F6AE9" w:rsidRDefault="00033E77" w:rsidP="00033E77">
      <w:pPr>
        <w:numPr>
          <w:ilvl w:val="1"/>
          <w:numId w:val="4"/>
        </w:numPr>
        <w:shd w:val="clear" w:color="auto" w:fill="FFFFFF"/>
        <w:spacing w:after="100" w:afterAutospacing="1" w:line="240" w:lineRule="auto"/>
        <w:ind w:left="1608"/>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No cuenta con climatización.</w:t>
      </w:r>
    </w:p>
    <w:p w14:paraId="043205C4" w14:textId="77777777" w:rsidR="00033E77" w:rsidRPr="002F6AE9" w:rsidRDefault="00033E77" w:rsidP="00033E77">
      <w:pPr>
        <w:shd w:val="clear" w:color="auto" w:fill="FFFFFF"/>
        <w:spacing w:line="240" w:lineRule="auto"/>
        <w:ind w:firstLine="0"/>
        <w:jc w:val="left"/>
        <w:rPr>
          <w:rFonts w:ascii="Arial" w:eastAsia="Times New Roman" w:hAnsi="Arial" w:cs="Arial"/>
          <w:color w:val="222222"/>
          <w:sz w:val="20"/>
          <w:szCs w:val="20"/>
          <w:lang w:eastAsia="es-ES"/>
        </w:rPr>
      </w:pPr>
      <w:r w:rsidRPr="002F6AE9">
        <w:rPr>
          <w:rFonts w:ascii="Arial" w:eastAsia="Times New Roman" w:hAnsi="Arial" w:cs="Arial"/>
          <w:color w:val="222222"/>
          <w:sz w:val="20"/>
          <w:szCs w:val="20"/>
          <w:lang w:eastAsia="es-ES"/>
        </w:rPr>
        <w:t>El </w:t>
      </w:r>
      <w:r w:rsidRPr="002F6AE9">
        <w:rPr>
          <w:rFonts w:ascii="Arial" w:eastAsia="Times New Roman" w:hAnsi="Arial" w:cs="Arial"/>
          <w:b/>
          <w:bCs/>
          <w:color w:val="222222"/>
          <w:sz w:val="20"/>
          <w:szCs w:val="20"/>
          <w:lang w:eastAsia="es-ES"/>
        </w:rPr>
        <w:t>peso total</w:t>
      </w:r>
      <w:r w:rsidR="00737B84" w:rsidRPr="002F6AE9">
        <w:rPr>
          <w:rFonts w:ascii="Arial" w:eastAsia="Times New Roman" w:hAnsi="Arial" w:cs="Arial"/>
          <w:color w:val="222222"/>
          <w:sz w:val="20"/>
          <w:szCs w:val="20"/>
          <w:lang w:eastAsia="es-ES"/>
        </w:rPr>
        <w:t xml:space="preserve"> de estos vehículos varía desde las </w:t>
      </w:r>
      <w:r w:rsidR="00737B84" w:rsidRPr="002F6AE9">
        <w:rPr>
          <w:rFonts w:ascii="Arial" w:eastAsia="Times New Roman" w:hAnsi="Arial" w:cs="Arial"/>
          <w:b/>
          <w:bCs/>
          <w:color w:val="222222"/>
          <w:sz w:val="20"/>
          <w:szCs w:val="20"/>
          <w:lang w:eastAsia="es-ES"/>
        </w:rPr>
        <w:t xml:space="preserve">6 a </w:t>
      </w:r>
      <w:r w:rsidRPr="002F6AE9">
        <w:rPr>
          <w:rFonts w:ascii="Arial" w:eastAsia="Times New Roman" w:hAnsi="Arial" w:cs="Arial"/>
          <w:b/>
          <w:bCs/>
          <w:color w:val="222222"/>
          <w:sz w:val="20"/>
          <w:szCs w:val="20"/>
          <w:lang w:eastAsia="es-ES"/>
        </w:rPr>
        <w:t>las </w:t>
      </w:r>
      <w:r w:rsidR="00217E9D" w:rsidRPr="002F6AE9">
        <w:rPr>
          <w:rFonts w:ascii="Arial" w:eastAsia="Times New Roman" w:hAnsi="Arial" w:cs="Arial"/>
          <w:b/>
          <w:bCs/>
          <w:color w:val="222222"/>
          <w:sz w:val="20"/>
          <w:szCs w:val="20"/>
          <w:lang w:eastAsia="es-ES"/>
        </w:rPr>
        <w:t>12</w:t>
      </w:r>
      <w:r w:rsidRPr="002F6AE9">
        <w:rPr>
          <w:rFonts w:ascii="Arial" w:eastAsia="Times New Roman" w:hAnsi="Arial" w:cs="Arial"/>
          <w:b/>
          <w:bCs/>
          <w:color w:val="222222"/>
          <w:sz w:val="20"/>
          <w:szCs w:val="20"/>
          <w:lang w:eastAsia="es-ES"/>
        </w:rPr>
        <w:t xml:space="preserve"> toneladas</w:t>
      </w:r>
      <w:r w:rsidRPr="002F6AE9">
        <w:rPr>
          <w:rFonts w:ascii="Arial" w:eastAsia="Times New Roman" w:hAnsi="Arial" w:cs="Arial"/>
          <w:color w:val="222222"/>
          <w:sz w:val="20"/>
          <w:szCs w:val="20"/>
          <w:lang w:eastAsia="es-ES"/>
        </w:rPr>
        <w:t>, con ejes reforzados para soportar la carga.</w:t>
      </w:r>
      <w:r w:rsidR="002F6AE9">
        <w:rPr>
          <w:rFonts w:ascii="Arial" w:eastAsia="Times New Roman" w:hAnsi="Arial" w:cs="Arial"/>
          <w:color w:val="222222"/>
          <w:sz w:val="20"/>
          <w:szCs w:val="20"/>
          <w:lang w:eastAsia="es-ES"/>
        </w:rPr>
        <w:t xml:space="preserve"> </w:t>
      </w:r>
      <w:r w:rsidRPr="002F6AE9">
        <w:rPr>
          <w:rFonts w:ascii="Arial" w:eastAsia="Times New Roman" w:hAnsi="Arial" w:cs="Arial"/>
          <w:color w:val="222222"/>
          <w:sz w:val="20"/>
          <w:szCs w:val="20"/>
          <w:lang w:eastAsia="es-ES"/>
        </w:rPr>
        <w:t>Este elevado peso, sumado al funcionamiento continuo del motor y al aire acondicionado adicional, genera un alto consumo de combustible y niveles significativos de emisiones contaminantes, factores clave a considerar en cualquier estrategia de descarbonificación del transporte de valores.</w:t>
      </w:r>
    </w:p>
    <w:p w14:paraId="0E13EB2D" w14:textId="77777777" w:rsidR="00033E77" w:rsidRPr="001B069C" w:rsidRDefault="00033E77" w:rsidP="00033E77">
      <w:pPr>
        <w:pStyle w:val="NormalWeb"/>
        <w:shd w:val="clear" w:color="auto" w:fill="FFFFFF"/>
        <w:rPr>
          <w:rFonts w:ascii="Arial" w:hAnsi="Arial" w:cs="Arial"/>
          <w:color w:val="004080"/>
          <w:sz w:val="20"/>
          <w:szCs w:val="20"/>
        </w:rPr>
      </w:pPr>
      <w:r w:rsidRPr="002F6AE9">
        <w:rPr>
          <w:rFonts w:ascii="Arial" w:hAnsi="Arial" w:cs="Arial"/>
          <w:color w:val="004080"/>
          <w:sz w:val="20"/>
          <w:szCs w:val="20"/>
          <w:lang w:val="en-US"/>
        </w:rPr>
        <w:t>4) Data on vehicle cost divided by technology (see attached file  : </w:t>
      </w:r>
      <w:r w:rsidRPr="002F6AE9">
        <w:rPr>
          <w:rFonts w:ascii="Arial" w:hAnsi="Arial" w:cs="Arial"/>
          <w:i/>
          <w:iCs/>
          <w:color w:val="004080"/>
          <w:sz w:val="20"/>
          <w:szCs w:val="20"/>
          <w:lang w:val="en-US"/>
        </w:rPr>
        <w:t>vehicle_data_full_data_set.csv</w:t>
      </w:r>
      <w:r w:rsidRPr="002F6AE9">
        <w:rPr>
          <w:rFonts w:ascii="Arial" w:hAnsi="Arial" w:cs="Arial"/>
          <w:color w:val="004080"/>
          <w:sz w:val="20"/>
          <w:szCs w:val="20"/>
          <w:lang w:val="en-US"/>
        </w:rPr>
        <w:t xml:space="preserve">). </w:t>
      </w:r>
      <w:r w:rsidRPr="001B069C">
        <w:rPr>
          <w:rFonts w:ascii="Arial" w:hAnsi="Arial" w:cs="Arial"/>
          <w:color w:val="004080"/>
          <w:sz w:val="20"/>
          <w:szCs w:val="20"/>
        </w:rPr>
        <w:t>[if available]</w:t>
      </w:r>
    </w:p>
    <w:p w14:paraId="2D31CEF4" w14:textId="77777777" w:rsidR="002C679D" w:rsidRPr="002F6AE9" w:rsidRDefault="00217E9D" w:rsidP="002C679D">
      <w:pPr>
        <w:spacing w:line="240" w:lineRule="auto"/>
        <w:ind w:firstLine="0"/>
        <w:rPr>
          <w:rFonts w:ascii="Arial" w:hAnsi="Arial" w:cs="Arial"/>
          <w:sz w:val="20"/>
          <w:szCs w:val="20"/>
        </w:rPr>
      </w:pPr>
      <w:r w:rsidRPr="002F6AE9">
        <w:rPr>
          <w:rFonts w:ascii="Arial" w:hAnsi="Arial" w:cs="Arial"/>
          <w:sz w:val="20"/>
          <w:szCs w:val="20"/>
        </w:rPr>
        <w:t>Hemos considerado una variante de Km recorridos anuales por tipo de camión (LDT,MDT,HDT). Información que está actualizada en la pestaña vehicle_data_set</w:t>
      </w:r>
      <w:r w:rsidR="002C679D">
        <w:rPr>
          <w:rFonts w:ascii="Arial" w:hAnsi="Arial" w:cs="Arial"/>
          <w:sz w:val="20"/>
          <w:szCs w:val="20"/>
        </w:rPr>
        <w:t xml:space="preserve">. </w:t>
      </w:r>
    </w:p>
    <w:p w14:paraId="6ADD238E" w14:textId="77777777" w:rsidR="002C679D" w:rsidRPr="002F6AE9" w:rsidRDefault="002C679D" w:rsidP="002C679D">
      <w:pPr>
        <w:spacing w:line="240" w:lineRule="auto"/>
        <w:ind w:firstLine="0"/>
        <w:rPr>
          <w:rFonts w:ascii="Arial" w:hAnsi="Arial" w:cs="Arial"/>
          <w:sz w:val="20"/>
          <w:szCs w:val="20"/>
        </w:rPr>
      </w:pPr>
      <w:r w:rsidRPr="002F6AE9">
        <w:rPr>
          <w:rFonts w:ascii="Arial" w:hAnsi="Arial" w:cs="Arial"/>
          <w:sz w:val="20"/>
          <w:szCs w:val="20"/>
        </w:rPr>
        <w:t>El resto de la data se mantiene igual.</w:t>
      </w:r>
    </w:p>
    <w:p w14:paraId="40A9F247" w14:textId="77777777" w:rsidR="002C679D" w:rsidRDefault="002C679D" w:rsidP="002C679D">
      <w:pPr>
        <w:ind w:firstLine="0"/>
        <w:rPr>
          <w:rFonts w:ascii="Arial" w:hAnsi="Arial" w:cs="Arial"/>
          <w:b/>
          <w:i/>
          <w:sz w:val="20"/>
          <w:szCs w:val="20"/>
        </w:rPr>
      </w:pPr>
    </w:p>
    <w:p w14:paraId="52C052A7" w14:textId="77777777" w:rsidR="002C679D" w:rsidRPr="002C679D" w:rsidRDefault="002C679D" w:rsidP="002C679D">
      <w:pPr>
        <w:ind w:firstLine="0"/>
        <w:rPr>
          <w:rFonts w:ascii="Arial" w:hAnsi="Arial" w:cs="Arial"/>
          <w:b/>
          <w:i/>
          <w:sz w:val="20"/>
          <w:szCs w:val="20"/>
        </w:rPr>
      </w:pPr>
      <w:r w:rsidRPr="002C679D">
        <w:rPr>
          <w:rFonts w:ascii="Arial" w:hAnsi="Arial" w:cs="Arial"/>
          <w:b/>
          <w:i/>
          <w:sz w:val="20"/>
          <w:szCs w:val="20"/>
        </w:rPr>
        <w:t>Nota: Ver pestaña vehicle_data_set en fichero excel adjunto.</w:t>
      </w:r>
    </w:p>
    <w:p w14:paraId="372FA7BC" w14:textId="77777777" w:rsidR="001062AC" w:rsidRPr="002F6AE9" w:rsidRDefault="001062AC" w:rsidP="00217E9D">
      <w:pPr>
        <w:spacing w:line="240" w:lineRule="auto"/>
        <w:ind w:firstLine="0"/>
        <w:rPr>
          <w:rFonts w:ascii="Arial" w:hAnsi="Arial" w:cs="Arial"/>
          <w:sz w:val="20"/>
          <w:szCs w:val="20"/>
        </w:rPr>
      </w:pPr>
    </w:p>
    <w:tbl>
      <w:tblPr>
        <w:tblW w:w="7360" w:type="dxa"/>
        <w:tblInd w:w="64" w:type="dxa"/>
        <w:tblCellMar>
          <w:left w:w="70" w:type="dxa"/>
          <w:right w:w="70" w:type="dxa"/>
        </w:tblCellMar>
        <w:tblLook w:val="04A0" w:firstRow="1" w:lastRow="0" w:firstColumn="1" w:lastColumn="0" w:noHBand="0" w:noVBand="1"/>
      </w:tblPr>
      <w:tblGrid>
        <w:gridCol w:w="1263"/>
        <w:gridCol w:w="1200"/>
        <w:gridCol w:w="1200"/>
        <w:gridCol w:w="1360"/>
        <w:gridCol w:w="1200"/>
        <w:gridCol w:w="1200"/>
      </w:tblGrid>
      <w:tr w:rsidR="001062AC" w:rsidRPr="001062AC" w14:paraId="503349EA" w14:textId="77777777" w:rsidTr="001062AC">
        <w:trPr>
          <w:trHeight w:val="300"/>
        </w:trPr>
        <w:tc>
          <w:tcPr>
            <w:tcW w:w="1200" w:type="dxa"/>
            <w:tcBorders>
              <w:top w:val="nil"/>
              <w:left w:val="nil"/>
              <w:bottom w:val="single" w:sz="12" w:space="0" w:color="FFFFFF"/>
              <w:right w:val="single" w:sz="4" w:space="0" w:color="FFFFFF"/>
            </w:tcBorders>
            <w:shd w:val="clear" w:color="000000" w:fill="4F81BD"/>
            <w:noWrap/>
            <w:vAlign w:val="bottom"/>
            <w:hideMark/>
          </w:tcPr>
          <w:p w14:paraId="3A42B3AF"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Technology</w:t>
            </w:r>
          </w:p>
        </w:tc>
        <w:tc>
          <w:tcPr>
            <w:tcW w:w="1200" w:type="dxa"/>
            <w:tcBorders>
              <w:top w:val="nil"/>
              <w:left w:val="nil"/>
              <w:bottom w:val="single" w:sz="12" w:space="0" w:color="FFFFFF"/>
              <w:right w:val="single" w:sz="4" w:space="0" w:color="FFFFFF"/>
            </w:tcBorders>
            <w:shd w:val="clear" w:color="000000" w:fill="4F81BD"/>
            <w:noWrap/>
            <w:vAlign w:val="bottom"/>
            <w:hideMark/>
          </w:tcPr>
          <w:p w14:paraId="2BF418FE"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TIPO</w:t>
            </w:r>
          </w:p>
        </w:tc>
        <w:tc>
          <w:tcPr>
            <w:tcW w:w="1200" w:type="dxa"/>
            <w:tcBorders>
              <w:top w:val="nil"/>
              <w:left w:val="nil"/>
              <w:bottom w:val="single" w:sz="12" w:space="0" w:color="FFFFFF"/>
              <w:right w:val="nil"/>
            </w:tcBorders>
            <w:shd w:val="clear" w:color="000000" w:fill="4F81BD"/>
            <w:noWrap/>
            <w:vAlign w:val="bottom"/>
            <w:hideMark/>
          </w:tcPr>
          <w:p w14:paraId="4E6F88A3"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Litros Mes</w:t>
            </w:r>
          </w:p>
        </w:tc>
        <w:tc>
          <w:tcPr>
            <w:tcW w:w="1360" w:type="dxa"/>
            <w:tcBorders>
              <w:top w:val="nil"/>
              <w:left w:val="nil"/>
              <w:bottom w:val="single" w:sz="12" w:space="0" w:color="FFFFFF"/>
              <w:right w:val="nil"/>
            </w:tcBorders>
            <w:shd w:val="clear" w:color="000000" w:fill="4F81BD"/>
            <w:noWrap/>
            <w:vAlign w:val="bottom"/>
            <w:hideMark/>
          </w:tcPr>
          <w:p w14:paraId="27D9B02E"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Litros/100 km</w:t>
            </w:r>
          </w:p>
        </w:tc>
        <w:tc>
          <w:tcPr>
            <w:tcW w:w="1200" w:type="dxa"/>
            <w:tcBorders>
              <w:top w:val="nil"/>
              <w:left w:val="nil"/>
              <w:bottom w:val="single" w:sz="12" w:space="0" w:color="FFFFFF"/>
              <w:right w:val="nil"/>
            </w:tcBorders>
            <w:shd w:val="clear" w:color="000000" w:fill="4F81BD"/>
            <w:noWrap/>
            <w:vAlign w:val="bottom"/>
            <w:hideMark/>
          </w:tcPr>
          <w:p w14:paraId="65489BD1"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Km/mes</w:t>
            </w:r>
          </w:p>
        </w:tc>
        <w:tc>
          <w:tcPr>
            <w:tcW w:w="1200" w:type="dxa"/>
            <w:tcBorders>
              <w:top w:val="nil"/>
              <w:left w:val="nil"/>
              <w:bottom w:val="single" w:sz="12" w:space="0" w:color="FFFFFF"/>
              <w:right w:val="nil"/>
            </w:tcBorders>
            <w:shd w:val="clear" w:color="000000" w:fill="4F81BD"/>
            <w:noWrap/>
            <w:vAlign w:val="bottom"/>
            <w:hideMark/>
          </w:tcPr>
          <w:p w14:paraId="2D8E893A" w14:textId="77777777" w:rsidR="001062AC" w:rsidRPr="001062AC" w:rsidRDefault="001062AC" w:rsidP="001062AC">
            <w:pPr>
              <w:spacing w:line="240" w:lineRule="auto"/>
              <w:ind w:firstLine="0"/>
              <w:jc w:val="center"/>
              <w:rPr>
                <w:rFonts w:ascii="Arial" w:eastAsia="Times New Roman" w:hAnsi="Arial" w:cs="Arial"/>
                <w:b/>
                <w:bCs/>
                <w:color w:val="FFFFFF"/>
                <w:sz w:val="20"/>
                <w:szCs w:val="20"/>
                <w:lang w:eastAsia="es-ES"/>
              </w:rPr>
            </w:pPr>
            <w:r w:rsidRPr="001062AC">
              <w:rPr>
                <w:rFonts w:ascii="Arial" w:eastAsia="Times New Roman" w:hAnsi="Arial" w:cs="Arial"/>
                <w:b/>
                <w:bCs/>
                <w:color w:val="FFFFFF"/>
                <w:sz w:val="20"/>
                <w:szCs w:val="20"/>
                <w:lang w:eastAsia="es-ES"/>
              </w:rPr>
              <w:t>KM/Año</w:t>
            </w:r>
          </w:p>
        </w:tc>
      </w:tr>
      <w:tr w:rsidR="001062AC" w:rsidRPr="001062AC" w14:paraId="146E586A" w14:textId="77777777" w:rsidTr="001062AC">
        <w:trPr>
          <w:trHeight w:val="300"/>
        </w:trPr>
        <w:tc>
          <w:tcPr>
            <w:tcW w:w="1200" w:type="dxa"/>
            <w:tcBorders>
              <w:top w:val="nil"/>
              <w:left w:val="nil"/>
              <w:bottom w:val="single" w:sz="4" w:space="0" w:color="FFFFFF"/>
              <w:right w:val="single" w:sz="4" w:space="0" w:color="FFFFFF"/>
            </w:tcBorders>
            <w:shd w:val="clear" w:color="B8CCE4" w:fill="B8CCE4"/>
            <w:noWrap/>
            <w:vAlign w:val="bottom"/>
            <w:hideMark/>
          </w:tcPr>
          <w:p w14:paraId="5AA779A9"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ICE-D</w:t>
            </w:r>
          </w:p>
        </w:tc>
        <w:tc>
          <w:tcPr>
            <w:tcW w:w="1200" w:type="dxa"/>
            <w:tcBorders>
              <w:top w:val="nil"/>
              <w:left w:val="nil"/>
              <w:bottom w:val="single" w:sz="4" w:space="0" w:color="FFFFFF"/>
              <w:right w:val="single" w:sz="4" w:space="0" w:color="FFFFFF"/>
            </w:tcBorders>
            <w:shd w:val="clear" w:color="B8CCE4" w:fill="B8CCE4"/>
            <w:noWrap/>
            <w:vAlign w:val="bottom"/>
            <w:hideMark/>
          </w:tcPr>
          <w:p w14:paraId="65F3388F"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LDT</w:t>
            </w:r>
          </w:p>
        </w:tc>
        <w:tc>
          <w:tcPr>
            <w:tcW w:w="1200" w:type="dxa"/>
            <w:tcBorders>
              <w:top w:val="nil"/>
              <w:left w:val="nil"/>
              <w:bottom w:val="single" w:sz="4" w:space="0" w:color="FFFFFF"/>
              <w:right w:val="nil"/>
            </w:tcBorders>
            <w:shd w:val="clear" w:color="B8CCE4" w:fill="B8CCE4"/>
            <w:noWrap/>
            <w:vAlign w:val="bottom"/>
            <w:hideMark/>
          </w:tcPr>
          <w:p w14:paraId="3ECDC2EE"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517,5</w:t>
            </w:r>
          </w:p>
        </w:tc>
        <w:tc>
          <w:tcPr>
            <w:tcW w:w="1360" w:type="dxa"/>
            <w:tcBorders>
              <w:top w:val="nil"/>
              <w:left w:val="nil"/>
              <w:bottom w:val="single" w:sz="4" w:space="0" w:color="FFFFFF"/>
              <w:right w:val="nil"/>
            </w:tcBorders>
            <w:shd w:val="clear" w:color="B8CCE4" w:fill="B8CCE4"/>
            <w:noWrap/>
            <w:vAlign w:val="bottom"/>
            <w:hideMark/>
          </w:tcPr>
          <w:p w14:paraId="76BBFD66"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21,64</w:t>
            </w:r>
          </w:p>
        </w:tc>
        <w:tc>
          <w:tcPr>
            <w:tcW w:w="1200" w:type="dxa"/>
            <w:tcBorders>
              <w:top w:val="nil"/>
              <w:left w:val="nil"/>
              <w:bottom w:val="single" w:sz="4" w:space="0" w:color="FFFFFF"/>
              <w:right w:val="nil"/>
            </w:tcBorders>
            <w:shd w:val="clear" w:color="B8CCE4" w:fill="B8CCE4"/>
            <w:noWrap/>
            <w:vAlign w:val="bottom"/>
            <w:hideMark/>
          </w:tcPr>
          <w:p w14:paraId="24F52333"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3.150</w:t>
            </w:r>
          </w:p>
        </w:tc>
        <w:tc>
          <w:tcPr>
            <w:tcW w:w="1200" w:type="dxa"/>
            <w:tcBorders>
              <w:top w:val="nil"/>
              <w:left w:val="nil"/>
              <w:bottom w:val="single" w:sz="4" w:space="0" w:color="FFFFFF"/>
              <w:right w:val="nil"/>
            </w:tcBorders>
            <w:shd w:val="clear" w:color="B8CCE4" w:fill="B8CCE4"/>
            <w:noWrap/>
            <w:vAlign w:val="bottom"/>
            <w:hideMark/>
          </w:tcPr>
          <w:p w14:paraId="6B5419CA"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37.800</w:t>
            </w:r>
          </w:p>
        </w:tc>
      </w:tr>
      <w:tr w:rsidR="001062AC" w:rsidRPr="001062AC" w14:paraId="5B54CF40" w14:textId="77777777" w:rsidTr="001062AC">
        <w:trPr>
          <w:trHeight w:val="290"/>
        </w:trPr>
        <w:tc>
          <w:tcPr>
            <w:tcW w:w="1200" w:type="dxa"/>
            <w:tcBorders>
              <w:top w:val="nil"/>
              <w:left w:val="nil"/>
              <w:bottom w:val="single" w:sz="4" w:space="0" w:color="FFFFFF"/>
              <w:right w:val="single" w:sz="4" w:space="0" w:color="FFFFFF"/>
            </w:tcBorders>
            <w:shd w:val="clear" w:color="DBE5F1" w:fill="DBE5F1"/>
            <w:noWrap/>
            <w:vAlign w:val="bottom"/>
            <w:hideMark/>
          </w:tcPr>
          <w:p w14:paraId="6842A210"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ICE-D</w:t>
            </w:r>
          </w:p>
        </w:tc>
        <w:tc>
          <w:tcPr>
            <w:tcW w:w="1200" w:type="dxa"/>
            <w:tcBorders>
              <w:top w:val="nil"/>
              <w:left w:val="nil"/>
              <w:bottom w:val="single" w:sz="4" w:space="0" w:color="FFFFFF"/>
              <w:right w:val="single" w:sz="4" w:space="0" w:color="FFFFFF"/>
            </w:tcBorders>
            <w:shd w:val="clear" w:color="DBE5F1" w:fill="DBE5F1"/>
            <w:noWrap/>
            <w:vAlign w:val="bottom"/>
            <w:hideMark/>
          </w:tcPr>
          <w:p w14:paraId="5F502B8F"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MDT</w:t>
            </w:r>
          </w:p>
        </w:tc>
        <w:tc>
          <w:tcPr>
            <w:tcW w:w="1200" w:type="dxa"/>
            <w:tcBorders>
              <w:top w:val="nil"/>
              <w:left w:val="nil"/>
              <w:bottom w:val="single" w:sz="4" w:space="0" w:color="FFFFFF"/>
              <w:right w:val="nil"/>
            </w:tcBorders>
            <w:shd w:val="clear" w:color="DBE5F1" w:fill="DBE5F1"/>
            <w:noWrap/>
            <w:vAlign w:val="bottom"/>
            <w:hideMark/>
          </w:tcPr>
          <w:p w14:paraId="21A3EE6F"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726,58</w:t>
            </w:r>
          </w:p>
        </w:tc>
        <w:tc>
          <w:tcPr>
            <w:tcW w:w="1360" w:type="dxa"/>
            <w:tcBorders>
              <w:top w:val="nil"/>
              <w:left w:val="nil"/>
              <w:bottom w:val="single" w:sz="4" w:space="0" w:color="FFFFFF"/>
              <w:right w:val="nil"/>
            </w:tcBorders>
            <w:shd w:val="clear" w:color="DBE5F1" w:fill="DBE5F1"/>
            <w:noWrap/>
            <w:vAlign w:val="bottom"/>
            <w:hideMark/>
          </w:tcPr>
          <w:p w14:paraId="28FED7DD"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24,7</w:t>
            </w:r>
          </w:p>
        </w:tc>
        <w:tc>
          <w:tcPr>
            <w:tcW w:w="1200" w:type="dxa"/>
            <w:tcBorders>
              <w:top w:val="nil"/>
              <w:left w:val="nil"/>
              <w:bottom w:val="single" w:sz="4" w:space="0" w:color="FFFFFF"/>
              <w:right w:val="nil"/>
            </w:tcBorders>
            <w:shd w:val="clear" w:color="DBE5F1" w:fill="DBE5F1"/>
            <w:noWrap/>
            <w:vAlign w:val="bottom"/>
            <w:hideMark/>
          </w:tcPr>
          <w:p w14:paraId="53AC1452"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3.780</w:t>
            </w:r>
          </w:p>
        </w:tc>
        <w:tc>
          <w:tcPr>
            <w:tcW w:w="1200" w:type="dxa"/>
            <w:tcBorders>
              <w:top w:val="nil"/>
              <w:left w:val="nil"/>
              <w:bottom w:val="single" w:sz="4" w:space="0" w:color="FFFFFF"/>
              <w:right w:val="nil"/>
            </w:tcBorders>
            <w:shd w:val="clear" w:color="DBE5F1" w:fill="DBE5F1"/>
            <w:noWrap/>
            <w:vAlign w:val="bottom"/>
            <w:hideMark/>
          </w:tcPr>
          <w:p w14:paraId="0B94823B"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45.360</w:t>
            </w:r>
          </w:p>
        </w:tc>
      </w:tr>
      <w:tr w:rsidR="001062AC" w:rsidRPr="001062AC" w14:paraId="3C9B72E8" w14:textId="77777777" w:rsidTr="001062AC">
        <w:trPr>
          <w:trHeight w:val="290"/>
        </w:trPr>
        <w:tc>
          <w:tcPr>
            <w:tcW w:w="1200" w:type="dxa"/>
            <w:tcBorders>
              <w:top w:val="nil"/>
              <w:left w:val="nil"/>
              <w:bottom w:val="single" w:sz="4" w:space="0" w:color="FFFFFF"/>
              <w:right w:val="single" w:sz="4" w:space="0" w:color="FFFFFF"/>
            </w:tcBorders>
            <w:shd w:val="clear" w:color="B8CCE4" w:fill="B8CCE4"/>
            <w:noWrap/>
            <w:vAlign w:val="bottom"/>
            <w:hideMark/>
          </w:tcPr>
          <w:p w14:paraId="5F9F9E78"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ICE-D</w:t>
            </w:r>
          </w:p>
        </w:tc>
        <w:tc>
          <w:tcPr>
            <w:tcW w:w="1200" w:type="dxa"/>
            <w:tcBorders>
              <w:top w:val="nil"/>
              <w:left w:val="nil"/>
              <w:bottom w:val="single" w:sz="4" w:space="0" w:color="FFFFFF"/>
              <w:right w:val="single" w:sz="4" w:space="0" w:color="FFFFFF"/>
            </w:tcBorders>
            <w:shd w:val="clear" w:color="B8CCE4" w:fill="B8CCE4"/>
            <w:noWrap/>
            <w:vAlign w:val="bottom"/>
            <w:hideMark/>
          </w:tcPr>
          <w:p w14:paraId="098F41BB" w14:textId="77777777" w:rsidR="001062AC" w:rsidRPr="001062AC" w:rsidRDefault="001062AC" w:rsidP="001062AC">
            <w:pPr>
              <w:spacing w:line="240" w:lineRule="auto"/>
              <w:ind w:firstLine="0"/>
              <w:jc w:val="left"/>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HDT</w:t>
            </w:r>
          </w:p>
        </w:tc>
        <w:tc>
          <w:tcPr>
            <w:tcW w:w="1200" w:type="dxa"/>
            <w:tcBorders>
              <w:top w:val="nil"/>
              <w:left w:val="nil"/>
              <w:bottom w:val="single" w:sz="4" w:space="0" w:color="FFFFFF"/>
              <w:right w:val="nil"/>
            </w:tcBorders>
            <w:shd w:val="clear" w:color="B8CCE4" w:fill="B8CCE4"/>
            <w:noWrap/>
            <w:vAlign w:val="bottom"/>
            <w:hideMark/>
          </w:tcPr>
          <w:p w14:paraId="57D95822"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733,31</w:t>
            </w:r>
          </w:p>
        </w:tc>
        <w:tc>
          <w:tcPr>
            <w:tcW w:w="1360" w:type="dxa"/>
            <w:tcBorders>
              <w:top w:val="nil"/>
              <w:left w:val="nil"/>
              <w:bottom w:val="single" w:sz="4" w:space="0" w:color="FFFFFF"/>
              <w:right w:val="nil"/>
            </w:tcBorders>
            <w:shd w:val="clear" w:color="B8CCE4" w:fill="B8CCE4"/>
            <w:noWrap/>
            <w:vAlign w:val="bottom"/>
            <w:hideMark/>
          </w:tcPr>
          <w:p w14:paraId="4816E8D7"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26,35</w:t>
            </w:r>
          </w:p>
        </w:tc>
        <w:tc>
          <w:tcPr>
            <w:tcW w:w="1200" w:type="dxa"/>
            <w:tcBorders>
              <w:top w:val="nil"/>
              <w:left w:val="nil"/>
              <w:bottom w:val="single" w:sz="4" w:space="0" w:color="FFFFFF"/>
              <w:right w:val="nil"/>
            </w:tcBorders>
            <w:shd w:val="clear" w:color="B8CCE4" w:fill="B8CCE4"/>
            <w:noWrap/>
            <w:vAlign w:val="bottom"/>
            <w:hideMark/>
          </w:tcPr>
          <w:p w14:paraId="31EF6DCD"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7.350</w:t>
            </w:r>
          </w:p>
        </w:tc>
        <w:tc>
          <w:tcPr>
            <w:tcW w:w="1200" w:type="dxa"/>
            <w:tcBorders>
              <w:top w:val="nil"/>
              <w:left w:val="nil"/>
              <w:bottom w:val="single" w:sz="4" w:space="0" w:color="FFFFFF"/>
              <w:right w:val="nil"/>
            </w:tcBorders>
            <w:shd w:val="clear" w:color="B8CCE4" w:fill="B8CCE4"/>
            <w:noWrap/>
            <w:vAlign w:val="bottom"/>
            <w:hideMark/>
          </w:tcPr>
          <w:p w14:paraId="49542850" w14:textId="77777777" w:rsidR="001062AC" w:rsidRPr="001062AC" w:rsidRDefault="001062AC" w:rsidP="001062AC">
            <w:pPr>
              <w:spacing w:line="240" w:lineRule="auto"/>
              <w:ind w:firstLine="0"/>
              <w:jc w:val="center"/>
              <w:rPr>
                <w:rFonts w:ascii="Arial" w:eastAsia="Times New Roman" w:hAnsi="Arial" w:cs="Arial"/>
                <w:color w:val="000000"/>
                <w:sz w:val="20"/>
                <w:szCs w:val="20"/>
                <w:lang w:eastAsia="es-ES"/>
              </w:rPr>
            </w:pPr>
            <w:r w:rsidRPr="001062AC">
              <w:rPr>
                <w:rFonts w:ascii="Arial" w:eastAsia="Times New Roman" w:hAnsi="Arial" w:cs="Arial"/>
                <w:color w:val="000000"/>
                <w:sz w:val="20"/>
                <w:szCs w:val="20"/>
                <w:lang w:eastAsia="es-ES"/>
              </w:rPr>
              <w:t>88.200</w:t>
            </w:r>
          </w:p>
        </w:tc>
      </w:tr>
    </w:tbl>
    <w:p w14:paraId="32941310" w14:textId="77777777" w:rsidR="001062AC" w:rsidRPr="002F6AE9" w:rsidRDefault="001062AC" w:rsidP="00217E9D">
      <w:pPr>
        <w:spacing w:line="240" w:lineRule="auto"/>
        <w:ind w:firstLine="0"/>
        <w:rPr>
          <w:rFonts w:ascii="Arial" w:hAnsi="Arial" w:cs="Arial"/>
          <w:sz w:val="20"/>
          <w:szCs w:val="20"/>
        </w:rPr>
      </w:pPr>
    </w:p>
    <w:p w14:paraId="75AC0C0D" w14:textId="77777777" w:rsidR="00033E77" w:rsidRPr="002F6AE9" w:rsidRDefault="00033E77" w:rsidP="00033E77">
      <w:pPr>
        <w:pStyle w:val="NormalWeb"/>
        <w:shd w:val="clear" w:color="auto" w:fill="FFFFFF"/>
        <w:rPr>
          <w:rFonts w:ascii="Arial" w:hAnsi="Arial" w:cs="Arial"/>
          <w:color w:val="004080"/>
          <w:sz w:val="20"/>
          <w:szCs w:val="20"/>
          <w:lang w:val="en-US"/>
        </w:rPr>
      </w:pPr>
      <w:r w:rsidRPr="002F6AE9">
        <w:rPr>
          <w:rFonts w:ascii="Arial" w:hAnsi="Arial" w:cs="Arial"/>
          <w:color w:val="004080"/>
          <w:sz w:val="20"/>
          <w:szCs w:val="20"/>
          <w:lang w:val="en-US"/>
        </w:rPr>
        <w:t>5) Data on average consumption based on real data (see attached file : </w:t>
      </w:r>
      <w:r w:rsidRPr="002F6AE9">
        <w:rPr>
          <w:rFonts w:ascii="Arial" w:hAnsi="Arial" w:cs="Arial"/>
          <w:i/>
          <w:iCs/>
          <w:color w:val="004080"/>
          <w:sz w:val="20"/>
          <w:szCs w:val="20"/>
          <w:lang w:val="en-US"/>
        </w:rPr>
        <w:t>fuel_consumption_manually.csv</w:t>
      </w:r>
      <w:r w:rsidRPr="002F6AE9">
        <w:rPr>
          <w:rFonts w:ascii="Arial" w:hAnsi="Arial" w:cs="Arial"/>
          <w:color w:val="004080"/>
          <w:sz w:val="20"/>
          <w:szCs w:val="20"/>
          <w:lang w:val="en-US"/>
        </w:rPr>
        <w:t>). </w:t>
      </w:r>
    </w:p>
    <w:p w14:paraId="64573440" w14:textId="77777777" w:rsidR="00217E9D" w:rsidRPr="002F6AE9" w:rsidRDefault="00217E9D" w:rsidP="00217E9D">
      <w:pPr>
        <w:spacing w:line="240" w:lineRule="auto"/>
        <w:ind w:firstLine="0"/>
        <w:rPr>
          <w:rFonts w:ascii="Arial" w:hAnsi="Arial" w:cs="Arial"/>
          <w:sz w:val="20"/>
          <w:szCs w:val="20"/>
        </w:rPr>
      </w:pPr>
      <w:r w:rsidRPr="002F6AE9">
        <w:rPr>
          <w:rFonts w:ascii="Arial" w:hAnsi="Arial" w:cs="Arial"/>
          <w:sz w:val="20"/>
          <w:szCs w:val="20"/>
        </w:rPr>
        <w:t>Sólo disponemos de datos de consumo para Tecnología Diésel, datos que hemos actualizado para cada tipo de camión.</w:t>
      </w:r>
      <w:r w:rsidR="002F6AE9" w:rsidRPr="002F6AE9">
        <w:rPr>
          <w:rFonts w:ascii="Arial" w:hAnsi="Arial" w:cs="Arial"/>
          <w:sz w:val="20"/>
          <w:szCs w:val="20"/>
        </w:rPr>
        <w:t xml:space="preserve"> (ver tabla en pregunta 4)</w:t>
      </w:r>
    </w:p>
    <w:p w14:paraId="007C59E3" w14:textId="77777777" w:rsidR="002F6AE9" w:rsidRPr="002F6AE9" w:rsidRDefault="002F6AE9" w:rsidP="00217E9D">
      <w:pPr>
        <w:spacing w:line="240" w:lineRule="auto"/>
        <w:ind w:firstLine="0"/>
        <w:rPr>
          <w:rFonts w:ascii="Arial" w:hAnsi="Arial" w:cs="Arial"/>
          <w:sz w:val="20"/>
          <w:szCs w:val="20"/>
        </w:rPr>
      </w:pPr>
    </w:p>
    <w:p w14:paraId="3D911CC0" w14:textId="77777777" w:rsidR="00217E9D" w:rsidRPr="002F6AE9" w:rsidRDefault="00217E9D" w:rsidP="00217E9D">
      <w:pPr>
        <w:spacing w:line="240" w:lineRule="auto"/>
        <w:ind w:firstLine="0"/>
        <w:rPr>
          <w:rFonts w:ascii="Arial" w:hAnsi="Arial" w:cs="Arial"/>
          <w:sz w:val="20"/>
          <w:szCs w:val="20"/>
        </w:rPr>
      </w:pPr>
      <w:r w:rsidRPr="002F6AE9">
        <w:rPr>
          <w:rFonts w:ascii="Arial" w:hAnsi="Arial" w:cs="Arial"/>
          <w:sz w:val="20"/>
          <w:szCs w:val="20"/>
        </w:rPr>
        <w:t>Para el resto de tecnologías entendemos que se debe considerar correcto el resto de datos del fichero.</w:t>
      </w:r>
    </w:p>
    <w:p w14:paraId="0308CFF1" w14:textId="77777777" w:rsidR="00033E77" w:rsidRPr="002F6AE9" w:rsidRDefault="00033E77" w:rsidP="00033E77">
      <w:pPr>
        <w:pStyle w:val="NormalWeb"/>
        <w:shd w:val="clear" w:color="auto" w:fill="FFFFFF"/>
        <w:rPr>
          <w:rFonts w:ascii="Arial" w:hAnsi="Arial" w:cs="Arial"/>
          <w:color w:val="222222"/>
          <w:sz w:val="20"/>
          <w:szCs w:val="20"/>
          <w:lang w:val="en-US"/>
        </w:rPr>
      </w:pPr>
      <w:r w:rsidRPr="002F6AE9">
        <w:rPr>
          <w:rFonts w:ascii="Arial" w:hAnsi="Arial" w:cs="Arial"/>
          <w:color w:val="004080"/>
          <w:sz w:val="20"/>
          <w:szCs w:val="20"/>
          <w:lang w:val="en-US"/>
        </w:rPr>
        <w:t>6) Regarding the fuel price, it would be interesting to know if this company uses internal forecast numbers. Regarding the current use of diesel it is important to understand the real price for a a logistic company in Spain for 1 liter of diesel (VAT, excises?)</w:t>
      </w:r>
    </w:p>
    <w:p w14:paraId="041DF57F" w14:textId="77777777" w:rsidR="005F3115" w:rsidRPr="002F6AE9" w:rsidRDefault="0021291C" w:rsidP="00217E9D">
      <w:pPr>
        <w:spacing w:line="240" w:lineRule="auto"/>
        <w:ind w:firstLine="0"/>
        <w:rPr>
          <w:rFonts w:ascii="Arial" w:hAnsi="Arial" w:cs="Arial"/>
          <w:sz w:val="20"/>
          <w:szCs w:val="20"/>
        </w:rPr>
      </w:pPr>
      <w:r>
        <w:rPr>
          <w:rFonts w:ascii="Arial" w:hAnsi="Arial" w:cs="Arial"/>
          <w:noProof/>
          <w:sz w:val="20"/>
          <w:szCs w:val="20"/>
          <w:lang w:eastAsia="es-ES"/>
        </w:rPr>
        <w:drawing>
          <wp:anchor distT="0" distB="0" distL="114300" distR="114300" simplePos="0" relativeHeight="251662336" behindDoc="1" locked="0" layoutInCell="1" allowOverlap="1" wp14:anchorId="5A119FF2" wp14:editId="7131DAC2">
            <wp:simplePos x="0" y="0"/>
            <wp:positionH relativeFrom="column">
              <wp:posOffset>4768850</wp:posOffset>
            </wp:positionH>
            <wp:positionV relativeFrom="paragraph">
              <wp:posOffset>841375</wp:posOffset>
            </wp:positionV>
            <wp:extent cx="1405255" cy="280035"/>
            <wp:effectExtent l="19050" t="0" r="4445"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5255" cy="280035"/>
                    </a:xfrm>
                    <a:prstGeom prst="rect">
                      <a:avLst/>
                    </a:prstGeom>
                    <a:noFill/>
                    <a:ln>
                      <a:noFill/>
                    </a:ln>
                  </pic:spPr>
                </pic:pic>
              </a:graphicData>
            </a:graphic>
          </wp:anchor>
        </w:drawing>
      </w:r>
      <w:r w:rsidR="00217E9D" w:rsidRPr="002F6AE9">
        <w:rPr>
          <w:rFonts w:ascii="Arial" w:hAnsi="Arial" w:cs="Arial"/>
          <w:sz w:val="20"/>
          <w:szCs w:val="20"/>
        </w:rPr>
        <w:t xml:space="preserve">En general, todas las compañías de transporte elaboran un presupuesto anual para el gasto de combustible con la estimación de precios (IPC prevista), así como un impacto adicional en caso de que el año previo haya habido un incremento importante del precio del </w:t>
      </w:r>
      <w:r w:rsidR="005F3115" w:rsidRPr="002F6AE9">
        <w:rPr>
          <w:rFonts w:ascii="Arial" w:hAnsi="Arial" w:cs="Arial"/>
          <w:sz w:val="20"/>
          <w:szCs w:val="20"/>
        </w:rPr>
        <w:t>petróleo.</w:t>
      </w:r>
      <w:r w:rsidRPr="0021291C">
        <w:t xml:space="preserve"> </w:t>
      </w:r>
    </w:p>
    <w:p w14:paraId="0C5FAB4F" w14:textId="77777777" w:rsidR="002F6AE9" w:rsidRPr="002F6AE9" w:rsidRDefault="002F6AE9" w:rsidP="00217E9D">
      <w:pPr>
        <w:spacing w:line="240" w:lineRule="auto"/>
        <w:ind w:firstLine="0"/>
        <w:rPr>
          <w:rFonts w:ascii="Arial" w:hAnsi="Arial" w:cs="Arial"/>
          <w:sz w:val="20"/>
          <w:szCs w:val="20"/>
        </w:rPr>
      </w:pPr>
    </w:p>
    <w:p w14:paraId="4D3BB993" w14:textId="77777777" w:rsidR="00217E9D" w:rsidRPr="002F6AE9" w:rsidRDefault="005F3115" w:rsidP="00217E9D">
      <w:pPr>
        <w:spacing w:line="240" w:lineRule="auto"/>
        <w:ind w:firstLine="0"/>
        <w:rPr>
          <w:rFonts w:ascii="Arial" w:hAnsi="Arial" w:cs="Arial"/>
          <w:sz w:val="20"/>
          <w:szCs w:val="20"/>
        </w:rPr>
      </w:pPr>
      <w:r w:rsidRPr="002F6AE9">
        <w:rPr>
          <w:rFonts w:ascii="Arial" w:hAnsi="Arial" w:cs="Arial"/>
          <w:sz w:val="20"/>
          <w:szCs w:val="20"/>
        </w:rPr>
        <w:t xml:space="preserve">Esta previsión de precio, se complementa con la previsión de crecimiento o reducción de rutas (por tanto KM). Todo ello refleja el impacto </w:t>
      </w:r>
      <w:r w:rsidR="00217E9D" w:rsidRPr="002F6AE9">
        <w:rPr>
          <w:rFonts w:ascii="Arial" w:hAnsi="Arial" w:cs="Arial"/>
          <w:sz w:val="20"/>
          <w:szCs w:val="20"/>
        </w:rPr>
        <w:t>en la cuenta de resultados</w:t>
      </w:r>
      <w:r w:rsidRPr="002F6AE9">
        <w:rPr>
          <w:rFonts w:ascii="Arial" w:hAnsi="Arial" w:cs="Arial"/>
          <w:sz w:val="20"/>
          <w:szCs w:val="20"/>
        </w:rPr>
        <w:t>, y a su vez, permite gestionar l</w:t>
      </w:r>
      <w:r w:rsidR="00217E9D" w:rsidRPr="002F6AE9">
        <w:rPr>
          <w:rFonts w:ascii="Arial" w:hAnsi="Arial" w:cs="Arial"/>
          <w:sz w:val="20"/>
          <w:szCs w:val="20"/>
        </w:rPr>
        <w:t>os parámetros de revisión de precios estipulados</w:t>
      </w:r>
      <w:r w:rsidRPr="002F6AE9">
        <w:rPr>
          <w:rFonts w:ascii="Arial" w:hAnsi="Arial" w:cs="Arial"/>
          <w:sz w:val="20"/>
          <w:szCs w:val="20"/>
        </w:rPr>
        <w:t xml:space="preserve"> (ley y/o contratos)</w:t>
      </w:r>
      <w:r w:rsidR="00217E9D" w:rsidRPr="002F6AE9">
        <w:rPr>
          <w:rFonts w:ascii="Arial" w:hAnsi="Arial" w:cs="Arial"/>
          <w:sz w:val="20"/>
          <w:szCs w:val="20"/>
        </w:rPr>
        <w:t xml:space="preserve">. Se suelen considerar tanto el precio CON IVA como el precio SIN IVA. Todo depende del contrato que se firme con los clientes. </w:t>
      </w:r>
    </w:p>
    <w:p w14:paraId="074B1CB8" w14:textId="77777777" w:rsidR="0021291C" w:rsidRDefault="0021291C" w:rsidP="00217E9D">
      <w:pPr>
        <w:spacing w:line="240" w:lineRule="auto"/>
        <w:ind w:firstLine="0"/>
        <w:rPr>
          <w:rFonts w:ascii="Arial" w:hAnsi="Arial" w:cs="Arial"/>
          <w:sz w:val="20"/>
          <w:szCs w:val="20"/>
        </w:rPr>
      </w:pPr>
    </w:p>
    <w:p w14:paraId="67996308" w14:textId="77777777" w:rsidR="00033E77" w:rsidRPr="002F6AE9" w:rsidRDefault="00217E9D" w:rsidP="00217E9D">
      <w:pPr>
        <w:spacing w:line="240" w:lineRule="auto"/>
        <w:ind w:firstLine="0"/>
        <w:rPr>
          <w:rFonts w:ascii="Arial" w:hAnsi="Arial" w:cs="Arial"/>
          <w:sz w:val="20"/>
          <w:szCs w:val="20"/>
        </w:rPr>
      </w:pPr>
      <w:r w:rsidRPr="002F6AE9">
        <w:rPr>
          <w:rFonts w:ascii="Arial" w:hAnsi="Arial" w:cs="Arial"/>
          <w:sz w:val="20"/>
          <w:szCs w:val="20"/>
        </w:rPr>
        <w:t>El IVA siempre se deduce en las declaraciones oficiales de IVA.</w:t>
      </w:r>
    </w:p>
    <w:p w14:paraId="02791FD9" w14:textId="77777777" w:rsidR="00033E77" w:rsidRPr="002F6AE9" w:rsidRDefault="00033E77" w:rsidP="002F6AE9">
      <w:pPr>
        <w:ind w:firstLine="0"/>
        <w:rPr>
          <w:rFonts w:ascii="Arial" w:hAnsi="Arial" w:cs="Arial"/>
          <w:sz w:val="20"/>
          <w:szCs w:val="20"/>
        </w:rPr>
      </w:pPr>
    </w:p>
    <w:p w14:paraId="7BC7778F" w14:textId="77777777" w:rsidR="002F6AE9" w:rsidRPr="002F6AE9" w:rsidRDefault="002F6AE9" w:rsidP="002F6AE9">
      <w:pPr>
        <w:spacing w:line="240" w:lineRule="auto"/>
        <w:ind w:firstLine="0"/>
        <w:rPr>
          <w:rFonts w:ascii="Arial" w:hAnsi="Arial" w:cs="Arial"/>
          <w:sz w:val="20"/>
          <w:szCs w:val="20"/>
        </w:rPr>
      </w:pPr>
      <w:r w:rsidRPr="002F6AE9">
        <w:rPr>
          <w:rFonts w:ascii="Arial" w:hAnsi="Arial" w:cs="Arial"/>
          <w:sz w:val="20"/>
          <w:szCs w:val="20"/>
        </w:rPr>
        <w:t>Dada la volatilidad y variabilidad del precio del petróleo por factores geopolíticos y/o económicos, este ejercicio se realiza anualmente, incluso en ocasiones se realiza un presupuesto en base cero.</w:t>
      </w:r>
    </w:p>
    <w:p w14:paraId="2E429DD7" w14:textId="77777777" w:rsidR="00FF0E0D" w:rsidRPr="002F6AE9" w:rsidRDefault="00FF0E0D">
      <w:pPr>
        <w:rPr>
          <w:rFonts w:ascii="Arial" w:hAnsi="Arial" w:cs="Arial"/>
          <w:sz w:val="20"/>
          <w:szCs w:val="20"/>
        </w:rPr>
      </w:pPr>
    </w:p>
    <w:p w14:paraId="4CAE1972" w14:textId="77777777" w:rsidR="00B875F3" w:rsidRPr="0021291C" w:rsidRDefault="00B875F3" w:rsidP="00B875F3">
      <w:pPr>
        <w:jc w:val="center"/>
        <w:rPr>
          <w:b/>
          <w:sz w:val="28"/>
          <w:u w:val="single"/>
        </w:rPr>
      </w:pPr>
      <w:r w:rsidRPr="0021291C">
        <w:rPr>
          <w:b/>
          <w:sz w:val="28"/>
          <w:u w:val="single"/>
        </w:rPr>
        <w:t>Modelo construido con las siguientes hipótesis</w:t>
      </w:r>
    </w:p>
    <w:p w14:paraId="4E130A2C" w14:textId="77777777" w:rsidR="00FF0E0D" w:rsidRPr="002F6AE9" w:rsidRDefault="00FF0E0D">
      <w:pPr>
        <w:rPr>
          <w:rFonts w:ascii="Arial" w:hAnsi="Arial" w:cs="Arial"/>
          <w:sz w:val="20"/>
          <w:szCs w:val="20"/>
        </w:rPr>
      </w:pPr>
    </w:p>
    <w:p w14:paraId="4B7A1911" w14:textId="77777777" w:rsidR="002F6AE9" w:rsidRPr="002F6AE9" w:rsidRDefault="0021291C" w:rsidP="009B1816">
      <w:pPr>
        <w:pStyle w:val="ListParagraph"/>
        <w:numPr>
          <w:ilvl w:val="0"/>
          <w:numId w:val="1"/>
        </w:numPr>
        <w:rPr>
          <w:rFonts w:ascii="Arial" w:hAnsi="Arial" w:cs="Arial"/>
          <w:sz w:val="20"/>
          <w:szCs w:val="20"/>
        </w:rPr>
      </w:pPr>
      <w:r>
        <w:rPr>
          <w:rFonts w:ascii="Arial" w:hAnsi="Arial" w:cs="Arial"/>
          <w:sz w:val="20"/>
          <w:szCs w:val="20"/>
        </w:rPr>
        <w:t>Se considera</w:t>
      </w:r>
      <w:r w:rsidR="002F6AE9" w:rsidRPr="002F6AE9">
        <w:rPr>
          <w:rFonts w:ascii="Arial" w:hAnsi="Arial" w:cs="Arial"/>
          <w:sz w:val="20"/>
          <w:szCs w:val="20"/>
        </w:rPr>
        <w:t xml:space="preserve"> una flota inicial de 198 camiones distribuidos en 5 ciudades. </w:t>
      </w:r>
      <w:r w:rsidR="002F6AE9" w:rsidRPr="002F6AE9">
        <w:rPr>
          <w:rFonts w:ascii="Arial" w:hAnsi="Arial" w:cs="Arial"/>
          <w:noProof/>
          <w:sz w:val="20"/>
          <w:szCs w:val="20"/>
          <w:lang w:eastAsia="es-ES"/>
        </w:rPr>
        <w:drawing>
          <wp:inline distT="0" distB="0" distL="0" distR="0" wp14:anchorId="20A22822" wp14:editId="07EA6A4F">
            <wp:extent cx="1717601" cy="1699389"/>
            <wp:effectExtent l="1905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1717601" cy="1697665"/>
                    </a:xfrm>
                    <a:prstGeom prst="rect">
                      <a:avLst/>
                    </a:prstGeom>
                    <a:noFill/>
                    <a:ln w="9525">
                      <a:noFill/>
                      <a:miter lim="800000"/>
                      <a:headEnd/>
                      <a:tailEnd/>
                    </a:ln>
                  </pic:spPr>
                </pic:pic>
              </a:graphicData>
            </a:graphic>
          </wp:inline>
        </w:drawing>
      </w:r>
    </w:p>
    <w:p w14:paraId="26208E46" w14:textId="77777777" w:rsidR="002F6AE9" w:rsidRPr="002F6AE9" w:rsidRDefault="002F6AE9" w:rsidP="002F6AE9">
      <w:pPr>
        <w:pStyle w:val="ListParagraph"/>
        <w:ind w:left="717" w:firstLine="0"/>
        <w:rPr>
          <w:rFonts w:ascii="Arial" w:hAnsi="Arial" w:cs="Arial"/>
          <w:sz w:val="20"/>
          <w:szCs w:val="20"/>
        </w:rPr>
      </w:pPr>
    </w:p>
    <w:p w14:paraId="49FED8E3" w14:textId="77777777" w:rsidR="009B1816" w:rsidRPr="002F6AE9" w:rsidRDefault="009B1816" w:rsidP="009B1816">
      <w:pPr>
        <w:pStyle w:val="ListParagraph"/>
        <w:numPr>
          <w:ilvl w:val="0"/>
          <w:numId w:val="1"/>
        </w:numPr>
        <w:rPr>
          <w:rFonts w:ascii="Arial" w:hAnsi="Arial" w:cs="Arial"/>
          <w:sz w:val="20"/>
          <w:szCs w:val="20"/>
        </w:rPr>
      </w:pPr>
      <w:r w:rsidRPr="002F6AE9">
        <w:rPr>
          <w:rFonts w:ascii="Arial" w:hAnsi="Arial" w:cs="Arial"/>
          <w:sz w:val="20"/>
          <w:szCs w:val="20"/>
        </w:rPr>
        <w:t xml:space="preserve">Sólo </w:t>
      </w:r>
      <w:r w:rsidR="0021291C">
        <w:rPr>
          <w:rFonts w:ascii="Arial" w:hAnsi="Arial" w:cs="Arial"/>
          <w:sz w:val="20"/>
          <w:szCs w:val="20"/>
        </w:rPr>
        <w:t xml:space="preserve">se </w:t>
      </w:r>
      <w:r w:rsidRPr="002F6AE9">
        <w:rPr>
          <w:rFonts w:ascii="Arial" w:hAnsi="Arial" w:cs="Arial"/>
          <w:sz w:val="20"/>
          <w:szCs w:val="20"/>
        </w:rPr>
        <w:t xml:space="preserve">dispone de datos de consumo para Tecnología Diésel. </w:t>
      </w:r>
    </w:p>
    <w:p w14:paraId="50D364EA" w14:textId="77777777" w:rsidR="009B1816" w:rsidRPr="002F6AE9" w:rsidRDefault="009B1816">
      <w:pPr>
        <w:rPr>
          <w:rFonts w:ascii="Arial" w:hAnsi="Arial" w:cs="Arial"/>
          <w:sz w:val="20"/>
          <w:szCs w:val="20"/>
        </w:rPr>
      </w:pPr>
      <w:r w:rsidRPr="002F6AE9">
        <w:rPr>
          <w:rFonts w:ascii="Arial" w:hAnsi="Arial" w:cs="Arial"/>
          <w:noProof/>
          <w:sz w:val="20"/>
          <w:szCs w:val="20"/>
          <w:lang w:eastAsia="es-ES"/>
        </w:rPr>
        <w:drawing>
          <wp:inline distT="0" distB="0" distL="0" distR="0" wp14:anchorId="46FD16E4" wp14:editId="7663F986">
            <wp:extent cx="4008755" cy="1049020"/>
            <wp:effectExtent l="1905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4008755" cy="1049020"/>
                    </a:xfrm>
                    <a:prstGeom prst="rect">
                      <a:avLst/>
                    </a:prstGeom>
                    <a:noFill/>
                    <a:ln w="9525">
                      <a:noFill/>
                      <a:miter lim="800000"/>
                      <a:headEnd/>
                      <a:tailEnd/>
                    </a:ln>
                  </pic:spPr>
                </pic:pic>
              </a:graphicData>
            </a:graphic>
          </wp:inline>
        </w:drawing>
      </w:r>
    </w:p>
    <w:p w14:paraId="58D346CA" w14:textId="77777777" w:rsidR="00B875F3" w:rsidRPr="002C679D" w:rsidRDefault="002C679D" w:rsidP="00B875F3">
      <w:pPr>
        <w:pStyle w:val="ListParagraph"/>
        <w:ind w:left="717" w:firstLine="0"/>
        <w:rPr>
          <w:rFonts w:ascii="Arial" w:hAnsi="Arial" w:cs="Arial"/>
          <w:b/>
          <w:i/>
          <w:sz w:val="20"/>
          <w:szCs w:val="20"/>
        </w:rPr>
      </w:pPr>
      <w:r w:rsidRPr="002C679D">
        <w:rPr>
          <w:rFonts w:ascii="Arial" w:hAnsi="Arial" w:cs="Arial"/>
          <w:b/>
          <w:i/>
          <w:sz w:val="20"/>
          <w:szCs w:val="20"/>
        </w:rPr>
        <w:t xml:space="preserve">Nota: </w:t>
      </w:r>
      <w:r w:rsidR="002F6AE9" w:rsidRPr="002C679D">
        <w:rPr>
          <w:rFonts w:ascii="Arial" w:hAnsi="Arial" w:cs="Arial"/>
          <w:b/>
          <w:i/>
          <w:sz w:val="20"/>
          <w:szCs w:val="20"/>
        </w:rPr>
        <w:t xml:space="preserve">Ver pestaña </w:t>
      </w:r>
      <w:r w:rsidRPr="002C679D">
        <w:rPr>
          <w:rFonts w:ascii="Arial" w:hAnsi="Arial" w:cs="Arial"/>
          <w:b/>
          <w:i/>
          <w:sz w:val="20"/>
          <w:szCs w:val="20"/>
        </w:rPr>
        <w:t>Datos en fichero ex</w:t>
      </w:r>
      <w:r w:rsidR="002F6AE9" w:rsidRPr="002C679D">
        <w:rPr>
          <w:rFonts w:ascii="Arial" w:hAnsi="Arial" w:cs="Arial"/>
          <w:b/>
          <w:i/>
          <w:sz w:val="20"/>
          <w:szCs w:val="20"/>
        </w:rPr>
        <w:t>cel adjunto</w:t>
      </w:r>
      <w:r w:rsidRPr="002C679D">
        <w:rPr>
          <w:rFonts w:ascii="Arial" w:hAnsi="Arial" w:cs="Arial"/>
          <w:b/>
          <w:i/>
          <w:sz w:val="20"/>
          <w:szCs w:val="20"/>
        </w:rPr>
        <w:t>.</w:t>
      </w:r>
    </w:p>
    <w:p w14:paraId="3C4F8ECC" w14:textId="77777777" w:rsidR="009B1816" w:rsidRPr="002F6AE9" w:rsidRDefault="009B1816" w:rsidP="009B1816">
      <w:pPr>
        <w:pStyle w:val="ListParagraph"/>
        <w:numPr>
          <w:ilvl w:val="0"/>
          <w:numId w:val="1"/>
        </w:numPr>
        <w:rPr>
          <w:rFonts w:ascii="Arial" w:hAnsi="Arial" w:cs="Arial"/>
          <w:sz w:val="20"/>
          <w:szCs w:val="20"/>
        </w:rPr>
      </w:pPr>
      <w:r w:rsidRPr="002F6AE9">
        <w:rPr>
          <w:rFonts w:ascii="Arial" w:hAnsi="Arial" w:cs="Arial"/>
          <w:sz w:val="20"/>
          <w:szCs w:val="20"/>
        </w:rPr>
        <w:t>La distribución por tecnología está definida en la tabla de datos Proyección.</w:t>
      </w:r>
    </w:p>
    <w:p w14:paraId="5325F2AA" w14:textId="77777777" w:rsidR="009B1816" w:rsidRPr="002F6AE9" w:rsidRDefault="009B1816">
      <w:pPr>
        <w:rPr>
          <w:rFonts w:ascii="Arial" w:hAnsi="Arial" w:cs="Arial"/>
          <w:sz w:val="20"/>
          <w:szCs w:val="20"/>
        </w:rPr>
      </w:pPr>
      <w:r w:rsidRPr="002F6AE9">
        <w:rPr>
          <w:rFonts w:ascii="Arial" w:hAnsi="Arial" w:cs="Arial"/>
          <w:sz w:val="20"/>
          <w:szCs w:val="20"/>
        </w:rPr>
        <w:t xml:space="preserve">Como ejemplo tenemos el siguiente cuadro: </w:t>
      </w:r>
    </w:p>
    <w:p w14:paraId="71DB3354" w14:textId="77777777" w:rsidR="009B1816" w:rsidRDefault="002F6AE9">
      <w:pPr>
        <w:rPr>
          <w:rFonts w:ascii="Arial" w:hAnsi="Arial" w:cs="Arial"/>
          <w:sz w:val="20"/>
          <w:szCs w:val="20"/>
        </w:rPr>
      </w:pPr>
      <w:r>
        <w:rPr>
          <w:rFonts w:ascii="Arial" w:hAnsi="Arial" w:cs="Arial"/>
          <w:noProof/>
          <w:sz w:val="20"/>
          <w:szCs w:val="20"/>
          <w:lang w:eastAsia="es-ES"/>
        </w:rPr>
        <w:drawing>
          <wp:anchor distT="0" distB="0" distL="114300" distR="114300" simplePos="0" relativeHeight="251658240" behindDoc="0" locked="0" layoutInCell="1" allowOverlap="1" wp14:anchorId="74687B91" wp14:editId="67596D79">
            <wp:simplePos x="0" y="0"/>
            <wp:positionH relativeFrom="column">
              <wp:posOffset>2837520</wp:posOffset>
            </wp:positionH>
            <wp:positionV relativeFrom="paragraph">
              <wp:posOffset>77234</wp:posOffset>
            </wp:positionV>
            <wp:extent cx="3248689" cy="1371600"/>
            <wp:effectExtent l="19050" t="0" r="0" b="0"/>
            <wp:wrapNone/>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3248689" cy="1371600"/>
                    </a:xfrm>
                    <a:prstGeom prst="rect">
                      <a:avLst/>
                    </a:prstGeom>
                    <a:noFill/>
                    <a:ln w="9525">
                      <a:noFill/>
                      <a:miter lim="800000"/>
                      <a:headEnd/>
                      <a:tailEnd/>
                    </a:ln>
                  </pic:spPr>
                </pic:pic>
              </a:graphicData>
            </a:graphic>
          </wp:anchor>
        </w:drawing>
      </w:r>
      <w:r w:rsidR="009B1816" w:rsidRPr="002F6AE9">
        <w:rPr>
          <w:rFonts w:ascii="Arial" w:hAnsi="Arial" w:cs="Arial"/>
          <w:noProof/>
          <w:sz w:val="20"/>
          <w:szCs w:val="20"/>
          <w:lang w:eastAsia="es-ES"/>
        </w:rPr>
        <w:drawing>
          <wp:inline distT="0" distB="0" distL="0" distR="0" wp14:anchorId="6CC9A846" wp14:editId="0F498629">
            <wp:extent cx="2523579" cy="1842976"/>
            <wp:effectExtent l="1905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2524461" cy="1843620"/>
                    </a:xfrm>
                    <a:prstGeom prst="rect">
                      <a:avLst/>
                    </a:prstGeom>
                    <a:noFill/>
                    <a:ln w="9525">
                      <a:noFill/>
                      <a:miter lim="800000"/>
                      <a:headEnd/>
                      <a:tailEnd/>
                    </a:ln>
                  </pic:spPr>
                </pic:pic>
              </a:graphicData>
            </a:graphic>
          </wp:inline>
        </w:drawing>
      </w:r>
    </w:p>
    <w:p w14:paraId="014D19FA" w14:textId="77777777" w:rsidR="002F6AE9" w:rsidRPr="00AF5ADB" w:rsidRDefault="0021291C" w:rsidP="00AF5ADB">
      <w:pPr>
        <w:pStyle w:val="ListParagraph"/>
        <w:ind w:left="717" w:firstLine="0"/>
        <w:rPr>
          <w:rFonts w:ascii="Arial" w:hAnsi="Arial" w:cs="Arial"/>
          <w:b/>
          <w:i/>
          <w:sz w:val="20"/>
          <w:szCs w:val="20"/>
        </w:rPr>
      </w:pPr>
      <w:r w:rsidRPr="0021291C">
        <w:rPr>
          <w:rFonts w:ascii="Arial" w:hAnsi="Arial" w:cs="Arial"/>
          <w:b/>
          <w:i/>
          <w:noProof/>
          <w:sz w:val="20"/>
          <w:szCs w:val="20"/>
        </w:rPr>
        <w:drawing>
          <wp:anchor distT="0" distB="0" distL="114300" distR="114300" simplePos="0" relativeHeight="251660288" behindDoc="1" locked="0" layoutInCell="1" allowOverlap="1" wp14:anchorId="12AC88C5" wp14:editId="0007B80D">
            <wp:simplePos x="0" y="0"/>
            <wp:positionH relativeFrom="column">
              <wp:posOffset>4769347</wp:posOffset>
            </wp:positionH>
            <wp:positionV relativeFrom="paragraph">
              <wp:posOffset>458080</wp:posOffset>
            </wp:positionV>
            <wp:extent cx="1405600" cy="280658"/>
            <wp:effectExtent l="19050" t="0" r="1815" b="0"/>
            <wp:wrapNone/>
            <wp:docPr id="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7885" cy="280760"/>
                    </a:xfrm>
                    <a:prstGeom prst="rect">
                      <a:avLst/>
                    </a:prstGeom>
                    <a:noFill/>
                    <a:ln>
                      <a:noFill/>
                    </a:ln>
                  </pic:spPr>
                </pic:pic>
              </a:graphicData>
            </a:graphic>
          </wp:anchor>
        </w:drawing>
      </w:r>
      <w:r w:rsidR="002C679D" w:rsidRPr="002C679D">
        <w:rPr>
          <w:rFonts w:ascii="Arial" w:hAnsi="Arial" w:cs="Arial"/>
          <w:b/>
          <w:i/>
          <w:sz w:val="20"/>
          <w:szCs w:val="20"/>
        </w:rPr>
        <w:t xml:space="preserve">Nota: Ver pestaña </w:t>
      </w:r>
      <w:r w:rsidR="002C679D">
        <w:rPr>
          <w:rFonts w:ascii="Arial" w:hAnsi="Arial" w:cs="Arial"/>
          <w:b/>
          <w:i/>
          <w:sz w:val="20"/>
          <w:szCs w:val="20"/>
        </w:rPr>
        <w:t>Proyección</w:t>
      </w:r>
      <w:r w:rsidR="002C679D" w:rsidRPr="002C679D">
        <w:rPr>
          <w:rFonts w:ascii="Arial" w:hAnsi="Arial" w:cs="Arial"/>
          <w:b/>
          <w:i/>
          <w:sz w:val="20"/>
          <w:szCs w:val="20"/>
        </w:rPr>
        <w:t xml:space="preserve"> en fichero excel adjunto.</w:t>
      </w:r>
    </w:p>
    <w:sectPr w:rsidR="002F6AE9" w:rsidRPr="00AF5ADB" w:rsidSect="000068FC">
      <w:footerReference w:type="default" r:id="rId1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BDC1" w14:textId="77777777" w:rsidR="00DE0071" w:rsidRDefault="00DE0071" w:rsidP="005D4C4E">
      <w:pPr>
        <w:spacing w:line="240" w:lineRule="auto"/>
      </w:pPr>
      <w:r>
        <w:separator/>
      </w:r>
    </w:p>
  </w:endnote>
  <w:endnote w:type="continuationSeparator" w:id="0">
    <w:p w14:paraId="0CC62AAE" w14:textId="77777777" w:rsidR="00DE0071" w:rsidRDefault="00DE0071" w:rsidP="005D4C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7DE5" w14:textId="77777777" w:rsidR="0021291C" w:rsidRDefault="0021291C">
    <w:pPr>
      <w:pStyle w:val="Footer"/>
    </w:pPr>
  </w:p>
  <w:p w14:paraId="6E9DB299" w14:textId="77777777" w:rsidR="005D4C4E" w:rsidRPr="0021291C" w:rsidRDefault="005D4C4E" w:rsidP="00212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B8FA" w14:textId="77777777" w:rsidR="00DE0071" w:rsidRDefault="00DE0071" w:rsidP="005D4C4E">
      <w:pPr>
        <w:spacing w:line="240" w:lineRule="auto"/>
      </w:pPr>
      <w:r>
        <w:separator/>
      </w:r>
    </w:p>
  </w:footnote>
  <w:footnote w:type="continuationSeparator" w:id="0">
    <w:p w14:paraId="4D6FB55A" w14:textId="77777777" w:rsidR="00DE0071" w:rsidRDefault="00DE0071" w:rsidP="005D4C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71BD5"/>
    <w:multiLevelType w:val="multilevel"/>
    <w:tmpl w:val="FCB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C1C27"/>
    <w:multiLevelType w:val="hybridMultilevel"/>
    <w:tmpl w:val="198A3606"/>
    <w:lvl w:ilvl="0" w:tplc="2D00DAA2">
      <w:start w:val="1"/>
      <w:numFmt w:val="decimal"/>
      <w:lvlText w:val="%1)"/>
      <w:lvlJc w:val="left"/>
      <w:pPr>
        <w:ind w:left="717" w:hanging="360"/>
      </w:pPr>
      <w:rPr>
        <w:rFonts w:hint="default"/>
      </w:rPr>
    </w:lvl>
    <w:lvl w:ilvl="1" w:tplc="0C0A0019" w:tentative="1">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2" w15:restartNumberingAfterBreak="0">
    <w:nsid w:val="624127F4"/>
    <w:multiLevelType w:val="multilevel"/>
    <w:tmpl w:val="0DF6E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767C4"/>
    <w:multiLevelType w:val="multilevel"/>
    <w:tmpl w:val="3AD2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88574">
    <w:abstractNumId w:val="1"/>
  </w:num>
  <w:num w:numId="2" w16cid:durableId="1140922673">
    <w:abstractNumId w:val="0"/>
  </w:num>
  <w:num w:numId="3" w16cid:durableId="2091806544">
    <w:abstractNumId w:val="3"/>
  </w:num>
  <w:num w:numId="4" w16cid:durableId="301664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816"/>
    <w:rsid w:val="000068FC"/>
    <w:rsid w:val="00033E77"/>
    <w:rsid w:val="000D642C"/>
    <w:rsid w:val="001062AC"/>
    <w:rsid w:val="001B069C"/>
    <w:rsid w:val="0021291C"/>
    <w:rsid w:val="00217E9D"/>
    <w:rsid w:val="002C3D93"/>
    <w:rsid w:val="002C679D"/>
    <w:rsid w:val="002F6AE9"/>
    <w:rsid w:val="00596FED"/>
    <w:rsid w:val="005D4C4E"/>
    <w:rsid w:val="005F3115"/>
    <w:rsid w:val="005F3D31"/>
    <w:rsid w:val="00737B84"/>
    <w:rsid w:val="00782CB3"/>
    <w:rsid w:val="007F270C"/>
    <w:rsid w:val="00842B4C"/>
    <w:rsid w:val="009505A6"/>
    <w:rsid w:val="009B1816"/>
    <w:rsid w:val="00A006E4"/>
    <w:rsid w:val="00A80926"/>
    <w:rsid w:val="00AF5ADB"/>
    <w:rsid w:val="00B875F3"/>
    <w:rsid w:val="00DE0071"/>
    <w:rsid w:val="00DE4848"/>
    <w:rsid w:val="00EC2139"/>
    <w:rsid w:val="00ED4FD3"/>
    <w:rsid w:val="00EE09EB"/>
    <w:rsid w:val="00F70EE2"/>
    <w:rsid w:val="00FF0E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59E0"/>
  <w15:docId w15:val="{605F72AB-AAD7-44CB-B0A1-ED0563DB4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B4C"/>
  </w:style>
  <w:style w:type="paragraph" w:styleId="Heading1">
    <w:name w:val="heading 1"/>
    <w:basedOn w:val="Normal"/>
    <w:next w:val="Normal"/>
    <w:link w:val="Heading1Char"/>
    <w:uiPriority w:val="9"/>
    <w:qFormat/>
    <w:rsid w:val="001B069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33E77"/>
    <w:pPr>
      <w:spacing w:before="100" w:beforeAutospacing="1" w:after="100" w:afterAutospacing="1" w:line="240" w:lineRule="auto"/>
      <w:ind w:firstLine="0"/>
      <w:jc w:val="left"/>
      <w:outlineLvl w:val="1"/>
    </w:pPr>
    <w:rPr>
      <w:rFonts w:ascii="Times New Roman" w:eastAsia="Times New Roman" w:hAnsi="Times New Roman" w:cs="Times New Roman"/>
      <w:b/>
      <w:bCs/>
      <w:sz w:val="36"/>
      <w:szCs w:val="36"/>
      <w:lang w:eastAsia="es-ES"/>
    </w:rPr>
  </w:style>
  <w:style w:type="paragraph" w:styleId="Heading3">
    <w:name w:val="heading 3"/>
    <w:basedOn w:val="Normal"/>
    <w:link w:val="Heading3Char"/>
    <w:uiPriority w:val="9"/>
    <w:qFormat/>
    <w:rsid w:val="00033E77"/>
    <w:pPr>
      <w:spacing w:before="100" w:beforeAutospacing="1" w:after="100" w:afterAutospacing="1" w:line="240" w:lineRule="auto"/>
      <w:ind w:firstLine="0"/>
      <w:jc w:val="left"/>
      <w:outlineLvl w:val="2"/>
    </w:pPr>
    <w:rPr>
      <w:rFonts w:ascii="Times New Roman" w:eastAsia="Times New Roman" w:hAnsi="Times New Roman" w:cs="Times New Roman"/>
      <w:b/>
      <w:bCs/>
      <w:sz w:val="27"/>
      <w:szCs w:val="27"/>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18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1816"/>
    <w:rPr>
      <w:rFonts w:ascii="Tahoma" w:hAnsi="Tahoma" w:cs="Tahoma"/>
      <w:sz w:val="16"/>
      <w:szCs w:val="16"/>
    </w:rPr>
  </w:style>
  <w:style w:type="paragraph" w:styleId="ListParagraph">
    <w:name w:val="List Paragraph"/>
    <w:basedOn w:val="Normal"/>
    <w:uiPriority w:val="34"/>
    <w:qFormat/>
    <w:rsid w:val="009B1816"/>
    <w:pPr>
      <w:ind w:left="720"/>
      <w:contextualSpacing/>
    </w:pPr>
  </w:style>
  <w:style w:type="paragraph" w:styleId="NormalWeb">
    <w:name w:val="Normal (Web)"/>
    <w:basedOn w:val="Normal"/>
    <w:uiPriority w:val="99"/>
    <w:semiHidden/>
    <w:unhideWhenUsed/>
    <w:rsid w:val="00033E77"/>
    <w:pPr>
      <w:spacing w:before="100" w:beforeAutospacing="1" w:after="100" w:afterAutospacing="1" w:line="240" w:lineRule="auto"/>
      <w:ind w:firstLine="0"/>
      <w:jc w:val="left"/>
    </w:pPr>
    <w:rPr>
      <w:rFonts w:ascii="Times New Roman" w:eastAsia="Times New Roman" w:hAnsi="Times New Roman" w:cs="Times New Roman"/>
      <w:sz w:val="24"/>
      <w:szCs w:val="24"/>
      <w:lang w:eastAsia="es-ES"/>
    </w:rPr>
  </w:style>
  <w:style w:type="character" w:customStyle="1" w:styleId="Heading2Char">
    <w:name w:val="Heading 2 Char"/>
    <w:basedOn w:val="DefaultParagraphFont"/>
    <w:link w:val="Heading2"/>
    <w:uiPriority w:val="9"/>
    <w:rsid w:val="00033E77"/>
    <w:rPr>
      <w:rFonts w:ascii="Times New Roman" w:eastAsia="Times New Roman" w:hAnsi="Times New Roman" w:cs="Times New Roman"/>
      <w:b/>
      <w:bCs/>
      <w:sz w:val="36"/>
      <w:szCs w:val="36"/>
      <w:lang w:eastAsia="es-ES"/>
    </w:rPr>
  </w:style>
  <w:style w:type="character" w:customStyle="1" w:styleId="Heading3Char">
    <w:name w:val="Heading 3 Char"/>
    <w:basedOn w:val="DefaultParagraphFont"/>
    <w:link w:val="Heading3"/>
    <w:uiPriority w:val="9"/>
    <w:rsid w:val="00033E77"/>
    <w:rPr>
      <w:rFonts w:ascii="Times New Roman" w:eastAsia="Times New Roman" w:hAnsi="Times New Roman" w:cs="Times New Roman"/>
      <w:b/>
      <w:bCs/>
      <w:sz w:val="27"/>
      <w:szCs w:val="27"/>
      <w:lang w:eastAsia="es-ES"/>
    </w:rPr>
  </w:style>
  <w:style w:type="character" w:customStyle="1" w:styleId="Heading1Char">
    <w:name w:val="Heading 1 Char"/>
    <w:basedOn w:val="DefaultParagraphFont"/>
    <w:link w:val="Heading1"/>
    <w:uiPriority w:val="9"/>
    <w:rsid w:val="001B069C"/>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5D4C4E"/>
    <w:pPr>
      <w:tabs>
        <w:tab w:val="center" w:pos="4252"/>
        <w:tab w:val="right" w:pos="8504"/>
      </w:tabs>
      <w:spacing w:line="240" w:lineRule="auto"/>
    </w:pPr>
  </w:style>
  <w:style w:type="character" w:customStyle="1" w:styleId="HeaderChar">
    <w:name w:val="Header Char"/>
    <w:basedOn w:val="DefaultParagraphFont"/>
    <w:link w:val="Header"/>
    <w:uiPriority w:val="99"/>
    <w:rsid w:val="005D4C4E"/>
  </w:style>
  <w:style w:type="paragraph" w:styleId="Footer">
    <w:name w:val="footer"/>
    <w:basedOn w:val="Normal"/>
    <w:link w:val="FooterChar"/>
    <w:uiPriority w:val="99"/>
    <w:unhideWhenUsed/>
    <w:rsid w:val="005D4C4E"/>
    <w:pPr>
      <w:tabs>
        <w:tab w:val="center" w:pos="4252"/>
        <w:tab w:val="right" w:pos="8504"/>
      </w:tabs>
      <w:spacing w:line="240" w:lineRule="auto"/>
    </w:pPr>
  </w:style>
  <w:style w:type="character" w:customStyle="1" w:styleId="FooterChar">
    <w:name w:val="Footer Char"/>
    <w:basedOn w:val="DefaultParagraphFont"/>
    <w:link w:val="Footer"/>
    <w:uiPriority w:val="99"/>
    <w:rsid w:val="005D4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5804">
      <w:bodyDiv w:val="1"/>
      <w:marLeft w:val="0"/>
      <w:marRight w:val="0"/>
      <w:marTop w:val="0"/>
      <w:marBottom w:val="0"/>
      <w:divBdr>
        <w:top w:val="none" w:sz="0" w:space="0" w:color="auto"/>
        <w:left w:val="none" w:sz="0" w:space="0" w:color="auto"/>
        <w:bottom w:val="none" w:sz="0" w:space="0" w:color="auto"/>
        <w:right w:val="none" w:sz="0" w:space="0" w:color="auto"/>
      </w:divBdr>
    </w:div>
    <w:div w:id="803935837">
      <w:bodyDiv w:val="1"/>
      <w:marLeft w:val="0"/>
      <w:marRight w:val="0"/>
      <w:marTop w:val="0"/>
      <w:marBottom w:val="0"/>
      <w:divBdr>
        <w:top w:val="none" w:sz="0" w:space="0" w:color="auto"/>
        <w:left w:val="none" w:sz="0" w:space="0" w:color="auto"/>
        <w:bottom w:val="none" w:sz="0" w:space="0" w:color="auto"/>
        <w:right w:val="none" w:sz="0" w:space="0" w:color="auto"/>
      </w:divBdr>
    </w:div>
    <w:div w:id="1021011977">
      <w:bodyDiv w:val="1"/>
      <w:marLeft w:val="0"/>
      <w:marRight w:val="0"/>
      <w:marTop w:val="0"/>
      <w:marBottom w:val="0"/>
      <w:divBdr>
        <w:top w:val="none" w:sz="0" w:space="0" w:color="auto"/>
        <w:left w:val="none" w:sz="0" w:space="0" w:color="auto"/>
        <w:bottom w:val="none" w:sz="0" w:space="0" w:color="auto"/>
        <w:right w:val="none" w:sz="0" w:space="0" w:color="auto"/>
      </w:divBdr>
    </w:div>
    <w:div w:id="1047802307">
      <w:bodyDiv w:val="1"/>
      <w:marLeft w:val="0"/>
      <w:marRight w:val="0"/>
      <w:marTop w:val="0"/>
      <w:marBottom w:val="0"/>
      <w:divBdr>
        <w:top w:val="none" w:sz="0" w:space="0" w:color="auto"/>
        <w:left w:val="none" w:sz="0" w:space="0" w:color="auto"/>
        <w:bottom w:val="none" w:sz="0" w:space="0" w:color="auto"/>
        <w:right w:val="none" w:sz="0" w:space="0" w:color="auto"/>
      </w:divBdr>
      <w:divsChild>
        <w:div w:id="1333803107">
          <w:marLeft w:val="0"/>
          <w:marRight w:val="0"/>
          <w:marTop w:val="0"/>
          <w:marBottom w:val="0"/>
          <w:divBdr>
            <w:top w:val="none" w:sz="0" w:space="0" w:color="auto"/>
            <w:left w:val="none" w:sz="0" w:space="0" w:color="auto"/>
            <w:bottom w:val="none" w:sz="0" w:space="0" w:color="auto"/>
            <w:right w:val="none" w:sz="0" w:space="0" w:color="auto"/>
          </w:divBdr>
          <w:divsChild>
            <w:div w:id="1981110350">
              <w:marLeft w:val="0"/>
              <w:marRight w:val="0"/>
              <w:marTop w:val="0"/>
              <w:marBottom w:val="0"/>
              <w:divBdr>
                <w:top w:val="none" w:sz="0" w:space="0" w:color="auto"/>
                <w:left w:val="none" w:sz="0" w:space="0" w:color="auto"/>
                <w:bottom w:val="none" w:sz="0" w:space="0" w:color="auto"/>
                <w:right w:val="none" w:sz="0" w:space="0" w:color="auto"/>
              </w:divBdr>
              <w:divsChild>
                <w:div w:id="17400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7582">
          <w:marLeft w:val="0"/>
          <w:marRight w:val="0"/>
          <w:marTop w:val="0"/>
          <w:marBottom w:val="0"/>
          <w:divBdr>
            <w:top w:val="none" w:sz="0" w:space="0" w:color="auto"/>
            <w:left w:val="none" w:sz="0" w:space="0" w:color="auto"/>
            <w:bottom w:val="none" w:sz="0" w:space="0" w:color="auto"/>
            <w:right w:val="none" w:sz="0" w:space="0" w:color="auto"/>
          </w:divBdr>
          <w:divsChild>
            <w:div w:id="1012797480">
              <w:marLeft w:val="0"/>
              <w:marRight w:val="0"/>
              <w:marTop w:val="0"/>
              <w:marBottom w:val="0"/>
              <w:divBdr>
                <w:top w:val="none" w:sz="0" w:space="0" w:color="auto"/>
                <w:left w:val="none" w:sz="0" w:space="0" w:color="auto"/>
                <w:bottom w:val="none" w:sz="0" w:space="0" w:color="auto"/>
                <w:right w:val="none" w:sz="0" w:space="0" w:color="auto"/>
              </w:divBdr>
              <w:divsChild>
                <w:div w:id="12953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356">
          <w:marLeft w:val="0"/>
          <w:marRight w:val="0"/>
          <w:marTop w:val="0"/>
          <w:marBottom w:val="0"/>
          <w:divBdr>
            <w:top w:val="none" w:sz="0" w:space="0" w:color="auto"/>
            <w:left w:val="none" w:sz="0" w:space="0" w:color="auto"/>
            <w:bottom w:val="none" w:sz="0" w:space="0" w:color="auto"/>
            <w:right w:val="none" w:sz="0" w:space="0" w:color="auto"/>
          </w:divBdr>
          <w:divsChild>
            <w:div w:id="1679577045">
              <w:marLeft w:val="0"/>
              <w:marRight w:val="0"/>
              <w:marTop w:val="0"/>
              <w:marBottom w:val="0"/>
              <w:divBdr>
                <w:top w:val="none" w:sz="0" w:space="0" w:color="auto"/>
                <w:left w:val="none" w:sz="0" w:space="0" w:color="auto"/>
                <w:bottom w:val="none" w:sz="0" w:space="0" w:color="auto"/>
                <w:right w:val="none" w:sz="0" w:space="0" w:color="auto"/>
              </w:divBdr>
              <w:divsChild>
                <w:div w:id="78527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7718">
          <w:marLeft w:val="0"/>
          <w:marRight w:val="0"/>
          <w:marTop w:val="0"/>
          <w:marBottom w:val="0"/>
          <w:divBdr>
            <w:top w:val="none" w:sz="0" w:space="0" w:color="auto"/>
            <w:left w:val="none" w:sz="0" w:space="0" w:color="auto"/>
            <w:bottom w:val="none" w:sz="0" w:space="0" w:color="auto"/>
            <w:right w:val="none" w:sz="0" w:space="0" w:color="auto"/>
          </w:divBdr>
          <w:divsChild>
            <w:div w:id="83690403">
              <w:marLeft w:val="0"/>
              <w:marRight w:val="0"/>
              <w:marTop w:val="0"/>
              <w:marBottom w:val="0"/>
              <w:divBdr>
                <w:top w:val="none" w:sz="0" w:space="0" w:color="auto"/>
                <w:left w:val="none" w:sz="0" w:space="0" w:color="auto"/>
                <w:bottom w:val="none" w:sz="0" w:space="0" w:color="auto"/>
                <w:right w:val="none" w:sz="0" w:space="0" w:color="auto"/>
              </w:divBdr>
              <w:divsChild>
                <w:div w:id="11586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3976">
          <w:marLeft w:val="0"/>
          <w:marRight w:val="0"/>
          <w:marTop w:val="0"/>
          <w:marBottom w:val="0"/>
          <w:divBdr>
            <w:top w:val="none" w:sz="0" w:space="0" w:color="auto"/>
            <w:left w:val="none" w:sz="0" w:space="0" w:color="auto"/>
            <w:bottom w:val="none" w:sz="0" w:space="0" w:color="auto"/>
            <w:right w:val="none" w:sz="0" w:space="0" w:color="auto"/>
          </w:divBdr>
          <w:divsChild>
            <w:div w:id="483012131">
              <w:marLeft w:val="0"/>
              <w:marRight w:val="0"/>
              <w:marTop w:val="0"/>
              <w:marBottom w:val="0"/>
              <w:divBdr>
                <w:top w:val="none" w:sz="0" w:space="0" w:color="auto"/>
                <w:left w:val="none" w:sz="0" w:space="0" w:color="auto"/>
                <w:bottom w:val="none" w:sz="0" w:space="0" w:color="auto"/>
                <w:right w:val="none" w:sz="0" w:space="0" w:color="auto"/>
              </w:divBdr>
              <w:divsChild>
                <w:div w:id="15923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597689">
          <w:marLeft w:val="0"/>
          <w:marRight w:val="0"/>
          <w:marTop w:val="0"/>
          <w:marBottom w:val="0"/>
          <w:divBdr>
            <w:top w:val="none" w:sz="0" w:space="0" w:color="auto"/>
            <w:left w:val="none" w:sz="0" w:space="0" w:color="auto"/>
            <w:bottom w:val="none" w:sz="0" w:space="0" w:color="auto"/>
            <w:right w:val="none" w:sz="0" w:space="0" w:color="auto"/>
          </w:divBdr>
          <w:divsChild>
            <w:div w:id="346097889">
              <w:marLeft w:val="0"/>
              <w:marRight w:val="0"/>
              <w:marTop w:val="0"/>
              <w:marBottom w:val="0"/>
              <w:divBdr>
                <w:top w:val="none" w:sz="0" w:space="0" w:color="auto"/>
                <w:left w:val="none" w:sz="0" w:space="0" w:color="auto"/>
                <w:bottom w:val="none" w:sz="0" w:space="0" w:color="auto"/>
                <w:right w:val="none" w:sz="0" w:space="0" w:color="auto"/>
              </w:divBdr>
              <w:divsChild>
                <w:div w:id="16582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26494">
      <w:bodyDiv w:val="1"/>
      <w:marLeft w:val="0"/>
      <w:marRight w:val="0"/>
      <w:marTop w:val="0"/>
      <w:marBottom w:val="0"/>
      <w:divBdr>
        <w:top w:val="none" w:sz="0" w:space="0" w:color="auto"/>
        <w:left w:val="none" w:sz="0" w:space="0" w:color="auto"/>
        <w:bottom w:val="none" w:sz="0" w:space="0" w:color="auto"/>
        <w:right w:val="none" w:sz="0" w:space="0" w:color="auto"/>
      </w:divBdr>
    </w:div>
    <w:div w:id="1707752366">
      <w:bodyDiv w:val="1"/>
      <w:marLeft w:val="0"/>
      <w:marRight w:val="0"/>
      <w:marTop w:val="0"/>
      <w:marBottom w:val="0"/>
      <w:divBdr>
        <w:top w:val="none" w:sz="0" w:space="0" w:color="auto"/>
        <w:left w:val="none" w:sz="0" w:space="0" w:color="auto"/>
        <w:bottom w:val="none" w:sz="0" w:space="0" w:color="auto"/>
        <w:right w:val="none" w:sz="0" w:space="0" w:color="auto"/>
      </w:divBdr>
    </w:div>
    <w:div w:id="2141679967">
      <w:bodyDiv w:val="1"/>
      <w:marLeft w:val="0"/>
      <w:marRight w:val="0"/>
      <w:marTop w:val="0"/>
      <w:marBottom w:val="0"/>
      <w:divBdr>
        <w:top w:val="none" w:sz="0" w:space="0" w:color="auto"/>
        <w:left w:val="none" w:sz="0" w:space="0" w:color="auto"/>
        <w:bottom w:val="none" w:sz="0" w:space="0" w:color="auto"/>
        <w:right w:val="none" w:sz="0" w:space="0" w:color="auto"/>
      </w:divBdr>
      <w:divsChild>
        <w:div w:id="1064373808">
          <w:marLeft w:val="0"/>
          <w:marRight w:val="0"/>
          <w:marTop w:val="0"/>
          <w:marBottom w:val="0"/>
          <w:divBdr>
            <w:top w:val="none" w:sz="0" w:space="0" w:color="auto"/>
            <w:left w:val="none" w:sz="0" w:space="0" w:color="auto"/>
            <w:bottom w:val="none" w:sz="0" w:space="0" w:color="auto"/>
            <w:right w:val="none" w:sz="0" w:space="0" w:color="auto"/>
          </w:divBdr>
        </w:div>
        <w:div w:id="1652633000">
          <w:marLeft w:val="0"/>
          <w:marRight w:val="0"/>
          <w:marTop w:val="0"/>
          <w:marBottom w:val="0"/>
          <w:divBdr>
            <w:top w:val="none" w:sz="0" w:space="0" w:color="auto"/>
            <w:left w:val="none" w:sz="0" w:space="0" w:color="auto"/>
            <w:bottom w:val="none" w:sz="0" w:space="0" w:color="auto"/>
            <w:right w:val="none" w:sz="0" w:space="0" w:color="auto"/>
          </w:divBdr>
        </w:div>
        <w:div w:id="700321973">
          <w:marLeft w:val="0"/>
          <w:marRight w:val="0"/>
          <w:marTop w:val="0"/>
          <w:marBottom w:val="0"/>
          <w:divBdr>
            <w:top w:val="none" w:sz="0" w:space="0" w:color="auto"/>
            <w:left w:val="none" w:sz="0" w:space="0" w:color="auto"/>
            <w:bottom w:val="none" w:sz="0" w:space="0" w:color="auto"/>
            <w:right w:val="none" w:sz="0" w:space="0" w:color="auto"/>
          </w:divBdr>
        </w:div>
        <w:div w:id="112406592">
          <w:marLeft w:val="0"/>
          <w:marRight w:val="0"/>
          <w:marTop w:val="0"/>
          <w:marBottom w:val="0"/>
          <w:divBdr>
            <w:top w:val="none" w:sz="0" w:space="0" w:color="auto"/>
            <w:left w:val="none" w:sz="0" w:space="0" w:color="auto"/>
            <w:bottom w:val="none" w:sz="0" w:space="0" w:color="auto"/>
            <w:right w:val="none" w:sz="0" w:space="0" w:color="auto"/>
          </w:divBdr>
        </w:div>
        <w:div w:id="1388913001">
          <w:marLeft w:val="0"/>
          <w:marRight w:val="0"/>
          <w:marTop w:val="0"/>
          <w:marBottom w:val="0"/>
          <w:divBdr>
            <w:top w:val="none" w:sz="0" w:space="0" w:color="auto"/>
            <w:left w:val="none" w:sz="0" w:space="0" w:color="auto"/>
            <w:bottom w:val="none" w:sz="0" w:space="0" w:color="auto"/>
            <w:right w:val="none" w:sz="0" w:space="0" w:color="auto"/>
          </w:divBdr>
        </w:div>
        <w:div w:id="1190874328">
          <w:marLeft w:val="0"/>
          <w:marRight w:val="0"/>
          <w:marTop w:val="0"/>
          <w:marBottom w:val="0"/>
          <w:divBdr>
            <w:top w:val="none" w:sz="0" w:space="0" w:color="auto"/>
            <w:left w:val="none" w:sz="0" w:space="0" w:color="auto"/>
            <w:bottom w:val="none" w:sz="0" w:space="0" w:color="auto"/>
            <w:right w:val="none" w:sz="0" w:space="0" w:color="auto"/>
          </w:divBdr>
        </w:div>
        <w:div w:id="549537926">
          <w:marLeft w:val="0"/>
          <w:marRight w:val="0"/>
          <w:marTop w:val="0"/>
          <w:marBottom w:val="0"/>
          <w:divBdr>
            <w:top w:val="none" w:sz="0" w:space="0" w:color="auto"/>
            <w:left w:val="none" w:sz="0" w:space="0" w:color="auto"/>
            <w:bottom w:val="none" w:sz="0" w:space="0" w:color="auto"/>
            <w:right w:val="none" w:sz="0" w:space="0" w:color="auto"/>
          </w:divBdr>
        </w:div>
        <w:div w:id="1018001266">
          <w:marLeft w:val="0"/>
          <w:marRight w:val="0"/>
          <w:marTop w:val="0"/>
          <w:marBottom w:val="0"/>
          <w:divBdr>
            <w:top w:val="none" w:sz="0" w:space="0" w:color="auto"/>
            <w:left w:val="none" w:sz="0" w:space="0" w:color="auto"/>
            <w:bottom w:val="none" w:sz="0" w:space="0" w:color="auto"/>
            <w:right w:val="none" w:sz="0" w:space="0" w:color="auto"/>
          </w:divBdr>
        </w:div>
        <w:div w:id="1150256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1203</Words>
  <Characters>6825</Characters>
  <Application>Microsoft Office Word</Application>
  <DocSecurity>0</DocSecurity>
  <Lines>252</Lines>
  <Paragraphs>99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LUCY V.G.</dc:creator>
  <cp:lastModifiedBy>donato azzarone</cp:lastModifiedBy>
  <cp:revision>2</cp:revision>
  <dcterms:created xsi:type="dcterms:W3CDTF">2025-11-17T06:00:00Z</dcterms:created>
  <dcterms:modified xsi:type="dcterms:W3CDTF">2025-11-17T06:00:00Z</dcterms:modified>
</cp:coreProperties>
</file>