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C2CBF"/>
          <w:sz w:val="20"/>
          <w:szCs w:val="20"/>
        </w:rPr>
        <w:t xml:space="preserve">SALES ENABLEMENT</w:t>
      </w:r>
    </w:p>
    <w:p>
      <w:pPr>
        <w:spacing w:after="40"/>
      </w:pPr>
      <w:r>
        <w:rPr>
          <w:rFonts w:ascii="Arial" w:cs="Arial" w:eastAsia="Arial" w:hAnsi="Arial"/>
          <w:b/>
          <w:bCs/>
          <w:color w:val="303034"/>
          <w:sz w:val="48"/>
          <w:szCs w:val="48"/>
        </w:rPr>
        <w:t xml:space="preserve">Sponsorship &amp; Child Sponsorship</w:t>
      </w:r>
    </w:p>
    <w:p>
      <w:pPr>
        <w:spacing w:after="40"/>
      </w:pPr>
      <w:r>
        <w:rPr>
          <w:rFonts w:ascii="Arial" w:cs="Arial" w:eastAsia="Arial" w:hAnsi="Arial"/>
          <w:b/>
          <w:bCs/>
          <w:color w:val="303034"/>
          <w:sz w:val="48"/>
          <w:szCs w:val="48"/>
        </w:rPr>
        <w:t xml:space="preserve">Handling in DonorDock</w:t>
      </w:r>
    </w:p>
    <w:p>
      <w:pPr>
        <w:pBdr>
          <w:bottom w:val="single" w:color="8C2CBF" w:sz="6" w:space="1"/>
        </w:pBdr>
        <w:spacing w:after="200"/>
      </w:pPr>
      <w:r>
        <w:rPr>
          <w:rFonts w:ascii="Arial" w:cs="Arial" w:eastAsia="Arial" w:hAnsi="Arial"/>
          <w:color w:val="666666"/>
          <w:sz w:val="20"/>
          <w:szCs w:val="20"/>
        </w:rPr>
        <w:t xml:space="preserve">For Noah, Toby, and the sales team  |  March 2026  |  v1.0</w:t>
      </w:r>
    </w:p>
    <w:p>
      <w:pPr>
        <w:pStyle w:val="Heading1"/>
        <w:spacing w:after="200" w:before="360"/>
      </w:pPr>
      <w:r>
        <w:rPr>
          <w:rFonts w:ascii="Arial" w:cs="Arial" w:eastAsia="Arial" w:hAnsi="Arial"/>
          <w:b/>
          <w:bCs/>
          <w:color w:val="303034"/>
          <w:sz w:val="32"/>
          <w:szCs w:val="32"/>
        </w:rPr>
        <w:t xml:space="preserve">Overview</w:t>
      </w:r>
    </w:p>
    <w:p>
      <w:pPr>
        <w:spacing w:after="120"/>
      </w:pPr>
      <w:r>
        <w:rPr>
          <w:rFonts w:ascii="Arial" w:cs="Arial" w:eastAsia="Arial" w:hAnsi="Arial"/>
          <w:color w:val="303034"/>
          <w:sz w:val="22"/>
          <w:szCs w:val="22"/>
        </w:rPr>
        <w:t xml:space="preserve">Nonprofits with child sponsorship, monthly sponsorship, or pledge-based giving models often ask detailed pre-sales questions about how DonorDock handles their specific workflows. This doc gives you clear, ready-to-share answers for the three most common scenarios that come up in these conversations.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C2CBF" w:val="clear"/>
            <w:tcMar>
              <w:top w:type="dxa" w:w="80"/>
              <w:left w:type="dxa" w:w="120"/>
              <w:bottom w:type="dxa" w:w="80"/>
              <w:right w:type="dxa" w:w="120"/>
            </w:tcMar>
          </w:tcPr>
          <w:p>
            <w:r>
              <w:rPr>
                <w:rFonts w:ascii="Arial" w:cs="Arial" w:eastAsia="Arial" w:hAnsi="Arial"/>
                <w:b/>
                <w:bCs/>
                <w:color w:val="FFFFFF"/>
                <w:sz w:val="20"/>
                <w:szCs w:val="20"/>
              </w:rPr>
              <w:t xml:space="preserve">Prospect Question</w:t>
            </w:r>
          </w:p>
        </w:tc>
        <w:tc>
          <w:tcPr>
            <w:tcW w:type="dxa" w:w="3280"/>
            <w:tcBorders>
              <w:top w:val="single" w:color="CCCCCC" w:sz="1"/>
              <w:left w:val="single" w:color="CCCCCC" w:sz="1"/>
              <w:bottom w:val="single" w:color="CCCCCC" w:sz="1"/>
              <w:right w:val="single" w:color="CCCCCC" w:sz="1"/>
            </w:tcBorders>
            <w:shd w:fill="8C2CBF" w:val="clear"/>
            <w:tcMar>
              <w:top w:type="dxa" w:w="80"/>
              <w:left w:type="dxa" w:w="120"/>
              <w:bottom w:type="dxa" w:w="80"/>
              <w:right w:type="dxa" w:w="120"/>
            </w:tcMar>
          </w:tcPr>
          <w:p>
            <w:r>
              <w:rPr>
                <w:rFonts w:ascii="Arial" w:cs="Arial" w:eastAsia="Arial" w:hAnsi="Arial"/>
                <w:b/>
                <w:bCs/>
                <w:color w:val="FFFFFF"/>
                <w:sz w:val="20"/>
                <w:szCs w:val="20"/>
              </w:rPr>
              <w:t xml:space="preserve">How DonorDock Handles It Today</w:t>
            </w:r>
          </w:p>
        </w:tc>
        <w:tc>
          <w:tcPr>
            <w:tcW w:type="dxa" w:w="3280"/>
            <w:tcBorders>
              <w:top w:val="single" w:color="CCCCCC" w:sz="1"/>
              <w:left w:val="single" w:color="CCCCCC" w:sz="1"/>
              <w:bottom w:val="single" w:color="CCCCCC" w:sz="1"/>
              <w:right w:val="single" w:color="CCCCCC" w:sz="1"/>
            </w:tcBorders>
            <w:shd w:fill="8C2CBF"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80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How does DonorDock handle split gifts?</w:t>
            </w:r>
          </w:p>
        </w:tc>
        <w:tc>
          <w:tcPr>
            <w:tcW w:type="dxa" w:w="328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Create multiple gifts from one check, each applied to a different fund or campaign. Receipting for split gifts is a known gap being addressed in Q2/Q3 2026.</w:t>
            </w:r>
          </w:p>
        </w:tc>
        <w:tc>
          <w:tcPr>
            <w:tcW w:type="dxa" w:w="328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"We handle this today by creating separate gift entries per fund. We know receipting across splits needs to be smoother, and that’s actively being improved."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03034"/>
                <w:sz w:val="20"/>
                <w:szCs w:val="20"/>
              </w:rPr>
              <w:t xml:space="preserve">Can we enter offline checks and see the recurring gift template during batch entry?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03034"/>
                <w:sz w:val="20"/>
                <w:szCs w:val="20"/>
              </w:rPr>
              <w:t xml:space="preserve">Use Pledges to track sponsorship commitments. Manually apply offline gifts as pledged gifts. Recurring online gifts don’t auto-attach to pledges yet (Q2 improvement).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03034"/>
                <w:sz w:val="20"/>
                <w:szCs w:val="20"/>
              </w:rPr>
              <w:t xml:space="preserve">"We use pledges to track sponsorship commitments, and you can apply each check as a pledged gift. Auto-linking is coming in Q2."</w:t>
            </w:r>
          </w:p>
        </w:tc>
      </w:tr>
      <w:tr>
        <w:tc>
          <w:tcPr>
            <w:tcW w:type="dxa" w:w="280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Can we connect a sponsorship model to our website?</w:t>
            </w:r>
          </w:p>
        </w:tc>
        <w:tc>
          <w:tcPr>
            <w:tcW w:type="dxa" w:w="328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Create individual giving pages per child/sponsor, embed on your website, and use Campaign or Fund tracking to connect each page to the right sponsorship.</w:t>
            </w:r>
          </w:p>
        </w:tc>
        <w:tc>
          <w:tcPr>
            <w:tcW w:type="dxa" w:w="3280"/>
            <w:tcBorders>
              <w:top w:val="single" w:color="CCCCCC" w:sz="1"/>
              <w:left w:val="single" w:color="CCCCCC" w:sz="1"/>
              <w:bottom w:val="single" w:color="CCCCCC" w:sz="1"/>
              <w:right w:val="single" w:color="CCCCCC" w:sz="1"/>
            </w:tcBorders>
            <w:shd w:fill="FFFCF5" w:val="clear"/>
            <w:tcMar>
              <w:top w:type="dxa" w:w="80"/>
              <w:left w:type="dxa" w:w="120"/>
              <w:bottom w:type="dxa" w:w="80"/>
              <w:right w:type="dxa" w:w="120"/>
            </w:tcMar>
          </w:tcPr>
          <w:p>
            <w:r>
              <w:rPr>
                <w:rFonts w:ascii="Arial" w:cs="Arial" w:eastAsia="Arial" w:hAnsi="Arial"/>
                <w:color w:val="303034"/>
                <w:sz w:val="20"/>
                <w:szCs w:val="20"/>
              </w:rPr>
              <w:t xml:space="preserve">"Several of our customers do exactly this. Every Orphan’s Hope is a great example -- each child has their own giving page embedded on the website."</w:t>
            </w:r>
          </w:p>
        </w:tc>
      </w:tr>
    </w:tbl>
    <w:p>
      <w:r>
        <w:br w:type="page"/>
      </w:r>
    </w:p>
    <w:p>
      <w:pPr>
        <w:pStyle w:val="Heading1"/>
        <w:spacing w:after="200" w:before="360"/>
      </w:pPr>
      <w:r>
        <w:rPr>
          <w:rFonts w:ascii="Arial" w:cs="Arial" w:eastAsia="Arial" w:hAnsi="Arial"/>
          <w:b/>
          <w:bCs/>
          <w:color w:val="303034"/>
          <w:sz w:val="32"/>
          <w:szCs w:val="32"/>
        </w:rPr>
        <w:t xml:space="preserve">Scenario 1: Split Gifts</w:t>
      </w:r>
    </w:p>
    <w:p>
      <w:pPr>
        <w:pStyle w:val="Heading2"/>
        <w:spacing w:after="160" w:before="280"/>
      </w:pPr>
      <w:r>
        <w:rPr>
          <w:rFonts w:ascii="Arial" w:cs="Arial" w:eastAsia="Arial" w:hAnsi="Arial"/>
          <w:b/>
          <w:bCs/>
          <w:color w:val="8C2CBF"/>
          <w:sz w:val="26"/>
          <w:szCs w:val="26"/>
        </w:rPr>
        <w:t xml:space="preserve">What the prospect is asking</w:t>
      </w:r>
    </w:p>
    <w:p>
      <w:pPr>
        <w:spacing w:after="120"/>
      </w:pPr>
      <w:r>
        <w:rPr>
          <w:rFonts w:ascii="Arial" w:cs="Arial" w:eastAsia="Arial" w:hAnsi="Arial"/>
          <w:color w:val="303034"/>
          <w:sz w:val="22"/>
          <w:szCs w:val="22"/>
        </w:rPr>
        <w:t xml:space="preserve">"How does DonorDock handle split gifts?" -- They want to take a single check (e.g., $500) and allocate portions to different funds or campaigns (e.g., $300 to General Fund, $200 to Building Fund).</w:t>
      </w:r>
    </w:p>
    <w:p>
      <w:pPr>
        <w:pStyle w:val="Heading2"/>
        <w:spacing w:after="160" w:before="280"/>
      </w:pPr>
      <w:r>
        <w:rPr>
          <w:rFonts w:ascii="Arial" w:cs="Arial" w:eastAsia="Arial" w:hAnsi="Arial"/>
          <w:b/>
          <w:bCs/>
          <w:color w:val="8C2CBF"/>
          <w:sz w:val="26"/>
          <w:szCs w:val="26"/>
        </w:rPr>
        <w:t xml:space="preserve">How DonorDock handles it today</w:t>
      </w:r>
    </w:p>
    <w:p>
      <w:pPr>
        <w:spacing w:after="120"/>
      </w:pPr>
      <w:r>
        <w:rPr>
          <w:rFonts w:ascii="Arial" w:cs="Arial" w:eastAsia="Arial" w:hAnsi="Arial"/>
          <w:color w:val="303034"/>
          <w:sz w:val="22"/>
          <w:szCs w:val="22"/>
        </w:rPr>
        <w:t xml:space="preserve">DonorDock does not currently have a native "split gift" feature that lets you divide one transaction across multiple funds in a single entry. The current workflow is:</w:t>
      </w:r>
    </w:p>
    <w:p>
      <w:pPr>
        <w:pStyle w:val="ListParagraph"/>
        <w:numPr>
          <w:ilvl w:val="0"/>
          <w:numId w:val="2"/>
        </w:numPr>
        <w:spacing w:after="80"/>
      </w:pPr>
      <w:r>
        <w:rPr>
          <w:rFonts w:ascii="Arial" w:cs="Arial" w:eastAsia="Arial" w:hAnsi="Arial"/>
          <w:b/>
          <w:bCs/>
          <w:color w:val="303034"/>
          <w:sz w:val="22"/>
          <w:szCs w:val="22"/>
        </w:rPr>
        <w:t xml:space="preserve">Create multiple gift entries. </w:t>
      </w:r>
      <w:r>
        <w:rPr>
          <w:rFonts w:ascii="Arial" w:cs="Arial" w:eastAsia="Arial" w:hAnsi="Arial"/>
          <w:color w:val="303034"/>
          <w:sz w:val="22"/>
          <w:szCs w:val="22"/>
        </w:rPr>
        <w:t xml:space="preserve">When you receive a check that covers multiple funds, you enter each portion as a separate gift on the donor’s contact record. Each gift gets its own fund, campaign, and appeal assignment.</w:t>
      </w:r>
    </w:p>
    <w:p>
      <w:pPr>
        <w:pStyle w:val="ListParagraph"/>
        <w:numPr>
          <w:ilvl w:val="0"/>
          <w:numId w:val="2"/>
        </w:numPr>
        <w:spacing w:after="80"/>
      </w:pPr>
      <w:r>
        <w:rPr>
          <w:rFonts w:ascii="Arial" w:cs="Arial" w:eastAsia="Arial" w:hAnsi="Arial"/>
          <w:b/>
          <w:bCs/>
          <w:color w:val="303034"/>
          <w:sz w:val="22"/>
          <w:szCs w:val="22"/>
        </w:rPr>
        <w:t xml:space="preserve">Track the total. </w:t>
      </w:r>
      <w:r>
        <w:rPr>
          <w:rFonts w:ascii="Arial" w:cs="Arial" w:eastAsia="Arial" w:hAnsi="Arial"/>
          <w:color w:val="303034"/>
          <w:sz w:val="22"/>
          <w:szCs w:val="22"/>
        </w:rPr>
        <w:t xml:space="preserve">The donor’s giving history shows all gifts, so the total is always visible. You can use gift tags (e.g., "March 2026 Check #1042") to group related split entries together for easy reference.</w:t>
      </w:r>
    </w:p>
    <w:p>
      <w:pPr>
        <w:pStyle w:val="ListParagraph"/>
        <w:numPr>
          <w:ilvl w:val="0"/>
          <w:numId w:val="2"/>
        </w:numPr>
        <w:spacing w:after="80"/>
      </w:pPr>
      <w:r>
        <w:rPr>
          <w:rFonts w:ascii="Arial" w:cs="Arial" w:eastAsia="Arial" w:hAnsi="Arial"/>
          <w:b/>
          <w:bCs/>
          <w:color w:val="303034"/>
          <w:sz w:val="22"/>
          <w:szCs w:val="22"/>
        </w:rPr>
        <w:t xml:space="preserve">Reporting works normally. </w:t>
      </w:r>
      <w:r>
        <w:rPr>
          <w:rFonts w:ascii="Arial" w:cs="Arial" w:eastAsia="Arial" w:hAnsi="Arial"/>
          <w:color w:val="303034"/>
          <w:sz w:val="22"/>
          <w:szCs w:val="22"/>
        </w:rPr>
        <w:t xml:space="preserve">Fund-level and campaign-level reports accurately reflect the allocations since each gift is tied to the correct tracking category.</w:t>
      </w:r>
    </w:p>
    <w:p>
      <w:pPr>
        <w:pStyle w:val="Heading2"/>
        <w:spacing w:after="160" w:before="280"/>
      </w:pPr>
      <w:r>
        <w:rPr>
          <w:rFonts w:ascii="Arial" w:cs="Arial" w:eastAsia="Arial" w:hAnsi="Arial"/>
          <w:b/>
          <w:bCs/>
          <w:color w:val="8C2CBF"/>
          <w:sz w:val="26"/>
          <w:szCs w:val="26"/>
        </w:rPr>
        <w:t xml:space="preserve">Known gaps</w:t>
      </w:r>
    </w:p>
    <w:p>
      <w:pPr>
        <w:pStyle w:val="ListParagraph"/>
        <w:numPr>
          <w:ilvl w:val="0"/>
          <w:numId w:val="3"/>
        </w:numPr>
        <w:spacing w:after="80"/>
      </w:pPr>
      <w:r>
        <w:rPr>
          <w:rFonts w:ascii="Arial" w:cs="Arial" w:eastAsia="Arial" w:hAnsi="Arial"/>
          <w:b/>
          <w:bCs/>
          <w:color w:val="303034"/>
          <w:sz w:val="22"/>
          <w:szCs w:val="22"/>
        </w:rPr>
        <w:t xml:space="preserve">Receipting. </w:t>
      </w:r>
      <w:r>
        <w:rPr>
          <w:rFonts w:ascii="Arial" w:cs="Arial" w:eastAsia="Arial" w:hAnsi="Arial"/>
          <w:color w:val="303034"/>
          <w:sz w:val="22"/>
          <w:szCs w:val="22"/>
        </w:rPr>
        <w:t xml:space="preserve">Since each portion is a separate gift entry, the donor may receive multiple receipts unless you manually manage which gifts trigger receipts. Improving this is on the roadmap for Q2/Q3 2026.</w:t>
      </w:r>
    </w:p>
    <w:p>
      <w:pPr>
        <w:pStyle w:val="ListParagraph"/>
        <w:numPr>
          <w:ilvl w:val="0"/>
          <w:numId w:val="3"/>
        </w:numPr>
        <w:spacing w:after="80"/>
      </w:pPr>
      <w:r>
        <w:rPr>
          <w:rFonts w:ascii="Arial" w:cs="Arial" w:eastAsia="Arial" w:hAnsi="Arial"/>
          <w:b/>
          <w:bCs/>
          <w:color w:val="303034"/>
          <w:sz w:val="22"/>
          <w:szCs w:val="22"/>
        </w:rPr>
        <w:t xml:space="preserve">No single-entry split. </w:t>
      </w:r>
      <w:r>
        <w:rPr>
          <w:rFonts w:ascii="Arial" w:cs="Arial" w:eastAsia="Arial" w:hAnsi="Arial"/>
          <w:color w:val="303034"/>
          <w:sz w:val="22"/>
          <w:szCs w:val="22"/>
        </w:rPr>
        <w:t xml:space="preserve">You can’t enter one $500 gift and split it across funds within that entry. It’s multiple entries. The team is evaluating the best approach to improve this.</w:t>
      </w:r>
    </w:p>
    <w:p>
      <w:pPr>
        <w:pStyle w:val="Heading2"/>
        <w:spacing w:after="160" w:before="280"/>
      </w:pPr>
      <w:r>
        <w:rPr>
          <w:rFonts w:ascii="Arial" w:cs="Arial" w:eastAsia="Arial" w:hAnsi="Arial"/>
          <w:b/>
          <w:bCs/>
          <w:color w:val="8C2CBF"/>
          <w:sz w:val="26"/>
          <w:szCs w:val="26"/>
        </w:rPr>
        <w:t xml:space="preserve">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CBF" w:sz="1"/>
              <w:left w:val="single" w:color="8C2CBF" w:sz="6"/>
              <w:bottom w:val="single" w:color="8C2CBF" w:sz="1"/>
              <w:right w:val="single" w:color="8C2CBF" w:sz="1"/>
            </w:tcBorders>
            <w:shd w:fill="F5EEFA" w:val="clear"/>
            <w:tcMar>
              <w:top w:type="dxa" w:w="120"/>
              <w:left w:type="dxa" w:w="200"/>
              <w:bottom w:type="dxa" w:w="120"/>
              <w:right w:type="dxa" w:w="200"/>
            </w:tcMar>
          </w:tcPr>
          <w:p>
            <w:pPr>
              <w:spacing w:after="80"/>
            </w:pPr>
            <w:r>
              <w:rPr>
                <w:rFonts w:ascii="Arial" w:cs="Arial" w:eastAsia="Arial" w:hAnsi="Arial"/>
                <w:b/>
                <w:bCs/>
                <w:color w:val="8C2CBF"/>
                <w:sz w:val="22"/>
                <w:szCs w:val="22"/>
              </w:rPr>
              <w:t xml:space="preserve">Suggested talk track:</w:t>
            </w:r>
          </w:p>
          <w:p>
            <w:pPr>
              <w:spacing w:after="60"/>
            </w:pPr>
            <w:r>
              <w:rPr>
                <w:rFonts w:ascii="Arial" w:cs="Arial" w:eastAsia="Arial" w:hAnsi="Arial"/>
                <w:color w:val="303034"/>
                <w:sz w:val="20"/>
                <w:szCs w:val="20"/>
              </w:rPr>
              <w:t xml:space="preserve">"We handle split gifts today by creating separate gift entries for each fund allocation. Your reporting stays accurate because each gift is tied to the right fund.</w:t>
            </w:r>
          </w:p>
          <w:p>
            <w:pPr>
              <w:spacing w:after="60"/>
            </w:pPr>
            <w:r>
              <w:rPr>
                <w:rFonts w:ascii="Arial" w:cs="Arial" w:eastAsia="Arial" w:hAnsi="Arial"/>
                <w:color w:val="303034"/>
                <w:sz w:val="20"/>
                <w:szCs w:val="20"/>
              </w:rPr>
              <w:t xml:space="preserve"/>
            </w:r>
          </w:p>
          <w:p>
            <w:pPr>
              <w:spacing w:after="60"/>
            </w:pPr>
            <w:r>
              <w:rPr>
                <w:rFonts w:ascii="Arial" w:cs="Arial" w:eastAsia="Arial" w:hAnsi="Arial"/>
                <w:color w:val="303034"/>
                <w:sz w:val="20"/>
                <w:szCs w:val="20"/>
              </w:rPr>
              <w:t xml:space="preserve">We know the receipt experience for split gifts needs to be smoother -- that’s something our team is actively working on for Q2/Q3. The goal is to make split gifts feel like one transaction while keeping the fund-level detail intact."</w:t>
            </w:r>
          </w:p>
        </w:tc>
      </w:tr>
    </w:tbl>
    <w:p>
      <w:r>
        <w:br w:type="page"/>
      </w:r>
    </w:p>
    <w:p>
      <w:pPr>
        <w:pStyle w:val="Heading1"/>
        <w:spacing w:after="200" w:before="360"/>
      </w:pPr>
      <w:r>
        <w:rPr>
          <w:rFonts w:ascii="Arial" w:cs="Arial" w:eastAsia="Arial" w:hAnsi="Arial"/>
          <w:b/>
          <w:bCs/>
          <w:color w:val="303034"/>
          <w:sz w:val="32"/>
          <w:szCs w:val="32"/>
        </w:rPr>
        <w:t xml:space="preserve">Scenario 2: Offline Check Entry for Sponsorships</w:t>
      </w:r>
    </w:p>
    <w:p>
      <w:pPr>
        <w:pStyle w:val="Heading2"/>
        <w:spacing w:after="160" w:before="280"/>
      </w:pPr>
      <w:r>
        <w:rPr>
          <w:rFonts w:ascii="Arial" w:cs="Arial" w:eastAsia="Arial" w:hAnsi="Arial"/>
          <w:b/>
          <w:bCs/>
          <w:color w:val="8C2CBF"/>
          <w:sz w:val="26"/>
          <w:szCs w:val="26"/>
        </w:rPr>
        <w:t xml:space="preserve">What the prospect is asking</w:t>
      </w:r>
    </w:p>
    <w:p>
      <w:pPr>
        <w:spacing w:after="120"/>
      </w:pPr>
      <w:r>
        <w:rPr>
          <w:rFonts w:ascii="Arial" w:cs="Arial" w:eastAsia="Arial" w:hAnsi="Arial"/>
          <w:color w:val="303034"/>
          <w:sz w:val="22"/>
          <w:szCs w:val="22"/>
        </w:rPr>
        <w:t xml:space="preserve">"When we receive checks in the mail for monthly sponsorships, can we look up the donor during batch entry and see their recurring gift template so we know how to apply the gift?"</w:t>
      </w:r>
    </w:p>
    <w:p>
      <w:pPr>
        <w:spacing w:after="120"/>
      </w:pPr>
      <w:r>
        <w:rPr>
          <w:rFonts w:ascii="Arial" w:cs="Arial" w:eastAsia="Arial" w:hAnsi="Arial"/>
          <w:color w:val="303034"/>
          <w:sz w:val="22"/>
          <w:szCs w:val="22"/>
        </w:rPr>
        <w:t xml:space="preserve">This is common for child sponsorship orgs where donors commit to a monthly amount but sometimes pay by check instead of (or in addition to) auto-drafts.</w:t>
      </w:r>
    </w:p>
    <w:p>
      <w:pPr>
        <w:pStyle w:val="Heading2"/>
        <w:spacing w:after="160" w:before="280"/>
      </w:pPr>
      <w:r>
        <w:rPr>
          <w:rFonts w:ascii="Arial" w:cs="Arial" w:eastAsia="Arial" w:hAnsi="Arial"/>
          <w:b/>
          <w:bCs/>
          <w:color w:val="8C2CBF"/>
          <w:sz w:val="26"/>
          <w:szCs w:val="26"/>
        </w:rPr>
        <w:t xml:space="preserve">How DonorDock handles it today</w:t>
      </w:r>
    </w:p>
    <w:p>
      <w:pPr>
        <w:spacing w:after="120"/>
      </w:pPr>
      <w:r>
        <w:rPr>
          <w:rFonts w:ascii="Arial" w:cs="Arial" w:eastAsia="Arial" w:hAnsi="Arial"/>
          <w:color w:val="303034"/>
          <w:sz w:val="22"/>
          <w:szCs w:val="22"/>
        </w:rPr>
        <w:t xml:space="preserve">The recommended approach uses Pledges as the backbone for sponsorship tracking:</w:t>
      </w:r>
    </w:p>
    <w:p>
      <w:pPr>
        <w:spacing w:after="120" w:before="200"/>
      </w:pPr>
      <w:r>
        <w:rPr>
          <w:rFonts w:ascii="Arial" w:cs="Arial" w:eastAsia="Arial" w:hAnsi="Arial"/>
          <w:b/>
          <w:bCs/>
          <w:color w:val="303034"/>
          <w:sz w:val="22"/>
          <w:szCs w:val="22"/>
        </w:rPr>
        <w:t xml:space="preserve">Setting up the sponsorship</w:t>
      </w:r>
    </w:p>
    <w:p>
      <w:pPr>
        <w:pStyle w:val="ListParagraph"/>
        <w:numPr>
          <w:ilvl w:val="0"/>
          <w:numId w:val="4"/>
        </w:numPr>
        <w:spacing w:after="80"/>
      </w:pPr>
      <w:r>
        <w:rPr>
          <w:rFonts w:ascii="Arial" w:cs="Arial" w:eastAsia="Arial" w:hAnsi="Arial"/>
          <w:b/>
          <w:bCs/>
          <w:color w:val="303034"/>
          <w:sz w:val="22"/>
          <w:szCs w:val="22"/>
        </w:rPr>
        <w:t xml:space="preserve">Create a Pledge </w:t>
      </w:r>
      <w:r>
        <w:rPr>
          <w:rFonts w:ascii="Arial" w:cs="Arial" w:eastAsia="Arial" w:hAnsi="Arial"/>
          <w:color w:val="303034"/>
          <w:sz w:val="22"/>
          <w:szCs w:val="22"/>
        </w:rPr>
        <w:t xml:space="preserve">for each sponsorship commitment (e.g., "$50/month for 12 months = $600 pledge for Child #42"). Set the pledge amount, start date, and optionally create installments with due dates.</w:t>
      </w:r>
    </w:p>
    <w:p>
      <w:pPr>
        <w:pStyle w:val="ListParagraph"/>
        <w:numPr>
          <w:ilvl w:val="0"/>
          <w:numId w:val="4"/>
        </w:numPr>
        <w:spacing w:after="80"/>
      </w:pPr>
      <w:r>
        <w:rPr>
          <w:rFonts w:ascii="Arial" w:cs="Arial" w:eastAsia="Arial" w:hAnsi="Arial"/>
          <w:b/>
          <w:bCs/>
          <w:color w:val="303034"/>
          <w:sz w:val="22"/>
          <w:szCs w:val="22"/>
        </w:rPr>
        <w:t xml:space="preserve">Use Campaigns or Funds </w:t>
      </w:r>
      <w:r>
        <w:rPr>
          <w:rFonts w:ascii="Arial" w:cs="Arial" w:eastAsia="Arial" w:hAnsi="Arial"/>
          <w:color w:val="303034"/>
          <w:sz w:val="22"/>
          <w:szCs w:val="22"/>
        </w:rPr>
        <w:t xml:space="preserve">to track which child or program each sponsorship belongs to. This lets you report on sponsorship totals by child, by program, or by sponsor.</w:t>
      </w:r>
    </w:p>
    <w:p>
      <w:pPr>
        <w:pStyle w:val="ListParagraph"/>
        <w:numPr>
          <w:ilvl w:val="0"/>
          <w:numId w:val="4"/>
        </w:numPr>
        <w:spacing w:after="80"/>
      </w:pPr>
      <w:r>
        <w:rPr>
          <w:rFonts w:ascii="Arial" w:cs="Arial" w:eastAsia="Arial" w:hAnsi="Arial"/>
          <w:b/>
          <w:bCs/>
          <w:color w:val="303034"/>
          <w:sz w:val="22"/>
          <w:szCs w:val="22"/>
        </w:rPr>
        <w:t xml:space="preserve">If the donor also gives online, </w:t>
      </w:r>
      <w:r>
        <w:rPr>
          <w:rFonts w:ascii="Arial" w:cs="Arial" w:eastAsia="Arial" w:hAnsi="Arial"/>
          <w:color w:val="303034"/>
          <w:sz w:val="22"/>
          <w:szCs w:val="22"/>
        </w:rPr>
        <w:t xml:space="preserve">set up a giving page for their sponsorship (see Scenario 3). Online recurring gifts will track automatically.</w:t>
      </w:r>
    </w:p>
    <w:p>
      <w:pPr>
        <w:spacing w:after="120" w:before="200"/>
      </w:pPr>
      <w:r>
        <w:rPr>
          <w:rFonts w:ascii="Arial" w:cs="Arial" w:eastAsia="Arial" w:hAnsi="Arial"/>
          <w:b/>
          <w:bCs/>
          <w:color w:val="303034"/>
          <w:sz w:val="22"/>
          <w:szCs w:val="22"/>
        </w:rPr>
        <w:t xml:space="preserve">When a check arrives</w:t>
      </w:r>
    </w:p>
    <w:p>
      <w:pPr>
        <w:pStyle w:val="ListParagraph"/>
        <w:numPr>
          <w:ilvl w:val="0"/>
          <w:numId w:val="5"/>
        </w:numPr>
        <w:spacing w:after="80"/>
      </w:pPr>
      <w:r>
        <w:rPr>
          <w:rFonts w:ascii="Arial" w:cs="Arial" w:eastAsia="Arial" w:hAnsi="Arial"/>
          <w:b/>
          <w:bCs/>
          <w:color w:val="303034"/>
          <w:sz w:val="22"/>
          <w:szCs w:val="22"/>
        </w:rPr>
        <w:t xml:space="preserve">Look up the donor’s contact record </w:t>
      </w:r>
      <w:r>
        <w:rPr>
          <w:rFonts w:ascii="Arial" w:cs="Arial" w:eastAsia="Arial" w:hAnsi="Arial"/>
          <w:color w:val="303034"/>
          <w:sz w:val="22"/>
          <w:szCs w:val="22"/>
        </w:rPr>
        <w:t xml:space="preserve">in DonorDock.</w:t>
      </w:r>
    </w:p>
    <w:p>
      <w:pPr>
        <w:pStyle w:val="ListParagraph"/>
        <w:numPr>
          <w:ilvl w:val="0"/>
          <w:numId w:val="5"/>
        </w:numPr>
        <w:spacing w:after="80"/>
      </w:pPr>
      <w:r>
        <w:rPr>
          <w:rFonts w:ascii="Arial" w:cs="Arial" w:eastAsia="Arial" w:hAnsi="Arial"/>
          <w:b/>
          <w:bCs/>
          <w:color w:val="303034"/>
          <w:sz w:val="22"/>
          <w:szCs w:val="22"/>
        </w:rPr>
        <w:t xml:space="preserve">View their open pledges </w:t>
      </w:r>
      <w:r>
        <w:rPr>
          <w:rFonts w:ascii="Arial" w:cs="Arial" w:eastAsia="Arial" w:hAnsi="Arial"/>
          <w:color w:val="303034"/>
          <w:sz w:val="22"/>
          <w:szCs w:val="22"/>
        </w:rPr>
        <w:t xml:space="preserve">under the Transactions section. This shows the total pledge, amount paid so far, and remaining balance -- so your team immediately knows what the check is for.</w:t>
      </w:r>
    </w:p>
    <w:p>
      <w:pPr>
        <w:pStyle w:val="ListParagraph"/>
        <w:numPr>
          <w:ilvl w:val="0"/>
          <w:numId w:val="5"/>
        </w:numPr>
        <w:spacing w:after="80"/>
      </w:pPr>
      <w:r>
        <w:rPr>
          <w:rFonts w:ascii="Arial" w:cs="Arial" w:eastAsia="Arial" w:hAnsi="Arial"/>
          <w:b/>
          <w:bCs/>
          <w:color w:val="303034"/>
          <w:sz w:val="22"/>
          <w:szCs w:val="22"/>
        </w:rPr>
        <w:t xml:space="preserve">Create a new gift and apply it to the pledge </w:t>
      </w:r>
      <w:r>
        <w:rPr>
          <w:rFonts w:ascii="Arial" w:cs="Arial" w:eastAsia="Arial" w:hAnsi="Arial"/>
          <w:color w:val="303034"/>
          <w:sz w:val="22"/>
          <w:szCs w:val="22"/>
        </w:rPr>
        <w:t xml:space="preserve">as a pledged gift. This reduces the pledge balance and keeps the sponsorship on track.</w:t>
      </w:r>
    </w:p>
    <w:p>
      <w:pPr>
        <w:pStyle w:val="ListParagraph"/>
        <w:numPr>
          <w:ilvl w:val="0"/>
          <w:numId w:val="5"/>
        </w:numPr>
        <w:spacing w:after="80"/>
      </w:pPr>
      <w:r>
        <w:rPr>
          <w:rFonts w:ascii="Arial" w:cs="Arial" w:eastAsia="Arial" w:hAnsi="Arial"/>
          <w:b/>
          <w:bCs/>
          <w:color w:val="303034"/>
          <w:sz w:val="22"/>
          <w:szCs w:val="22"/>
        </w:rPr>
        <w:t xml:space="preserve">Assign the fund/campaign </w:t>
      </w:r>
      <w:r>
        <w:rPr>
          <w:rFonts w:ascii="Arial" w:cs="Arial" w:eastAsia="Arial" w:hAnsi="Arial"/>
          <w:color w:val="303034"/>
          <w:sz w:val="22"/>
          <w:szCs w:val="22"/>
        </w:rPr>
        <w:t xml:space="preserve">to match the sponsorship.</w:t>
      </w:r>
    </w:p>
    <w:p>
      <w:pPr>
        <w:pStyle w:val="Heading2"/>
        <w:spacing w:after="160" w:before="280"/>
      </w:pPr>
      <w:r>
        <w:rPr>
          <w:rFonts w:ascii="Arial" w:cs="Arial" w:eastAsia="Arial" w:hAnsi="Arial"/>
          <w:b/>
          <w:bCs/>
          <w:color w:val="8C2CBF"/>
          <w:sz w:val="26"/>
          <w:szCs w:val="26"/>
        </w:rPr>
        <w:t xml:space="preserve">Known gaps</w:t>
      </w:r>
    </w:p>
    <w:p>
      <w:pPr>
        <w:pStyle w:val="ListParagraph"/>
        <w:numPr>
          <w:ilvl w:val="0"/>
          <w:numId w:val="6"/>
        </w:numPr>
        <w:spacing w:after="80"/>
      </w:pPr>
      <w:r>
        <w:rPr>
          <w:rFonts w:ascii="Arial" w:cs="Arial" w:eastAsia="Arial" w:hAnsi="Arial"/>
          <w:b/>
          <w:bCs/>
          <w:color w:val="303034"/>
          <w:sz w:val="22"/>
          <w:szCs w:val="22"/>
        </w:rPr>
        <w:t xml:space="preserve">No automatic pledge-to-recurring-gift linking. </w:t>
      </w:r>
      <w:r>
        <w:rPr>
          <w:rFonts w:ascii="Arial" w:cs="Arial" w:eastAsia="Arial" w:hAnsi="Arial"/>
          <w:color w:val="303034"/>
          <w:sz w:val="22"/>
          <w:szCs w:val="22"/>
        </w:rPr>
        <w:t xml:space="preserve">If a donor has both a pledge and an online recurring gift for the same sponsorship, those don’t auto-connect today. Staff would need to manually apply recurring online gifts to the pledge to reduce the balance. This is a Q2 2026 improvement.</w:t>
      </w:r>
    </w:p>
    <w:p>
      <w:pPr>
        <w:pStyle w:val="ListParagraph"/>
        <w:numPr>
          <w:ilvl w:val="0"/>
          <w:numId w:val="6"/>
        </w:numPr>
        <w:spacing w:after="80"/>
      </w:pPr>
      <w:r>
        <w:rPr>
          <w:rFonts w:ascii="Arial" w:cs="Arial" w:eastAsia="Arial" w:hAnsi="Arial"/>
          <w:b/>
          <w:bCs/>
          <w:color w:val="303034"/>
          <w:sz w:val="22"/>
          <w:szCs w:val="22"/>
        </w:rPr>
        <w:t xml:space="preserve">No "batch entry with pledge context" view. </w:t>
      </w:r>
      <w:r>
        <w:rPr>
          <w:rFonts w:ascii="Arial" w:cs="Arial" w:eastAsia="Arial" w:hAnsi="Arial"/>
          <w:color w:val="303034"/>
          <w:sz w:val="22"/>
          <w:szCs w:val="22"/>
        </w:rPr>
        <w:t xml:space="preserve">Currently, there isn’t a single screen that shows the recurring template alongside the gift entry form. Your team would look at the donor’s pledges first, then create the gift. It’s an extra step but the data is all accessible.</w:t>
      </w:r>
    </w:p>
    <w:p>
      <w:pPr>
        <w:pStyle w:val="Heading2"/>
        <w:spacing w:after="160" w:before="280"/>
      </w:pPr>
      <w:r>
        <w:rPr>
          <w:rFonts w:ascii="Arial" w:cs="Arial" w:eastAsia="Arial" w:hAnsi="Arial"/>
          <w:b/>
          <w:bCs/>
          <w:color w:val="8C2CBF"/>
          <w:sz w:val="26"/>
          <w:szCs w:val="26"/>
        </w:rPr>
        <w:t xml:space="preserve">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CBF" w:sz="1"/>
              <w:left w:val="single" w:color="8C2CBF" w:sz="6"/>
              <w:bottom w:val="single" w:color="8C2CBF" w:sz="1"/>
              <w:right w:val="single" w:color="8C2CBF" w:sz="1"/>
            </w:tcBorders>
            <w:shd w:fill="F5EEFA" w:val="clear"/>
            <w:tcMar>
              <w:top w:type="dxa" w:w="120"/>
              <w:left w:type="dxa" w:w="200"/>
              <w:bottom w:type="dxa" w:w="120"/>
              <w:right w:type="dxa" w:w="200"/>
            </w:tcMar>
          </w:tcPr>
          <w:p>
            <w:pPr>
              <w:spacing w:after="80"/>
            </w:pPr>
            <w:r>
              <w:rPr>
                <w:rFonts w:ascii="Arial" w:cs="Arial" w:eastAsia="Arial" w:hAnsi="Arial"/>
                <w:b/>
                <w:bCs/>
                <w:color w:val="8C2CBF"/>
                <w:sz w:val="22"/>
                <w:szCs w:val="22"/>
              </w:rPr>
              <w:t xml:space="preserve">Suggested talk track:</w:t>
            </w:r>
          </w:p>
          <w:p>
            <w:pPr>
              <w:spacing w:after="60"/>
            </w:pPr>
            <w:r>
              <w:rPr>
                <w:rFonts w:ascii="Arial" w:cs="Arial" w:eastAsia="Arial" w:hAnsi="Arial"/>
                <w:color w:val="303034"/>
                <w:sz w:val="20"/>
                <w:szCs w:val="20"/>
              </w:rPr>
              <w:t xml:space="preserve">"The way our most successful sponsorship orgs handle this is through pledges. Each sponsorship gets a pledge -- say $50/month for 12 months.</w:t>
            </w:r>
          </w:p>
          <w:p>
            <w:pPr>
              <w:spacing w:after="60"/>
            </w:pPr>
            <w:r>
              <w:rPr>
                <w:rFonts w:ascii="Arial" w:cs="Arial" w:eastAsia="Arial" w:hAnsi="Arial"/>
                <w:color w:val="303034"/>
                <w:sz w:val="20"/>
                <w:szCs w:val="20"/>
              </w:rPr>
              <w:t xml:space="preserve"/>
            </w:r>
          </w:p>
          <w:p>
            <w:pPr>
              <w:spacing w:after="60"/>
            </w:pPr>
            <w:r>
              <w:rPr>
                <w:rFonts w:ascii="Arial" w:cs="Arial" w:eastAsia="Arial" w:hAnsi="Arial"/>
                <w:color w:val="303034"/>
                <w:sz w:val="20"/>
                <w:szCs w:val="20"/>
              </w:rPr>
              <w:t xml:space="preserve">When a check comes in, your team looks up the donor, sees their open pledge with the remaining balance, and applies the gift right there. It keeps everything tied together and you always know where the sponsorship stands.</w:t>
            </w:r>
          </w:p>
          <w:p>
            <w:pPr>
              <w:spacing w:after="60"/>
            </w:pPr>
            <w:r>
              <w:rPr>
                <w:rFonts w:ascii="Arial" w:cs="Arial" w:eastAsia="Arial" w:hAnsi="Arial"/>
                <w:color w:val="303034"/>
                <w:sz w:val="20"/>
                <w:szCs w:val="20"/>
              </w:rPr>
              <w:t xml:space="preserve"/>
            </w:r>
          </w:p>
          <w:p>
            <w:pPr>
              <w:spacing w:after="60"/>
            </w:pPr>
            <w:r>
              <w:rPr>
                <w:rFonts w:ascii="Arial" w:cs="Arial" w:eastAsia="Arial" w:hAnsi="Arial"/>
                <w:color w:val="303034"/>
                <w:sz w:val="20"/>
                <w:szCs w:val="20"/>
              </w:rPr>
              <w:t xml:space="preserve">We’re also working on making the link between online recurring gifts and pledges automatic, so if someone pays both ways, it all reduces the same pledge balance without manual work."</w:t>
            </w:r>
          </w:p>
        </w:tc>
      </w:tr>
    </w:tbl>
    <w:p>
      <w:r>
        <w:br w:type="page"/>
      </w:r>
    </w:p>
    <w:p>
      <w:pPr>
        <w:pStyle w:val="Heading1"/>
        <w:spacing w:after="200" w:before="360"/>
      </w:pPr>
      <w:r>
        <w:rPr>
          <w:rFonts w:ascii="Arial" w:cs="Arial" w:eastAsia="Arial" w:hAnsi="Arial"/>
          <w:b/>
          <w:bCs/>
          <w:color w:val="303034"/>
          <w:sz w:val="32"/>
          <w:szCs w:val="32"/>
        </w:rPr>
        <w:t xml:space="preserve">Scenario 3: Website Sponsorship Model</w:t>
      </w:r>
    </w:p>
    <w:p>
      <w:pPr>
        <w:pStyle w:val="Heading2"/>
        <w:spacing w:after="160" w:before="280"/>
      </w:pPr>
      <w:r>
        <w:rPr>
          <w:rFonts w:ascii="Arial" w:cs="Arial" w:eastAsia="Arial" w:hAnsi="Arial"/>
          <w:b/>
          <w:bCs/>
          <w:color w:val="8C2CBF"/>
          <w:sz w:val="26"/>
          <w:szCs w:val="26"/>
        </w:rPr>
        <w:t xml:space="preserve">What the prospect is asking</w:t>
      </w:r>
    </w:p>
    <w:p>
      <w:pPr>
        <w:spacing w:after="120"/>
      </w:pPr>
      <w:r>
        <w:rPr>
          <w:rFonts w:ascii="Arial" w:cs="Arial" w:eastAsia="Arial" w:hAnsi="Arial"/>
          <w:color w:val="303034"/>
          <w:sz w:val="22"/>
          <w:szCs w:val="22"/>
        </w:rPr>
        <w:t xml:space="preserve">"Can we connect a sponsorship model to our website so donors can choose and sponsor a child (or program) directly online?"</w:t>
      </w:r>
    </w:p>
    <w:p>
      <w:pPr>
        <w:pStyle w:val="Heading2"/>
        <w:spacing w:after="160" w:before="280"/>
      </w:pPr>
      <w:r>
        <w:rPr>
          <w:rFonts w:ascii="Arial" w:cs="Arial" w:eastAsia="Arial" w:hAnsi="Arial"/>
          <w:b/>
          <w:bCs/>
          <w:color w:val="8C2CBF"/>
          <w:sz w:val="26"/>
          <w:szCs w:val="26"/>
        </w:rPr>
        <w:t xml:space="preserve">How DonorDock handles it today</w:t>
      </w:r>
    </w:p>
    <w:p>
      <w:pPr>
        <w:spacing w:after="120"/>
      </w:pPr>
      <w:r>
        <w:rPr>
          <w:rFonts w:ascii="Arial" w:cs="Arial" w:eastAsia="Arial" w:hAnsi="Arial"/>
          <w:color w:val="303034"/>
          <w:sz w:val="22"/>
          <w:szCs w:val="22"/>
        </w:rPr>
        <w:t xml:space="preserve">This is a well-supported use case. Several DonorDock customers run sponsorship programs with individual giving pages per child or program. Here is the setup:</w:t>
      </w:r>
    </w:p>
    <w:p>
      <w:pPr>
        <w:spacing w:after="120" w:before="200"/>
      </w:pPr>
      <w:r>
        <w:rPr>
          <w:rFonts w:ascii="Arial" w:cs="Arial" w:eastAsia="Arial" w:hAnsi="Arial"/>
          <w:b/>
          <w:bCs/>
          <w:color w:val="303034"/>
          <w:sz w:val="22"/>
          <w:szCs w:val="22"/>
        </w:rPr>
        <w:t xml:space="preserve">The approach</w:t>
      </w:r>
    </w:p>
    <w:p>
      <w:pPr>
        <w:pStyle w:val="ListParagraph"/>
        <w:numPr>
          <w:ilvl w:val="0"/>
          <w:numId w:val="7"/>
        </w:numPr>
        <w:spacing w:after="80"/>
      </w:pPr>
      <w:r>
        <w:rPr>
          <w:rFonts w:ascii="Arial" w:cs="Arial" w:eastAsia="Arial" w:hAnsi="Arial"/>
          <w:b/>
          <w:bCs/>
          <w:color w:val="303034"/>
          <w:sz w:val="22"/>
          <w:szCs w:val="22"/>
        </w:rPr>
        <w:t xml:space="preserve">Create a Fund or Campaign </w:t>
      </w:r>
      <w:r>
        <w:rPr>
          <w:rFonts w:ascii="Arial" w:cs="Arial" w:eastAsia="Arial" w:hAnsi="Arial"/>
          <w:color w:val="303034"/>
          <w:sz w:val="22"/>
          <w:szCs w:val="22"/>
        </w:rPr>
        <w:t xml:space="preserve">for each child or sponsorship slot (e.g., "Child #42 - Maria" or "Classroom Sponsorship - Room 3B").</w:t>
      </w:r>
    </w:p>
    <w:p>
      <w:pPr>
        <w:pStyle w:val="ListParagraph"/>
        <w:numPr>
          <w:ilvl w:val="0"/>
          <w:numId w:val="7"/>
        </w:numPr>
        <w:spacing w:after="80"/>
      </w:pPr>
      <w:r>
        <w:rPr>
          <w:rFonts w:ascii="Arial" w:cs="Arial" w:eastAsia="Arial" w:hAnsi="Arial"/>
          <w:b/>
          <w:bCs/>
          <w:color w:val="303034"/>
          <w:sz w:val="22"/>
          <w:szCs w:val="22"/>
        </w:rPr>
        <w:t xml:space="preserve">Create an Online Giving Page </w:t>
      </w:r>
      <w:r>
        <w:rPr>
          <w:rFonts w:ascii="Arial" w:cs="Arial" w:eastAsia="Arial" w:hAnsi="Arial"/>
          <w:color w:val="303034"/>
          <w:sz w:val="22"/>
          <w:szCs w:val="22"/>
        </w:rPr>
        <w:t xml:space="preserve">for each sponsorship. In the Tracking section, connect it to the matching Fund or Campaign. Set the frequency options to include monthly and/or annual recurring.</w:t>
      </w:r>
    </w:p>
    <w:p>
      <w:pPr>
        <w:pStyle w:val="ListParagraph"/>
        <w:numPr>
          <w:ilvl w:val="0"/>
          <w:numId w:val="7"/>
        </w:numPr>
        <w:spacing w:after="80"/>
      </w:pPr>
      <w:r>
        <w:rPr>
          <w:rFonts w:ascii="Arial" w:cs="Arial" w:eastAsia="Arial" w:hAnsi="Arial"/>
          <w:b/>
          <w:bCs/>
          <w:color w:val="303034"/>
          <w:sz w:val="22"/>
          <w:szCs w:val="22"/>
        </w:rPr>
        <w:t xml:space="preserve">Customize each giving page </w:t>
      </w:r>
      <w:r>
        <w:rPr>
          <w:rFonts w:ascii="Arial" w:cs="Arial" w:eastAsia="Arial" w:hAnsi="Arial"/>
          <w:color w:val="303034"/>
          <w:sz w:val="22"/>
          <w:szCs w:val="22"/>
        </w:rPr>
        <w:t xml:space="preserve">with the child’s photo, story, and sponsorship amount using the featured image and message fields. Set preset amounts to match the sponsorship tiers.</w:t>
      </w:r>
    </w:p>
    <w:p>
      <w:pPr>
        <w:pStyle w:val="ListParagraph"/>
        <w:numPr>
          <w:ilvl w:val="0"/>
          <w:numId w:val="7"/>
        </w:numPr>
        <w:spacing w:after="80"/>
      </w:pPr>
      <w:r>
        <w:rPr>
          <w:rFonts w:ascii="Arial" w:cs="Arial" w:eastAsia="Arial" w:hAnsi="Arial"/>
          <w:b/>
          <w:bCs/>
          <w:color w:val="303034"/>
          <w:sz w:val="22"/>
          <w:szCs w:val="22"/>
        </w:rPr>
        <w:t xml:space="preserve">Embed the giving page on your website. </w:t>
      </w:r>
      <w:r>
        <w:rPr>
          <w:rFonts w:ascii="Arial" w:cs="Arial" w:eastAsia="Arial" w:hAnsi="Arial"/>
          <w:color w:val="303034"/>
          <w:sz w:val="22"/>
          <w:szCs w:val="22"/>
        </w:rPr>
        <w:t xml:space="preserve">DonorDock provides embed code you can paste into any website platform (WordPress, Squarespace, Wix, Webflow, GoDaddy, and more). Each child’s page on your site gets its own embedded giving form.</w:t>
      </w:r>
    </w:p>
    <w:p>
      <w:pPr>
        <w:pStyle w:val="ListParagraph"/>
        <w:numPr>
          <w:ilvl w:val="0"/>
          <w:numId w:val="7"/>
        </w:numPr>
        <w:spacing w:after="80"/>
      </w:pPr>
      <w:r>
        <w:rPr>
          <w:rFonts w:ascii="Arial" w:cs="Arial" w:eastAsia="Arial" w:hAnsi="Arial"/>
          <w:b/>
          <w:bCs/>
          <w:color w:val="303034"/>
          <w:sz w:val="22"/>
          <w:szCs w:val="22"/>
        </w:rPr>
        <w:t xml:space="preserve">Use goal tracking </w:t>
      </w:r>
      <w:r>
        <w:rPr>
          <w:rFonts w:ascii="Arial" w:cs="Arial" w:eastAsia="Arial" w:hAnsi="Arial"/>
          <w:color w:val="303034"/>
          <w:sz w:val="22"/>
          <w:szCs w:val="22"/>
        </w:rPr>
        <w:t xml:space="preserve">to show progress. Each giving page can display a goal amount and progress bar, so donors see how close a sponsorship is to being fully funded.</w:t>
      </w:r>
    </w:p>
    <w:p>
      <w:pPr>
        <w:pStyle w:val="ListParagraph"/>
        <w:numPr>
          <w:ilvl w:val="0"/>
          <w:numId w:val="7"/>
        </w:numPr>
        <w:spacing w:after="80"/>
      </w:pPr>
      <w:r>
        <w:rPr>
          <w:rFonts w:ascii="Arial" w:cs="Arial" w:eastAsia="Arial" w:hAnsi="Arial"/>
          <w:b/>
          <w:bCs/>
          <w:color w:val="303034"/>
          <w:sz w:val="22"/>
          <w:szCs w:val="22"/>
        </w:rPr>
        <w:t xml:space="preserve">Auto-tracking happens automatically. </w:t>
      </w:r>
      <w:r>
        <w:rPr>
          <w:rFonts w:ascii="Arial" w:cs="Arial" w:eastAsia="Arial" w:hAnsi="Arial"/>
          <w:color w:val="303034"/>
          <w:sz w:val="22"/>
          <w:szCs w:val="22"/>
        </w:rPr>
        <w:t xml:space="preserve">Every online gift gets created in DonorDock with the correct fund, campaign, gift tags, and badges -- no manual data entry.</w:t>
      </w:r>
    </w:p>
    <w:p>
      <w:pPr>
        <w:pStyle w:val="Heading2"/>
        <w:spacing w:after="160" w:before="280"/>
      </w:pPr>
      <w:r>
        <w:rPr>
          <w:rFonts w:ascii="Arial" w:cs="Arial" w:eastAsia="Arial" w:hAnsi="Arial"/>
          <w:b/>
          <w:bCs/>
          <w:color w:val="8C2CBF"/>
          <w:sz w:val="26"/>
          <w:szCs w:val="26"/>
        </w:rPr>
        <w:t xml:space="preserve">Real customer example: Every Orphan’s Hope</w:t>
      </w:r>
    </w:p>
    <w:p>
      <w:pPr>
        <w:spacing w:after="120"/>
      </w:pPr>
      <w:r>
        <w:rPr>
          <w:rFonts w:ascii="Arial" w:cs="Arial" w:eastAsia="Arial" w:hAnsi="Arial"/>
          <w:color w:val="303034"/>
          <w:sz w:val="22"/>
          <w:szCs w:val="22"/>
        </w:rPr>
        <w:t xml:space="preserve">Every Orphan’s Hope (everyorphan.org) uses DonorDock to power their child sponsorship program. Each child who needs sponsoring has a dedicated page on their website with an embedded DonorDock giving form connected to that child’s fund. Donors browse children, pick one, and start a recurring monthly sponsorship -- all flowing directly into DonorDock.</w:t>
      </w:r>
    </w:p>
    <w:p>
      <w:pPr>
        <w:pStyle w:val="Heading2"/>
        <w:spacing w:after="160" w:before="280"/>
      </w:pPr>
      <w:r>
        <w:rPr>
          <w:rFonts w:ascii="Arial" w:cs="Arial" w:eastAsia="Arial" w:hAnsi="Arial"/>
          <w:b/>
          <w:bCs/>
          <w:color w:val="8C2CBF"/>
          <w:sz w:val="26"/>
          <w:szCs w:val="26"/>
        </w:rPr>
        <w:t xml:space="preserve">Additional features that support sponsorships</w:t>
      </w:r>
    </w:p>
    <w:p>
      <w:pPr>
        <w:pStyle w:val="ListParagraph"/>
        <w:numPr>
          <w:ilvl w:val="0"/>
          <w:numId w:val="8"/>
        </w:numPr>
        <w:spacing w:after="80"/>
      </w:pPr>
      <w:r>
        <w:rPr>
          <w:rFonts w:ascii="Arial" w:cs="Arial" w:eastAsia="Arial" w:hAnsi="Arial"/>
          <w:b/>
          <w:bCs/>
          <w:color w:val="303034"/>
          <w:sz w:val="22"/>
          <w:szCs w:val="22"/>
        </w:rPr>
        <w:t xml:space="preserve">Text-to-Donate. </w:t>
      </w:r>
      <w:r>
        <w:rPr>
          <w:rFonts w:ascii="Arial" w:cs="Arial" w:eastAsia="Arial" w:hAnsi="Arial"/>
          <w:color w:val="303034"/>
          <w:sz w:val="22"/>
          <w:szCs w:val="22"/>
        </w:rPr>
        <w:t xml:space="preserve">Each giving page can have its own keyword. Print "Text MARIA to [number]" on sponsorship materials and donors get a link to that child’s giving page.</w:t>
      </w:r>
    </w:p>
    <w:p>
      <w:pPr>
        <w:pStyle w:val="ListParagraph"/>
        <w:numPr>
          <w:ilvl w:val="0"/>
          <w:numId w:val="8"/>
        </w:numPr>
        <w:spacing w:after="80"/>
      </w:pPr>
      <w:r>
        <w:rPr>
          <w:rFonts w:ascii="Arial" w:cs="Arial" w:eastAsia="Arial" w:hAnsi="Arial"/>
          <w:b/>
          <w:bCs/>
          <w:color w:val="303034"/>
          <w:sz w:val="22"/>
          <w:szCs w:val="22"/>
        </w:rPr>
        <w:t xml:space="preserve">QR Codes. </w:t>
      </w:r>
      <w:r>
        <w:rPr>
          <w:rFonts w:ascii="Arial" w:cs="Arial" w:eastAsia="Arial" w:hAnsi="Arial"/>
          <w:color w:val="303034"/>
          <w:sz w:val="22"/>
          <w:szCs w:val="22"/>
        </w:rPr>
        <w:t xml:space="preserve">Every giving page generates a QR code you can put on printed profiles, event tables, or mailers.</w:t>
      </w:r>
    </w:p>
    <w:p>
      <w:pPr>
        <w:pStyle w:val="ListParagraph"/>
        <w:numPr>
          <w:ilvl w:val="0"/>
          <w:numId w:val="8"/>
        </w:numPr>
        <w:spacing w:after="80"/>
      </w:pPr>
      <w:r>
        <w:rPr>
          <w:rFonts w:ascii="Arial" w:cs="Arial" w:eastAsia="Arial" w:hAnsi="Arial"/>
          <w:b/>
          <w:bCs/>
          <w:color w:val="303034"/>
          <w:sz w:val="22"/>
          <w:szCs w:val="22"/>
        </w:rPr>
        <w:t xml:space="preserve">Fund designation by donor. </w:t>
      </w:r>
      <w:r>
        <w:rPr>
          <w:rFonts w:ascii="Arial" w:cs="Arial" w:eastAsia="Arial" w:hAnsi="Arial"/>
          <w:color w:val="303034"/>
          <w:sz w:val="22"/>
          <w:szCs w:val="22"/>
        </w:rPr>
        <w:t xml:space="preserve">You can let donors choose which fund to give to, or lock each page to a specific fund.</w:t>
      </w:r>
    </w:p>
    <w:p>
      <w:pPr>
        <w:pStyle w:val="ListParagraph"/>
        <w:numPr>
          <w:ilvl w:val="0"/>
          <w:numId w:val="8"/>
        </w:numPr>
        <w:spacing w:after="80"/>
      </w:pPr>
      <w:r>
        <w:rPr>
          <w:rFonts w:ascii="Arial" w:cs="Arial" w:eastAsia="Arial" w:hAnsi="Arial"/>
          <w:b/>
          <w:bCs/>
          <w:color w:val="303034"/>
          <w:sz w:val="22"/>
          <w:szCs w:val="22"/>
        </w:rPr>
        <w:t xml:space="preserve">Badges and marketing lists. </w:t>
      </w:r>
      <w:r>
        <w:rPr>
          <w:rFonts w:ascii="Arial" w:cs="Arial" w:eastAsia="Arial" w:hAnsi="Arial"/>
          <w:color w:val="303034"/>
          <w:sz w:val="22"/>
          <w:szCs w:val="22"/>
        </w:rPr>
        <w:t xml:space="preserve">Automatically tag donors who give through a sponsorship page with badges (e.g., "Child Sponsor") and add them to marketing lists for targeted communication.</w:t>
      </w:r>
    </w:p>
    <w:p>
      <w:pPr>
        <w:pStyle w:val="Heading2"/>
        <w:spacing w:after="160" w:before="280"/>
      </w:pPr>
      <w:r>
        <w:rPr>
          <w:rFonts w:ascii="Arial" w:cs="Arial" w:eastAsia="Arial" w:hAnsi="Arial"/>
          <w:b/>
          <w:bCs/>
          <w:color w:val="8C2CBF"/>
          <w:sz w:val="26"/>
          <w:szCs w:val="26"/>
        </w:rPr>
        <w:t xml:space="preserve">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CBF" w:sz="1"/>
              <w:left w:val="single" w:color="8C2CBF" w:sz="6"/>
              <w:bottom w:val="single" w:color="8C2CBF" w:sz="1"/>
              <w:right w:val="single" w:color="8C2CBF" w:sz="1"/>
            </w:tcBorders>
            <w:shd w:fill="F5EEFA" w:val="clear"/>
            <w:tcMar>
              <w:top w:type="dxa" w:w="120"/>
              <w:left w:type="dxa" w:w="200"/>
              <w:bottom w:type="dxa" w:w="120"/>
              <w:right w:type="dxa" w:w="200"/>
            </w:tcMar>
          </w:tcPr>
          <w:p>
            <w:pPr>
              <w:spacing w:after="80"/>
            </w:pPr>
            <w:r>
              <w:rPr>
                <w:rFonts w:ascii="Arial" w:cs="Arial" w:eastAsia="Arial" w:hAnsi="Arial"/>
                <w:b/>
                <w:bCs/>
                <w:color w:val="8C2CBF"/>
                <w:sz w:val="22"/>
                <w:szCs w:val="22"/>
              </w:rPr>
              <w:t xml:space="preserve">Suggested talk track:</w:t>
            </w:r>
          </w:p>
          <w:p>
            <w:pPr>
              <w:spacing w:after="60"/>
            </w:pPr>
            <w:r>
              <w:rPr>
                <w:rFonts w:ascii="Arial" w:cs="Arial" w:eastAsia="Arial" w:hAnsi="Arial"/>
                <w:color w:val="303034"/>
                <w:sz w:val="20"/>
                <w:szCs w:val="20"/>
              </w:rPr>
              <w:t xml:space="preserve">"This is actually a really strong use case for DonorDock. You create a giving page for each child, connect it to their fund, customize it with their photo and story, and embed it on your website.</w:t>
            </w:r>
          </w:p>
          <w:p>
            <w:pPr>
              <w:spacing w:after="60"/>
            </w:pPr>
            <w:r>
              <w:rPr>
                <w:rFonts w:ascii="Arial" w:cs="Arial" w:eastAsia="Arial" w:hAnsi="Arial"/>
                <w:color w:val="303034"/>
                <w:sz w:val="20"/>
                <w:szCs w:val="20"/>
              </w:rPr>
              <w:t xml:space="preserve"/>
            </w:r>
          </w:p>
          <w:p>
            <w:pPr>
              <w:spacing w:after="60"/>
            </w:pPr>
            <w:r>
              <w:rPr>
                <w:rFonts w:ascii="Arial" w:cs="Arial" w:eastAsia="Arial" w:hAnsi="Arial"/>
                <w:color w:val="303034"/>
                <w:sz w:val="20"/>
                <w:szCs w:val="20"/>
              </w:rPr>
              <w:t xml:space="preserve">Every Orphan’s Hope does exactly this. Each child has their own page, and when someone starts a monthly sponsorship, it all flows into DonorDock automatically -- fund tracking, badges, receipts, everything.</w:t>
            </w:r>
          </w:p>
          <w:p>
            <w:pPr>
              <w:spacing w:after="60"/>
            </w:pPr>
            <w:r>
              <w:rPr>
                <w:rFonts w:ascii="Arial" w:cs="Arial" w:eastAsia="Arial" w:hAnsi="Arial"/>
                <w:color w:val="303034"/>
                <w:sz w:val="20"/>
                <w:szCs w:val="20"/>
              </w:rPr>
              <w:t xml:space="preserve"/>
            </w:r>
          </w:p>
          <w:p>
            <w:pPr>
              <w:spacing w:after="60"/>
            </w:pPr>
            <w:r>
              <w:rPr>
                <w:rFonts w:ascii="Arial" w:cs="Arial" w:eastAsia="Arial" w:hAnsi="Arial"/>
                <w:color w:val="303034"/>
                <w:sz w:val="20"/>
                <w:szCs w:val="20"/>
              </w:rPr>
              <w:t xml:space="preserve">You can also add text-to-donate keywords and QR codes if you’re doing events or print materials."</w:t>
            </w:r>
          </w:p>
        </w:tc>
      </w:tr>
    </w:tbl>
    <w:p>
      <w:r>
        <w:br w:type="page"/>
      </w:r>
    </w:p>
    <w:p>
      <w:pPr>
        <w:pStyle w:val="Heading1"/>
        <w:spacing w:after="200" w:before="360"/>
      </w:pPr>
      <w:r>
        <w:rPr>
          <w:rFonts w:ascii="Arial" w:cs="Arial" w:eastAsia="Arial" w:hAnsi="Arial"/>
          <w:b/>
          <w:bCs/>
          <w:color w:val="303034"/>
          <w:sz w:val="32"/>
          <w:szCs w:val="32"/>
        </w:rPr>
        <w:t xml:space="preserve">Handling the "You Can’t Do What We Need" Objection</w:t>
      </w:r>
    </w:p>
    <w:p>
      <w:pPr>
        <w:spacing w:after="120"/>
      </w:pPr>
      <w:r>
        <w:rPr>
          <w:rFonts w:ascii="Arial" w:cs="Arial" w:eastAsia="Arial" w:hAnsi="Arial"/>
          <w:color w:val="303034"/>
          <w:sz w:val="22"/>
          <w:szCs w:val="22"/>
        </w:rPr>
        <w:t xml:space="preserve">When a prospect comes back and says DonorDock can’t handle their sponsorship workflow, here’s how to reframe:</w:t>
      </w:r>
    </w:p>
    <w:p>
      <w:pPr>
        <w:spacing w:after="120" w:before="200"/>
      </w:pPr>
      <w:r>
        <w:rPr>
          <w:rFonts w:ascii="Arial" w:cs="Arial" w:eastAsia="Arial" w:hAnsi="Arial"/>
          <w:b/>
          <w:bCs/>
          <w:color w:val="303034"/>
          <w:sz w:val="22"/>
          <w:szCs w:val="22"/>
        </w:rPr>
        <w:t xml:space="preserve">Acknowledge the gaps honestly</w:t>
      </w:r>
    </w:p>
    <w:p>
      <w:pPr>
        <w:spacing w:after="120"/>
      </w:pPr>
      <w:r>
        <w:rPr>
          <w:rFonts w:ascii="Arial" w:cs="Arial" w:eastAsia="Arial" w:hAnsi="Arial"/>
          <w:color w:val="303034"/>
          <w:sz w:val="22"/>
          <w:szCs w:val="22"/>
        </w:rPr>
        <w:t xml:space="preserve">"You’re right that split gift receipting and auto-pledge-linking aren’t where we want them yet. Our team is actively working on both for Q2/Q3 2026. We’re transparent about where we are and where we’re headed."</w:t>
      </w:r>
    </w:p>
    <w:p>
      <w:pPr>
        <w:spacing w:after="120" w:before="200"/>
      </w:pPr>
      <w:r>
        <w:rPr>
          <w:rFonts w:ascii="Arial" w:cs="Arial" w:eastAsia="Arial" w:hAnsi="Arial"/>
          <w:b/>
          <w:bCs/>
          <w:color w:val="303034"/>
          <w:sz w:val="22"/>
          <w:szCs w:val="22"/>
        </w:rPr>
        <w:t xml:space="preserve">Highlight what works well today</w:t>
      </w:r>
    </w:p>
    <w:p>
      <w:pPr>
        <w:spacing w:after="120"/>
      </w:pPr>
      <w:r>
        <w:rPr>
          <w:rFonts w:ascii="Arial" w:cs="Arial" w:eastAsia="Arial" w:hAnsi="Arial"/>
          <w:color w:val="303034"/>
          <w:sz w:val="22"/>
          <w:szCs w:val="22"/>
        </w:rPr>
        <w:t xml:space="preserve">"For the website sponsorship model specifically, this is a well-proven workflow in DonorDock. Several organizations run full child sponsorship programs through embedded giving pages with fund tracking, recurring gifts, and automated donor communication."</w:t>
      </w:r>
    </w:p>
    <w:p>
      <w:pPr>
        <w:spacing w:after="120" w:before="200"/>
      </w:pPr>
      <w:r>
        <w:rPr>
          <w:rFonts w:ascii="Arial" w:cs="Arial" w:eastAsia="Arial" w:hAnsi="Arial"/>
          <w:b/>
          <w:bCs/>
          <w:color w:val="303034"/>
          <w:sz w:val="22"/>
          <w:szCs w:val="22"/>
        </w:rPr>
        <w:t xml:space="preserve">Offer to show it in action</w:t>
      </w:r>
    </w:p>
    <w:p>
      <w:pPr>
        <w:spacing w:after="120"/>
      </w:pPr>
      <w:r>
        <w:rPr>
          <w:rFonts w:ascii="Arial" w:cs="Arial" w:eastAsia="Arial" w:hAnsi="Arial"/>
          <w:color w:val="303034"/>
          <w:sz w:val="22"/>
          <w:szCs w:val="22"/>
        </w:rPr>
        <w:t xml:space="preserve">"I’d love to walk you through how Every Orphan’s Hope set up their sponsorship model, and we can map it to your specific workflow on a call."</w:t>
      </w:r>
    </w:p>
    <w:p>
      <w:pPr>
        <w:spacing w:after="120" w:before="200"/>
      </w:pPr>
      <w:r>
        <w:rPr>
          <w:rFonts w:ascii="Arial" w:cs="Arial" w:eastAsia="Arial" w:hAnsi="Arial"/>
          <w:b/>
          <w:bCs/>
          <w:color w:val="303034"/>
          <w:sz w:val="22"/>
          <w:szCs w:val="22"/>
        </w:rPr>
        <w:t xml:space="preserve">Position the roadmap</w:t>
      </w:r>
    </w:p>
    <w:p>
      <w:pPr>
        <w:spacing w:after="120"/>
      </w:pPr>
      <w:r>
        <w:rPr>
          <w:rFonts w:ascii="Arial" w:cs="Arial" w:eastAsia="Arial" w:hAnsi="Arial"/>
          <w:color w:val="303034"/>
          <w:sz w:val="22"/>
          <w:szCs w:val="22"/>
        </w:rPr>
        <w:t xml:space="preserve">"We build in close partnership with our customers. The improvements to split gifts and pledge automation are coming because organizations like yours told us they need them. When you’re on DonorDock, you’re not just getting today’s features -- you’re getting a team that listens and ships."</w:t>
      </w:r>
    </w:p>
    <w:p>
      <w:pPr>
        <w:spacing w:before="400"/>
      </w:pPr>
    </w:p>
    <w:p>
      <w:pPr>
        <w:pBdr>
          <w:top w:val="single" w:color="8C2CBF" w:sz="2" w:space="1"/>
        </w:pBdr>
        <w:spacing w:after="100" w:before="200"/>
      </w:pPr>
    </w:p>
    <w:p>
      <w:pPr>
        <w:pStyle w:val="Heading2"/>
        <w:spacing w:after="160" w:before="280"/>
      </w:pPr>
      <w:r>
        <w:rPr>
          <w:rFonts w:ascii="Arial" w:cs="Arial" w:eastAsia="Arial" w:hAnsi="Arial"/>
          <w:b/>
          <w:bCs/>
          <w:color w:val="8C2CBF"/>
          <w:sz w:val="26"/>
          <w:szCs w:val="26"/>
        </w:rPr>
        <w:t xml:space="preserve">Help Center References</w:t>
      </w:r>
    </w:p>
    <w:p>
      <w:pPr>
        <w:pStyle w:val="ListParagraph"/>
        <w:numPr>
          <w:ilvl w:val="0"/>
          <w:numId w:val="9"/>
        </w:numPr>
        <w:spacing w:after="80"/>
      </w:pPr>
      <w:r>
        <w:rPr>
          <w:rFonts w:ascii="Arial" w:cs="Arial" w:eastAsia="Arial" w:hAnsi="Arial"/>
          <w:color w:val="303034"/>
          <w:sz w:val="22"/>
          <w:szCs w:val="22"/>
        </w:rPr>
        <w:t xml:space="preserve">Pledges Overview: helpcenter.donordock.com/kb/guide/en/pledges-overview-aBfs1qjBSr</w:t>
      </w:r>
    </w:p>
    <w:p>
      <w:pPr>
        <w:pStyle w:val="ListParagraph"/>
        <w:numPr>
          <w:ilvl w:val="0"/>
          <w:numId w:val="9"/>
        </w:numPr>
        <w:spacing w:after="80"/>
      </w:pPr>
      <w:r>
        <w:rPr>
          <w:rFonts w:ascii="Arial" w:cs="Arial" w:eastAsia="Arial" w:hAnsi="Arial"/>
          <w:color w:val="303034"/>
          <w:sz w:val="22"/>
          <w:szCs w:val="22"/>
        </w:rPr>
        <w:t xml:space="preserve">Recurring Gifts Overview: helpcenter.donordock.com/kb/guide/en/recurring-gifts-overview-TRXvFXTeE4</w:t>
      </w:r>
    </w:p>
    <w:p>
      <w:pPr>
        <w:pStyle w:val="ListParagraph"/>
        <w:numPr>
          <w:ilvl w:val="0"/>
          <w:numId w:val="9"/>
        </w:numPr>
        <w:spacing w:after="80"/>
      </w:pPr>
      <w:r>
        <w:rPr>
          <w:rFonts w:ascii="Arial" w:cs="Arial" w:eastAsia="Arial" w:hAnsi="Arial"/>
          <w:color w:val="303034"/>
          <w:sz w:val="22"/>
          <w:szCs w:val="22"/>
        </w:rPr>
        <w:t xml:space="preserve">Creating An Online Giving Page: helpcenter.donordock.com/kb/guide/en/creating-an-online-giving-page-IbwiiyR2at</w:t>
      </w:r>
    </w:p>
    <w:p>
      <w:pPr>
        <w:pStyle w:val="ListParagraph"/>
        <w:numPr>
          <w:ilvl w:val="0"/>
          <w:numId w:val="9"/>
        </w:numPr>
        <w:spacing w:after="80"/>
      </w:pPr>
      <w:r>
        <w:rPr>
          <w:rFonts w:ascii="Arial" w:cs="Arial" w:eastAsia="Arial" w:hAnsi="Arial"/>
          <w:color w:val="303034"/>
          <w:sz w:val="22"/>
          <w:szCs w:val="22"/>
        </w:rPr>
        <w:t xml:space="preserve">Understanding Online Giving Fields: helpcenter.donordock.com/kb/guide/en/understanding-online-giving-fields-3UhHtm7CRu</w:t>
      </w:r>
    </w:p>
    <w:p>
      <w:pPr>
        <w:pStyle w:val="ListParagraph"/>
        <w:numPr>
          <w:ilvl w:val="0"/>
          <w:numId w:val="9"/>
        </w:numPr>
        <w:spacing w:after="80"/>
      </w:pPr>
      <w:r>
        <w:rPr>
          <w:rFonts w:ascii="Arial" w:cs="Arial" w:eastAsia="Arial" w:hAnsi="Arial"/>
          <w:color w:val="303034"/>
          <w:sz w:val="22"/>
          <w:szCs w:val="22"/>
        </w:rPr>
        <w:t xml:space="preserve">Sharing Giving Pages: helpcenter.donordock.com/kb/guide/en/sharing-giving-pages-U6ZUeHZT6I</w:t>
      </w:r>
    </w:p>
    <w:p>
      <w:pPr>
        <w:spacing w:after="200"/>
      </w:pPr>
    </w:p>
    <w:p>
      <w:pPr>
        <w:spacing w:after="40"/>
      </w:pPr>
      <w:r>
        <w:rPr>
          <w:rFonts w:ascii="Arial" w:cs="Arial" w:eastAsia="Arial" w:hAnsi="Arial"/>
          <w:b/>
          <w:bCs/>
          <w:color w:val="999999"/>
          <w:sz w:val="18"/>
          <w:szCs w:val="18"/>
        </w:rPr>
        <w:t xml:space="preserve">Source: </w:t>
      </w:r>
      <w:r>
        <w:rPr>
          <w:rFonts w:ascii="Arial" w:cs="Arial" w:eastAsia="Arial" w:hAnsi="Arial"/>
          <w:color w:val="999999"/>
          <w:sz w:val="18"/>
          <w:szCs w:val="18"/>
        </w:rPr>
        <w:t xml:space="preserve">#pre-sales thread (2026-03-11), Matt Bitzegaio + Noah Barnett + DonorDock Help Center</w:t>
      </w:r>
    </w:p>
    <w:p>
      <w:r>
        <w:rPr>
          <w:rFonts w:ascii="Arial" w:cs="Arial" w:eastAsia="Arial" w:hAnsi="Arial"/>
          <w:i/>
          <w:iCs/>
          <w:color w:val="999999"/>
          <w:sz w:val="18"/>
          <w:szCs w:val="18"/>
        </w:rPr>
        <w:t xml:space="preserve">Last updated: March 2026  |  Review and update as roadmap items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DonorDock Sales Enablement</w:t>
    </w:r>
    <w:r>
      <w:rPr>
        <w:color w:val="CCCCCC"/>
        <w:sz w:val="18"/>
        <w:szCs w:val="18"/>
      </w:rPr>
      <w:t xml:space="preserve">  |  </w:t>
    </w:r>
    <w:r>
      <w:rPr>
        <w:rFonts w:ascii="Arial" w:cs="Arial" w:eastAsia="Arial" w:hAnsi="Arial"/>
        <w:i/>
        <w:iCs/>
        <w:color w:val="999999"/>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8"/>
    <w:lvlOverride w:ilvl="0">
      <w:startOverride w:val="1"/>
    </w:lvlOverride>
  </w:num>
  <w:num w:numId="5">
    <w:abstractNumId w:val="9"/>
    <w:lvlOverride w:ilvl="0">
      <w:startOverride w:val="1"/>
    </w:lvlOverride>
  </w:num>
  <w:num w:numId="6">
    <w:abstractNumId w:val="5"/>
    <w:lvlOverride w:ilvl="0">
      <w:startOverride w:val="1"/>
    </w:lvlOverride>
  </w:num>
  <w:num w:numId="7">
    <w:abstractNumId w:val="10"/>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0303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8C2C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2026-03-18T13:56:56.469Z</dcterms:created>
  <dcterms:modified xsi:type="dcterms:W3CDTF">2026-03-18T13:56:56.469Z</dcterms:modified>
</cp:coreProperties>
</file>

<file path=docProps/custom.xml><?xml version="1.0" encoding="utf-8"?>
<Properties xmlns="http://schemas.openxmlformats.org/officeDocument/2006/custom-properties" xmlns:vt="http://schemas.openxmlformats.org/officeDocument/2006/docPropsVTypes"/>
</file>