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color w:val="000000"/>
          <w:sz w:val="48"/>
        </w:rPr>
        <w:t>Treasure Row</w:t>
      </w:r>
    </w:p>
    <w:p>
      <w:pPr>
        <w:spacing w:after="240"/>
      </w:pPr>
      <w:r>
        <w:rPr>
          <w:rFonts w:ascii="Times New Roman" w:hAnsi="Times New Roman"/>
          <w:b/>
          <w:color w:val="000000"/>
          <w:sz w:val="48"/>
        </w:rPr>
        <w:t>Risk Assessment</w:t>
      </w:r>
    </w:p>
    <w:p>
      <w:pPr>
        <w:spacing w:after="280"/>
      </w:pPr>
      <w:r>
        <w:rPr>
          <w:rFonts w:ascii="Times New Roman" w:hAnsi="Times New Roman"/>
          <w:b/>
          <w:color w:val="000000"/>
          <w:sz w:val="18"/>
        </w:rPr>
        <w:t>Donovan Griffin, Jonah Goodwine, Cameron Ridgley, Chase Jones, Ricki Davis, Chi Martin, Noah Higgs</w:t>
      </w:r>
    </w:p>
    <w:p>
      <w:pPr>
        <w:spacing w:after="80"/>
      </w:pPr>
      <w:r>
        <w:rPr>
          <w:rFonts w:ascii="Times New Roman" w:hAnsi="Times New Roman"/>
          <w:b/>
          <w:color w:val="000000"/>
          <w:sz w:val="28"/>
        </w:rPr>
        <w:t>How We Scored Each Risk (Donovan Griffin)</w:t>
      </w:r>
    </w:p>
    <w:p>
      <w:pPr>
        <w:spacing w:after="120"/>
      </w:pPr>
      <w:r>
        <w:rPr/>
        <w:t xml:space="preserve">Each risk is assessed using a qualitative Likelihood × Impact matrix, based on the risk-assessment approach in NIST SP 800-30 Rev. 1. Ratings are the team's estimates and are reviewed each iteration.</w:t>
      </w:r>
    </w:p>
    <w:p>
      <w:pPr>
        <w:pStyle w:val="ListBullet"/>
        <w:spacing w:after="40"/>
      </w:pPr>
      <w:r>
        <w:rPr/>
        <w:t xml:space="preserve">Likelihood: the chance that the risk will occur during the project period.</w:t>
      </w:r>
    </w:p>
    <w:p>
      <w:pPr>
        <w:pStyle w:val="ListBullet"/>
        <w:spacing w:after="40"/>
      </w:pPr>
      <w:r>
        <w:rPr/>
        <w:t xml:space="preserve">Impact: how severe the result would be, considering confidentiality, integrity, availability, cost, schedule, and user trust.</w:t>
      </w:r>
    </w:p>
    <w:p>
      <w:pPr>
        <w:pStyle w:val="ListBullet"/>
        <w:spacing w:after="40"/>
      </w:pPr>
      <w:r>
        <w:rPr/>
        <w:t xml:space="preserve">Overall rating: the matrix below maps likelihood and impact to Low, Medium, High, or Critical. Each risk lists its current rating after the Iteration 3 fixes.</w:t>
      </w:r>
    </w:p>
    <w:p>
      <w:pPr>
        <w:spacing w:after="60"/>
      </w:pPr>
      <w:r>
        <w:rPr/>
        <w:t>Rating guide (Likelihood × Impact)</w:t>
      </w:r>
    </w:p>
    <w:p>
      <w:pPr>
        <w:pStyle w:val="ListBullet"/>
        <w:spacing w:after="40"/>
      </w:pPr>
      <w:r>
        <w:rPr/>
        <w:t>Low likelihood: Low or Medium impact = Low; High impact = Medium</w:t>
      </w:r>
    </w:p>
    <w:p>
      <w:pPr>
        <w:pStyle w:val="ListBullet"/>
        <w:spacing w:after="40"/>
      </w:pPr>
      <w:r>
        <w:rPr/>
        <w:t>Medium likelihood: Low impact = Low; Medium impact = Medium; High impact = High</w:t>
      </w:r>
    </w:p>
    <w:p>
      <w:pPr>
        <w:pStyle w:val="ListBullet"/>
        <w:spacing w:after="40"/>
      </w:pPr>
      <w:r>
        <w:rPr/>
        <w:t>High likelihood: Low impact = Medium; Medium impact = High; High impact = Critical</w:t>
      </w:r>
    </w:p>
    <w:p>
      <w:pPr>
        <w:spacing w:after="80"/>
      </w:pPr>
      <w:r>
        <w:rPr>
          <w:rFonts w:ascii="Times New Roman" w:hAnsi="Times New Roman"/>
          <w:b/>
          <w:color w:val="000000"/>
          <w:sz w:val="28"/>
        </w:rPr>
        <w:t>AWS Cost &amp; Billing Risk (Donovan Griffin)</w:t>
      </w:r>
    </w:p>
    <w:p>
      <w:pPr>
        <w:pStyle w:val="ListBullet"/>
        <w:spacing w:after="40"/>
      </w:pPr>
      <w:r>
        <w:rPr/>
        <w:t xml:space="preserve">Current risk level: Medium</w:t>
      </w:r>
    </w:p>
    <w:p>
      <w:pPr>
        <w:pStyle w:val="ListBullet"/>
        <w:spacing w:after="40"/>
      </w:pPr>
      <w:r>
        <w:rPr/>
        <w:t xml:space="preserve">Likelihood: Medium (RDS, Elastic Beanstalk, and S3 run continuously on AWS promotional credits)</w:t>
      </w:r>
    </w:p>
    <w:p>
      <w:pPr>
        <w:pStyle w:val="ListBullet"/>
        <w:spacing w:after="40"/>
      </w:pPr>
      <w:r>
        <w:rPr/>
        <w:t xml:space="preserve">Impact: Medium (unexpected charges could use up the team's AWS credits)</w:t>
      </w:r>
    </w:p>
    <w:p>
      <w:pPr>
        <w:spacing w:after="60"/>
      </w:pPr>
      <w:r>
        <w:rPr>
          <w:rFonts w:ascii="Times New Roman" w:hAnsi="Times New Roman"/>
          <w:b/>
          <w:color w:val="000000"/>
          <w:sz w:val="22"/>
        </w:rPr>
        <w:t>The Risk</w:t>
      </w:r>
    </w:p>
    <w:p>
      <w:pPr>
        <w:pStyle w:val="ListBullet"/>
        <w:spacing w:after="40"/>
      </w:pPr>
      <w:r>
        <w:rPr/>
        <w:t xml:space="preserve">AWS resources in use: the RDS PostgreSQL database (treasurerow-db), one Elastic Beanstalk environment on a single t3.micro instance, and one S3 bucket for images, all in us-east-2. The database is not publicly accessible; only the Elastic Beanstalk server and approved IP addresses can connect.</w:t>
      </w:r>
    </w:p>
    <w:p>
      <w:pPr>
        <w:pStyle w:val="ListBullet"/>
        <w:spacing w:after="40"/>
      </w:pPr>
      <w:r>
        <w:rPr/>
        <w:t xml:space="preserve">Before Iteration 3 there was no billing alert, and an alert only notifies the team; it does not stop charges.</w:t>
      </w:r>
    </w:p>
    <w:p>
      <w:pPr>
        <w:pStyle w:val="ListBullet"/>
        <w:spacing w:after="40"/>
      </w:pPr>
      <w:r>
        <w:rPr/>
        <w:t xml:space="preserve">Free Tier limits vary by service, so the team does not rely on the Free Tier to prevent charges.</w:t>
      </w:r>
    </w:p>
    <w:p>
      <w:pPr>
        <w:spacing w:after="60"/>
      </w:pPr>
      <w:r>
        <w:rPr>
          <w:rFonts w:ascii="Times New Roman" w:hAnsi="Times New Roman"/>
          <w:b/>
          <w:color w:val="000000"/>
          <w:sz w:val="22"/>
        </w:rPr>
        <w:t>Our Fix</w:t>
      </w:r>
    </w:p>
    <w:p>
      <w:pPr>
        <w:pStyle w:val="ListBullet"/>
        <w:spacing w:after="40"/>
      </w:pPr>
      <w:r>
        <w:rPr/>
        <w:t xml:space="preserve">An AWS Budgets alarm is being set up in Iteration 3 ($25 per month, with alerts at 80% of actual spending and 100% of forecasted spending), sent to the project manager and the AWS lead.</w:t>
      </w:r>
    </w:p>
    <w:p>
      <w:pPr>
        <w:pStyle w:val="ListBullet"/>
        <w:spacing w:after="40"/>
      </w:pPr>
      <w:r>
        <w:rPr/>
        <w:t xml:space="preserve">Donovan reviews AWS cost and usage weekly while the app is in active development.</w:t>
      </w:r>
    </w:p>
    <w:p>
      <w:pPr>
        <w:pStyle w:val="ListBullet"/>
        <w:spacing w:after="40"/>
      </w:pPr>
      <w:r>
        <w:rPr/>
        <w:t xml:space="preserve">The AWS runbook (docs/aws-runbook/README.md, Jonah Goodwine) documents how to shut the environment down between demos and bring it back without losing data.</w:t>
      </w:r>
    </w:p>
    <w:p>
      <w:pPr>
        <w:spacing w:after="80"/>
      </w:pPr>
      <w:r>
        <w:rPr>
          <w:rFonts w:ascii="Times New Roman" w:hAnsi="Times New Roman"/>
          <w:b/>
          <w:color w:val="000000"/>
          <w:sz w:val="28"/>
        </w:rPr>
        <w:t>AWS Database Access Blocked (Jonah Goodwine)</w:t>
      </w:r>
    </w:p>
    <w:p>
      <w:pPr>
        <w:pStyle w:val="ListBullet"/>
        <w:spacing w:after="40"/>
      </w:pPr>
      <w:r>
        <w:rPr/>
        <w:t xml:space="preserve">Initial risk: High. Current risk: Low (fixed in Iteration 3).</w:t>
      </w:r>
    </w:p>
    <w:p>
      <w:pPr>
        <w:pStyle w:val="ListBullet"/>
        <w:spacing w:after="40"/>
      </w:pPr>
      <w:r>
        <w:rPr/>
        <w:t xml:space="preserve">Likelihood: Low after the fix (the problem happened before Iteration 3, when members' IP addresses were not in the security group).</w:t>
      </w:r>
    </w:p>
    <w:p>
      <w:pPr>
        <w:pStyle w:val="ListBullet"/>
        <w:spacing w:after="40"/>
      </w:pPr>
      <w:r>
        <w:rPr/>
        <w:t xml:space="preserve">Impact: Medium (losing database access delays development and testing; it does not affect the live site).</w:t>
      </w:r>
    </w:p>
    <w:p>
      <w:pPr>
        <w:spacing w:after="60"/>
      </w:pPr>
      <w:r>
        <w:rPr>
          <w:rFonts w:ascii="Times New Roman" w:hAnsi="Times New Roman"/>
          <w:b/>
          <w:color w:val="000000"/>
          <w:sz w:val="22"/>
        </w:rPr>
        <w:t>The Risk</w:t>
      </w:r>
    </w:p>
    <w:p>
      <w:pPr>
        <w:pStyle w:val="ListBullet"/>
        <w:spacing w:after="40"/>
      </w:pPr>
      <w:r>
        <w:rPr/>
        <w:t xml:space="preserve">The team develops against the live RDS database, so losing access stops local development.</w:t>
      </w:r>
    </w:p>
    <w:p>
      <w:pPr>
        <w:pStyle w:val="ListBullet"/>
        <w:spacing w:after="40"/>
      </w:pPr>
      <w:r>
        <w:rPr/>
        <w:t xml:space="preserve">The RDS security group only allows connections from listed sources.</w:t>
      </w:r>
    </w:p>
    <w:p>
      <w:pPr>
        <w:pStyle w:val="ListBullet"/>
        <w:spacing w:after="40"/>
      </w:pPr>
      <w:r>
        <w:rPr/>
        <w:t xml:space="preserve">Moving between networks, such as campus and home, changes a member's public IP address, which then blocks their connection.</w:t>
      </w:r>
    </w:p>
    <w:p>
      <w:pPr>
        <w:spacing w:after="60"/>
      </w:pPr>
      <w:r>
        <w:rPr>
          <w:rFonts w:ascii="Times New Roman" w:hAnsi="Times New Roman"/>
          <w:b/>
          <w:color w:val="000000"/>
          <w:sz w:val="22"/>
        </w:rPr>
        <w:t>Our Fix</w:t>
      </w:r>
    </w:p>
    <w:p>
      <w:pPr>
        <w:pStyle w:val="ListBullet"/>
        <w:spacing w:after="40"/>
      </w:pPr>
      <w:r>
        <w:rPr/>
        <w:t xml:space="preserve">The security group now allows the Elastic Beanstalk server, each member's IP address, and the Hampton campus range (137.198.190.0/24); a live connection from campus was verified on October 27, 2026. The steps to check your IP and add a rule are in the AWS runbook. The database is never opened to all IP addresses (0.0.0.0/0).</w:t>
      </w:r>
    </w:p>
    <w:p>
      <w:pPr>
        <w:pStyle w:val="ListBullet"/>
        <w:spacing w:after="40"/>
      </w:pPr>
      <w:r>
        <w:rPr/>
        <w:t xml:space="preserve">Jonah owns the AWS configuration; Donovan can follow the runbook when Jonah is unavailable.</w:t>
      </w:r>
    </w:p>
    <w:p>
      <w:pPr>
        <w:pStyle w:val="ListBullet"/>
        <w:spacing w:after="40"/>
      </w:pPr>
      <w:r>
        <w:rPr/>
        <w:t xml:space="preserve">The automated tests run against a separate local PostgreSQL test database, so testing continues without AWS access (see the app README).</w:t>
      </w:r>
    </w:p>
    <w:p>
      <w:pPr>
        <w:spacing w:after="80"/>
      </w:pPr>
      <w:r>
        <w:rPr>
          <w:rFonts w:ascii="Times New Roman" w:hAnsi="Times New Roman"/>
          <w:b/>
          <w:color w:val="000000"/>
          <w:sz w:val="28"/>
        </w:rPr>
        <w:t>Hardcoded &amp; Exposed Credentials (Noah Higgs)</w:t>
      </w:r>
    </w:p>
    <w:p>
      <w:pPr>
        <w:pStyle w:val="ListBullet"/>
        <w:spacing w:after="40"/>
      </w:pPr>
      <w:r>
        <w:rPr/>
        <w:t xml:space="preserve">Current risk level: Low (initial risk: Critical; fixed in Iteration 3).</w:t>
      </w:r>
    </w:p>
    <w:p>
      <w:pPr>
        <w:pStyle w:val="ListBullet"/>
        <w:spacing w:after="40"/>
      </w:pPr>
      <w:r>
        <w:rPr/>
        <w:t xml:space="preserve">Likelihood: Low after the fix (credentials had been committed in plaintext before Iteration 3).</w:t>
      </w:r>
    </w:p>
    <w:p>
      <w:pPr>
        <w:pStyle w:val="ListBullet"/>
        <w:spacing w:after="40"/>
      </w:pPr>
      <w:r>
        <w:rPr/>
        <w:t xml:space="preserve">Impact: High (a working credential could give access to the database, stored images, or billable AWS services).</w:t>
      </w:r>
    </w:p>
    <w:p>
      <w:pPr>
        <w:spacing w:after="60"/>
      </w:pPr>
      <w:r>
        <w:rPr>
          <w:rFonts w:ascii="Times New Roman" w:hAnsi="Times New Roman"/>
          <w:b/>
          <w:color w:val="000000"/>
          <w:sz w:val="22"/>
        </w:rPr>
        <w:t>The Risk</w:t>
      </w:r>
    </w:p>
    <w:p>
      <w:pPr>
        <w:pStyle w:val="ListBullet"/>
        <w:spacing w:after="40"/>
      </w:pPr>
      <w:r>
        <w:rPr/>
        <w:t xml:space="preserve">Earlier versions had a configuration file with credentials, a hardcoded secret key, and a hardcoded administrator login.</w:t>
      </w:r>
    </w:p>
    <w:p>
      <w:pPr>
        <w:pStyle w:val="ListBullet"/>
        <w:spacing w:after="40"/>
      </w:pPr>
      <w:r>
        <w:rPr/>
        <w:t xml:space="preserve">AWS credentials had been committed to source control in plaintext. Deleting them from the latest version does not remove them from the git history, so they had to be replaced.</w:t>
      </w:r>
    </w:p>
    <w:p>
      <w:pPr>
        <w:pStyle w:val="ListBullet"/>
        <w:spacing w:after="40"/>
      </w:pPr>
      <w:r>
        <w:rPr/>
        <w:t xml:space="preserve">Anyone with those credentials could have reached the database, the stored images, or other AWS resources.</w:t>
      </w:r>
    </w:p>
    <w:p>
      <w:pPr>
        <w:spacing w:after="60"/>
      </w:pPr>
      <w:r>
        <w:rPr>
          <w:rFonts w:ascii="Times New Roman" w:hAnsi="Times New Roman"/>
          <w:b/>
          <w:color w:val="000000"/>
          <w:sz w:val="22"/>
        </w:rPr>
        <w:t>Our Fix</w:t>
      </w:r>
    </w:p>
    <w:p>
      <w:pPr>
        <w:pStyle w:val="ListBullet"/>
        <w:spacing w:after="40"/>
      </w:pPr>
      <w:r>
        <w:rPr/>
        <w:t xml:space="preserve">All secrets now come from environment variables: a local .env file (excluded by .gitignore) during development and the Elastic Beanstalk environment configuration in production. The administrator login is also read from environment variables.</w:t>
      </w:r>
    </w:p>
    <w:p>
      <w:pPr>
        <w:pStyle w:val="ListBullet"/>
        <w:spacing w:after="40"/>
      </w:pPr>
      <w:r>
        <w:rPr/>
        <w:t xml:space="preserve">The exposed credentials were replaced with new ones issued by Jonah Goodwine and shared only through the team's private group chat. In Iteration 3 the team verified that the current database password and S3 keys appear nowhere in the git history.</w:t>
      </w:r>
    </w:p>
    <w:p>
      <w:pPr>
        <w:pStyle w:val="ListBullet"/>
        <w:spacing w:after="40"/>
      </w:pPr>
      <w:r>
        <w:rPr/>
        <w:t xml:space="preserve">The app refuses to start without a SECRET_KEY or with a placeholder value such as change-me, so a guessable key can't be used to forge login cookies (Noah Higgs, SCRUM-61). Any credential that is ever committed again will be rotated.</w:t>
      </w:r>
    </w:p>
    <w:p>
      <w:pPr>
        <w:spacing w:after="80"/>
      </w:pPr>
      <w:r>
        <w:rPr>
          <w:rFonts w:ascii="Times New Roman" w:hAnsi="Times New Roman"/>
          <w:b/>
          <w:color w:val="000000"/>
          <w:sz w:val="28"/>
        </w:rPr>
        <w:t>Account Ownership Bug (Cameron Ridgley)</w:t>
      </w:r>
    </w:p>
    <w:p>
      <w:pPr>
        <w:pStyle w:val="ListBullet"/>
        <w:spacing w:after="40"/>
      </w:pPr>
      <w:r>
        <w:rPr/>
        <w:t xml:space="preserve">Current risk: Low (initial risk: High; fixed in Iteration 3).</w:t>
      </w:r>
    </w:p>
    <w:p>
      <w:pPr>
        <w:pStyle w:val="ListBullet"/>
        <w:spacing w:after="40"/>
      </w:pPr>
      <w:r>
        <w:rPr/>
        <w:t xml:space="preserve">Likelihood: Low, because ownership is now checked on the server and covered by automated tests.</w:t>
      </w:r>
    </w:p>
    <w:p>
      <w:pPr>
        <w:pStyle w:val="ListBullet"/>
        <w:spacing w:after="40"/>
      </w:pPr>
      <w:r>
        <w:rPr/>
        <w:t>Impact if it recurs: High because one user could access or modify another user’s listings or data.</w:t>
      </w:r>
    </w:p>
    <w:p>
      <w:pPr>
        <w:spacing w:after="60"/>
      </w:pPr>
      <w:r>
        <w:rPr>
          <w:rFonts w:ascii="Times New Roman" w:hAnsi="Times New Roman"/>
          <w:b/>
          <w:color w:val="000000"/>
          <w:sz w:val="22"/>
        </w:rPr>
        <w:t>The Risk</w:t>
      </w:r>
    </w:p>
    <w:p>
      <w:pPr>
        <w:pStyle w:val="ListBullet"/>
        <w:spacing w:after="40"/>
      </w:pPr>
      <w:r>
        <w:rPr/>
        <w:t>During Iteration 1, one account could view and delete another account’s listings.</w:t>
      </w:r>
    </w:p>
    <w:p>
      <w:pPr>
        <w:pStyle w:val="ListBullet"/>
        <w:spacing w:after="40"/>
      </w:pPr>
      <w:r>
        <w:rPr/>
        <w:t xml:space="preserve">The cause was in the server: it trusted a user ID sent by the browser (a cached value or an X-User-Id header) instead of the signed-in session.</w:t>
      </w:r>
    </w:p>
    <w:p>
      <w:pPr>
        <w:pStyle w:val="ListBullet"/>
        <w:spacing w:after="40"/>
      </w:pPr>
      <w:r>
        <w:rPr/>
        <w:t xml:space="preserve">Without a server-side check, any user could change or delete another user's data by sending a different user ID.</w:t>
      </w:r>
    </w:p>
    <w:p>
      <w:pPr>
        <w:spacing w:after="60"/>
      </w:pPr>
      <w:r>
        <w:rPr>
          <w:rFonts w:ascii="Times New Roman" w:hAnsi="Times New Roman"/>
          <w:b/>
          <w:color w:val="000000"/>
          <w:sz w:val="22"/>
        </w:rPr>
        <w:t>Our Fix</w:t>
      </w:r>
    </w:p>
    <w:p>
      <w:pPr>
        <w:pStyle w:val="ListBullet"/>
        <w:spacing w:after="40"/>
      </w:pPr>
      <w:r>
        <w:rPr/>
        <w:t xml:space="preserve">The server now takes the user's identity only from the login session (get_session_user) and ignores user IDs sent by the browser; every listing, storefront, wishlist, order, and return request checks ownership.</w:t>
      </w:r>
    </w:p>
    <w:p>
      <w:pPr>
        <w:pStyle w:val="ListBullet"/>
        <w:spacing w:after="40"/>
      </w:pPr>
      <w:r>
        <w:rPr/>
        <w:t xml:space="preserve">test_ownership.py has 13 tests for cross-account reads, edits, and deletes, including direct API requests; the full suite of 95 automated tests passes.</w:t>
      </w:r>
    </w:p>
    <w:p>
      <w:pPr>
        <w:pStyle w:val="ListBullet"/>
        <w:spacing w:after="40"/>
      </w:pPr>
      <w:r>
        <w:rPr/>
        <w:t xml:space="preserve">Changes are reviewed in a pull request, and the tests are run before merging.</w:t>
      </w:r>
    </w:p>
    <w:p>
      <w:pPr>
        <w:spacing w:after="80"/>
      </w:pPr>
      <w:r>
        <w:rPr>
          <w:rFonts w:ascii="Times New Roman" w:hAnsi="Times New Roman"/>
          <w:b/>
          <w:color w:val="000000"/>
          <w:sz w:val="28"/>
        </w:rPr>
        <w:t>Branch Divergence &amp; Coordination (Chase Jones)</w:t>
      </w:r>
    </w:p>
    <w:p>
      <w:pPr>
        <w:pStyle w:val="ListBullet"/>
        <w:spacing w:after="40"/>
      </w:pPr>
      <w:r>
        <w:rPr/>
        <w:t xml:space="preserve">Risk level: Medium</w:t>
      </w:r>
    </w:p>
    <w:p>
      <w:pPr>
        <w:pStyle w:val="ListBullet"/>
        <w:spacing w:after="40"/>
      </w:pPr>
      <w:r>
        <w:rPr/>
        <w:t>Likelihood: Medium because parallel branches can diverge when changes remain unmerged or team decisions are not shared.</w:t>
      </w:r>
    </w:p>
    <w:p>
      <w:pPr>
        <w:pStyle w:val="ListBullet"/>
        <w:spacing w:after="40"/>
      </w:pPr>
      <w:r>
        <w:rPr/>
        <w:t>Impact: Medium because divergence can cause rework, integration defects, or missed deadlines.</w:t>
      </w:r>
    </w:p>
    <w:p>
      <w:pPr>
        <w:spacing w:after="60"/>
      </w:pPr>
      <w:r>
        <w:rPr>
          <w:rFonts w:ascii="Times New Roman" w:hAnsi="Times New Roman"/>
          <w:b/>
          <w:color w:val="000000"/>
          <w:sz w:val="22"/>
        </w:rPr>
        <w:t>The Risk</w:t>
      </w:r>
    </w:p>
    <w:p>
      <w:pPr>
        <w:pStyle w:val="ListBullet"/>
        <w:spacing w:after="40"/>
      </w:pPr>
      <w:r>
        <w:rPr/>
        <w:t>Long-lived branches may diverge from the shared branch, increasing merge conflicts and the chance that work is integrated against outdated assumptions.</w:t>
      </w:r>
    </w:p>
    <w:p>
      <w:pPr>
        <w:pStyle w:val="ListBullet"/>
        <w:spacing w:after="40"/>
      </w:pPr>
      <w:r>
        <w:rPr/>
        <w:t>A feature may be implemented before its requirements and acceptance criteria have been agreed and recorded.</w:t>
      </w:r>
    </w:p>
    <w:p>
      <w:pPr>
        <w:pStyle w:val="ListBullet"/>
        <w:spacing w:after="40"/>
      </w:pPr>
      <w:r>
        <w:rPr/>
        <w:t>Late discovery can require rework close to a submission deadline and leave less time for testing.</w:t>
      </w:r>
    </w:p>
    <w:p>
      <w:pPr>
        <w:spacing w:after="60"/>
      </w:pPr>
      <w:r>
        <w:rPr>
          <w:rFonts w:ascii="Times New Roman" w:hAnsi="Times New Roman"/>
          <w:b/>
          <w:color w:val="000000"/>
          <w:sz w:val="22"/>
        </w:rPr>
        <w:t>Our Fix</w:t>
      </w:r>
    </w:p>
    <w:p>
      <w:pPr>
        <w:pStyle w:val="ListBullet"/>
        <w:spacing w:after="40"/>
      </w:pPr>
      <w:r>
        <w:rPr/>
        <w:t xml:space="preserve">Each member works on their own branch and opens a pull request into develop, which another member approves before merging; develop is released to main at the end of each iteration.</w:t>
      </w:r>
    </w:p>
    <w:p>
      <w:pPr>
        <w:pStyle w:val="ListBullet"/>
        <w:spacing w:after="40"/>
      </w:pPr>
      <w:r>
        <w:rPr/>
        <w:t xml:space="preserve">Scope decisions and acceptance criteria are recorded in the Project Plan and on the Jira board.</w:t>
      </w:r>
    </w:p>
    <w:p>
      <w:pPr>
        <w:pStyle w:val="ListBullet"/>
        <w:spacing w:after="40"/>
      </w:pPr>
      <w:r>
        <w:rPr/>
        <w:t xml:space="preserve">The team checks in at each meeting on open pull requests and updates the documents alongside the code.</w:t>
      </w:r>
    </w:p>
    <w:p>
      <w:pPr>
        <w:spacing w:after="80"/>
      </w:pPr>
      <w:r>
        <w:rPr>
          <w:rFonts w:ascii="Times New Roman" w:hAnsi="Times New Roman"/>
          <w:b/>
          <w:color w:val="000000"/>
          <w:sz w:val="28"/>
        </w:rPr>
        <w:t>Scope &amp; Feature Uncertainty (Ricki Davis)</w:t>
      </w:r>
    </w:p>
    <w:p>
      <w:pPr>
        <w:pStyle w:val="ListBullet"/>
        <w:spacing w:after="40"/>
      </w:pPr>
      <w:r>
        <w:rPr/>
        <w:t xml:space="preserve">Risk level: Medium</w:t>
      </w:r>
    </w:p>
    <w:p>
      <w:pPr>
        <w:pStyle w:val="ListBullet"/>
        <w:spacing w:after="40"/>
      </w:pPr>
      <w:r>
        <w:rPr/>
        <w:t>Likelihood: Medium when requirements are not agreed before implementation begins.</w:t>
      </w:r>
    </w:p>
    <w:p>
      <w:pPr>
        <w:pStyle w:val="ListBullet"/>
        <w:spacing w:after="40"/>
      </w:pPr>
      <w:r>
        <w:rPr/>
        <w:t>Impact: Low to Medium because unclear scope mainly causes rework and schedule pressure, but may also leave features incomplete.</w:t>
      </w:r>
    </w:p>
    <w:p>
      <w:pPr>
        <w:spacing w:after="60"/>
      </w:pPr>
      <w:r>
        <w:rPr>
          <w:rFonts w:ascii="Times New Roman" w:hAnsi="Times New Roman"/>
          <w:b/>
          <w:color w:val="000000"/>
          <w:sz w:val="22"/>
        </w:rPr>
        <w:t>The Risk</w:t>
      </w:r>
    </w:p>
    <w:p>
      <w:pPr>
        <w:pStyle w:val="ListBullet"/>
        <w:spacing w:after="40"/>
      </w:pPr>
      <w:r>
        <w:rPr/>
        <w:t>The team reconsidered two proposed features before settling scope.</w:t>
      </w:r>
    </w:p>
    <w:p>
      <w:pPr>
        <w:pStyle w:val="ListBullet"/>
        <w:spacing w:after="40"/>
      </w:pPr>
      <w:r>
        <w:rPr/>
        <w:t>Documentation and implementation began before the team had recorded a final decision.</w:t>
      </w:r>
    </w:p>
    <w:p>
      <w:pPr>
        <w:pStyle w:val="ListBullet"/>
        <w:spacing w:after="40"/>
      </w:pPr>
      <w:r>
        <w:rPr/>
        <w:t>Some work had to be revised after the direction changed during an iteration.</w:t>
      </w:r>
    </w:p>
    <w:p>
      <w:pPr>
        <w:spacing w:after="60"/>
      </w:pPr>
      <w:r>
        <w:rPr>
          <w:rFonts w:ascii="Times New Roman" w:hAnsi="Times New Roman"/>
          <w:b/>
          <w:color w:val="000000"/>
          <w:sz w:val="22"/>
        </w:rPr>
        <w:t>Our Fix</w:t>
      </w:r>
    </w:p>
    <w:p>
      <w:pPr>
        <w:pStyle w:val="ListBullet"/>
        <w:spacing w:after="40"/>
      </w:pPr>
      <w:r>
        <w:rPr/>
        <w:t xml:space="preserve">Agree on scope, priorities, and acceptance criteria before implementation starts, and record who approved the decision.</w:t>
      </w:r>
    </w:p>
    <w:p>
      <w:pPr>
        <w:pStyle w:val="ListBullet"/>
        <w:spacing w:after="40"/>
      </w:pPr>
      <w:r>
        <w:rPr/>
        <w:t>Log scope changes, their rationale, approver, and impact on schedule in the project plan’s revision log or issue tracker.</w:t>
      </w:r>
    </w:p>
    <w:p>
      <w:pPr>
        <w:pStyle w:val="ListBullet"/>
        <w:spacing w:after="40"/>
      </w:pPr>
      <w:r>
        <w:rPr/>
        <w:t xml:space="preserve">Features that haven't been decided are not built until the decision is recorded.</w:t>
      </w:r>
    </w:p>
    <w:p>
      <w:pPr>
        <w:spacing w:after="80"/>
      </w:pPr>
      <w:r>
        <w:rPr>
          <w:rFonts w:ascii="Times New Roman" w:hAnsi="Times New Roman"/>
          <w:b/>
          <w:color w:val="000000"/>
          <w:sz w:val="28"/>
        </w:rPr>
        <w:t>Bus Factor &amp; Work Visibility (Chi Martin)</w:t>
      </w:r>
    </w:p>
    <w:p>
      <w:pPr>
        <w:pStyle w:val="ListBullet"/>
        <w:spacing w:after="40"/>
      </w:pPr>
      <w:r>
        <w:rPr/>
        <w:t xml:space="preserve">Risk level: High</w:t>
      </w:r>
    </w:p>
    <w:p>
      <w:pPr>
        <w:pStyle w:val="ListBullet"/>
        <w:spacing w:after="40"/>
      </w:pPr>
      <w:r>
        <w:rPr/>
        <w:t>Likelihood: Medium because contributions can be missed if they exist only in local files, another person’s branch, or undocumented edits.</w:t>
      </w:r>
    </w:p>
    <w:p>
      <w:pPr>
        <w:pStyle w:val="ListBullet"/>
        <w:spacing w:after="40"/>
      </w:pPr>
      <w:r>
        <w:rPr/>
        <w:t>Impact: High because untracked work may be lost, difficult to review, or impossible to attribute and maintain.</w:t>
      </w:r>
    </w:p>
    <w:p>
      <w:pPr>
        <w:spacing w:after="60"/>
      </w:pPr>
      <w:r>
        <w:rPr>
          <w:rFonts w:ascii="Times New Roman" w:hAnsi="Times New Roman"/>
          <w:b/>
          <w:color w:val="000000"/>
          <w:sz w:val="22"/>
        </w:rPr>
        <w:t>The Risk</w:t>
      </w:r>
    </w:p>
    <w:p>
      <w:pPr>
        <w:pStyle w:val="ListBullet"/>
        <w:spacing w:after="40"/>
      </w:pPr>
      <w:r>
        <w:rPr/>
        <w:t xml:space="preserve">One teammate's contribution was not on that teammate's branch.</w:t>
      </w:r>
    </w:p>
    <w:p>
      <w:pPr>
        <w:pStyle w:val="ListBullet"/>
        <w:spacing w:after="40"/>
      </w:pPr>
      <w:r>
        <w:rPr/>
        <w:t>The contribution was discovered only because it had been included in another team member’s file.</w:t>
      </w:r>
    </w:p>
    <w:p>
      <w:pPr>
        <w:pStyle w:val="ListBullet"/>
        <w:spacing w:after="40"/>
      </w:pPr>
      <w:r>
        <w:rPr/>
        <w:t>If the only copy had been lost or overwritten, the contribution could have been lost or difficult to recover.</w:t>
      </w:r>
    </w:p>
    <w:p>
      <w:pPr>
        <w:spacing w:after="60"/>
      </w:pPr>
      <w:r>
        <w:rPr>
          <w:rFonts w:ascii="Times New Roman" w:hAnsi="Times New Roman"/>
          <w:b/>
          <w:color w:val="000000"/>
          <w:sz w:val="22"/>
        </w:rPr>
        <w:t>Our Fix</w:t>
      </w:r>
    </w:p>
    <w:p>
      <w:pPr>
        <w:pStyle w:val="ListBullet"/>
        <w:spacing w:after="40"/>
      </w:pPr>
      <w:r>
        <w:rPr/>
        <w:t xml:space="preserve">All work is stored in the shared repository, on each person's own branch, and merged through pull requests. When one person has to commit another person's changes, the commit names the original contributor.</w:t>
      </w:r>
    </w:p>
    <w:p>
      <w:pPr>
        <w:pStyle w:val="ListBullet"/>
        <w:spacing w:after="40"/>
      </w:pPr>
      <w:r>
        <w:rPr/>
        <w:t xml:space="preserve">The project manager checks the repository and Jira board at each iteration checkpoint to make sure every deliverable has an owner, a Jira issue, and a copy in the repository.</w:t>
      </w:r>
    </w:p>
    <w:p>
      <w:pPr>
        <w:pStyle w:val="ListBullet"/>
        <w:spacing w:after="40"/>
      </w:pPr>
      <w:r>
        <w:rPr/>
        <w:t>Record contributions through commits, pull requests, issue links, and document revision history. Attribution in a document is useful but does not replace version control.</w:t>
      </w:r>
    </w:p>
    <w:p>
      <w:pPr>
        <w:spacing w:after="80"/>
      </w:pPr>
      <w:r>
        <w:rPr>
          <w:rFonts w:ascii="Times New Roman" w:hAnsi="Times New Roman"/>
          <w:b/>
          <w:color w:val="000000"/>
          <w:sz w:val="28"/>
        </w:rPr>
        <w:t>References</w:t>
      </w:r>
    </w:p>
    <w:p>
      <w:pPr>
        <w:spacing w:after="60"/>
      </w:pPr>
      <w:r>
        <w:rPr>
          <w:rFonts w:ascii="Times New Roman" w:hAnsi="Times New Roman"/>
          <w:b/>
          <w:color w:val="000000"/>
          <w:sz w:val="22"/>
        </w:rPr>
        <w:t>Scoring method (Donovan Griffin)</w:t>
      </w:r>
    </w:p>
    <w:p>
      <w:pPr>
        <w:pStyle w:val="ListBullet"/>
        <w:spacing w:after="40"/>
      </w:pPr>
      <w:r>
        <w:rPr>
          <w:color w:val="000000"/>
        </w:rPr>
        <w:t>NIST Special Publication 800-30 Rev. 1, "Guide for Conducting Risk Assessments": https://csrc.nist.gov/pubs/sp/800/30/r1/final</w:t>
      </w:r>
    </w:p>
    <w:p>
      <w:pPr>
        <w:pStyle w:val="ListBullet"/>
        <w:spacing w:after="40"/>
      </w:pPr>
      <w:r>
        <w:rPr>
          <w:color w:val="000000"/>
        </w:rPr>
        <w:t>ISO 31000:2018, Risk Management Guidelines (overview): https://www.iso.org/iso-31000-risk-management.html</w:t>
      </w:r>
    </w:p>
    <w:p>
      <w:pPr>
        <w:pStyle w:val="ListBullet"/>
        <w:spacing w:after="40"/>
      </w:pPr>
      <w:r>
        <w:rPr>
          <w:color w:val="000000"/>
        </w:rPr>
        <w:t>Project Management Institute, PMBOK Guide, Risk Management Knowledge Area</w:t>
      </w:r>
    </w:p>
    <w:p>
      <w:pPr>
        <w:spacing w:after="60"/>
      </w:pPr>
      <w:r>
        <w:rPr>
          <w:rFonts w:ascii="Times New Roman" w:hAnsi="Times New Roman"/>
          <w:b/>
          <w:color w:val="000000"/>
          <w:sz w:val="22"/>
        </w:rPr>
        <w:t>AWS Cost &amp; Billing Risk (Donovan Griffin)</w:t>
      </w:r>
    </w:p>
    <w:p>
      <w:pPr>
        <w:pStyle w:val="ListBullet"/>
        <w:spacing w:after="40"/>
      </w:pPr>
      <w:r>
        <w:rPr>
          <w:color w:val="000000"/>
        </w:rPr>
        <w:t>AWS Budgets Documentation: https://docs.aws.amazon.com/cost-management/latest/userguide/budgets-managing-costs.html</w:t>
      </w:r>
    </w:p>
    <w:p>
      <w:pPr>
        <w:spacing w:after="60"/>
      </w:pPr>
      <w:r>
        <w:rPr>
          <w:rFonts w:ascii="Times New Roman" w:hAnsi="Times New Roman"/>
          <w:b/>
          <w:color w:val="000000"/>
          <w:sz w:val="22"/>
        </w:rPr>
        <w:t>AWS Database Access Blocked (Jonah Goodwine)</w:t>
      </w:r>
    </w:p>
    <w:p>
      <w:pPr>
        <w:pStyle w:val="ListBullet"/>
        <w:spacing w:after="40"/>
      </w:pPr>
      <w:r>
        <w:rPr>
          <w:color w:val="000000"/>
        </w:rPr>
        <w:t>AWS VPC Security Groups Documentation: https://docs.aws.amazon.com/vpc/latest/userguide/VPC_SecurityGroups.html</w:t>
      </w:r>
    </w:p>
    <w:p>
      <w:pPr>
        <w:pStyle w:val="ListBullet"/>
        <w:spacing w:after="40"/>
      </w:pPr>
      <w:r>
        <w:rPr>
          <w:color w:val="000000"/>
        </w:rPr>
        <w:t>AWS Identity and Access Management (IAM) Documentation: https://docs.aws.amazon.com/IAM/latest/UserGuide/introduction.html</w:t>
      </w:r>
    </w:p>
    <w:p>
      <w:pPr>
        <w:spacing w:after="60"/>
      </w:pPr>
      <w:r>
        <w:rPr>
          <w:rFonts w:ascii="Times New Roman" w:hAnsi="Times New Roman"/>
          <w:b/>
          <w:color w:val="000000"/>
          <w:sz w:val="22"/>
        </w:rPr>
        <w:t>Hardcoded &amp; Exposed Credentials (Noah Higgs)</w:t>
      </w:r>
    </w:p>
    <w:p>
      <w:pPr>
        <w:pStyle w:val="ListBullet"/>
        <w:spacing w:after="40"/>
      </w:pPr>
      <w:r>
        <w:rPr>
          <w:color w:val="000000"/>
        </w:rPr>
        <w:t>AWS Identity and Access Management (IAM) Documentation: https://docs.aws.amazon.com/IAM/latest/UserGuide/introduction.html</w:t>
      </w:r>
    </w:p>
    <w:p>
      <w:pPr>
        <w:pStyle w:val="ListBullet"/>
        <w:spacing w:after="40"/>
      </w:pPr>
      <w:r>
        <w:rPr/>
        <w:t xml:space="preserve">OWASP Top 10:2025, A02 Security Misconfiguration and A04 Cryptographic Failures: https://owasp.org/Top10/2025/</w:t>
      </w:r>
    </w:p>
    <w:p>
      <w:pPr>
        <w:spacing w:after="60"/>
      </w:pPr>
      <w:r>
        <w:rPr>
          <w:rFonts w:ascii="Times New Roman" w:hAnsi="Times New Roman"/>
          <w:b/>
          <w:color w:val="000000"/>
          <w:sz w:val="22"/>
        </w:rPr>
        <w:t>Account Ownership Bug (Cameron Ridgley)</w:t>
      </w:r>
    </w:p>
    <w:p>
      <w:pPr>
        <w:pStyle w:val="ListBullet"/>
        <w:spacing w:after="40"/>
      </w:pPr>
      <w:r>
        <w:rPr/>
        <w:t>OWASP Top 10:2025, A01 Broken Access Control: https://owasp.org/Top10/2025/A01_2025-Broken_Access_Control/</w:t>
      </w:r>
    </w:p>
    <w:p>
      <w:pPr>
        <w:pStyle w:val="ListBullet"/>
        <w:spacing w:after="40"/>
      </w:pPr>
      <w:r>
        <w:rPr>
          <w:color w:val="000000"/>
        </w:rPr>
        <w:t>Treasure Row GitHub Repository: https://github.com/DonovanGriffin27/TreasureRow</w:t>
      </w:r>
    </w:p>
    <w:p>
      <w:pPr>
        <w:spacing w:after="60"/>
      </w:pPr>
      <w:r>
        <w:rPr>
          <w:rFonts w:ascii="Times New Roman" w:hAnsi="Times New Roman"/>
          <w:b/>
          <w:color w:val="000000"/>
          <w:sz w:val="22"/>
        </w:rPr>
        <w:t>Branch Divergence &amp; Coordination (Chase Jones)</w:t>
      </w:r>
    </w:p>
    <w:p>
      <w:pPr>
        <w:pStyle w:val="ListBullet"/>
        <w:spacing w:after="40"/>
      </w:pPr>
      <w:r>
        <w:rPr>
          <w:color w:val="000000"/>
        </w:rPr>
        <w:t>GitHub Flow Documentation (branching workflow): https://docs.github.com/en/get-started/quickstart/github-flow</w:t>
      </w:r>
    </w:p>
    <w:p>
      <w:pPr>
        <w:pStyle w:val="ListBullet"/>
        <w:spacing w:after="40"/>
      </w:pPr>
      <w:r>
        <w:rPr>
          <w:color w:val="000000"/>
        </w:rPr>
        <w:t>Treasure Row GitHub Repository: https://github.com/DonovanGriffin27/TreasureRow</w:t>
      </w:r>
    </w:p>
    <w:p>
      <w:pPr>
        <w:spacing w:after="60"/>
      </w:pPr>
      <w:r>
        <w:rPr>
          <w:rFonts w:ascii="Times New Roman" w:hAnsi="Times New Roman"/>
          <w:b/>
          <w:color w:val="000000"/>
          <w:sz w:val="22"/>
        </w:rPr>
        <w:t>Scope &amp; Feature Uncertainty (Ricki Davis)</w:t>
      </w:r>
    </w:p>
    <w:p>
      <w:pPr>
        <w:pStyle w:val="ListBullet"/>
        <w:spacing w:after="40"/>
      </w:pPr>
      <w:r>
        <w:rPr>
          <w:color w:val="000000"/>
        </w:rPr>
        <w:t>Treasure Row Jira Board (Scrum): https://treasurerow.atlassian.net/jira/software/projects/SCRUM/boards/1/backlog</w:t>
      </w:r>
    </w:p>
    <w:p>
      <w:pPr>
        <w:pStyle w:val="ListBullet"/>
        <w:spacing w:after="40"/>
      </w:pPr>
      <w:r>
        <w:rPr>
          <w:color w:val="000000"/>
        </w:rPr>
        <w:t>Project Management Institute, PMBOK Guide, Scope Management Knowledge Area</w:t>
      </w:r>
    </w:p>
    <w:p>
      <w:pPr>
        <w:spacing w:after="60"/>
      </w:pPr>
      <w:r>
        <w:rPr>
          <w:rFonts w:ascii="Times New Roman" w:hAnsi="Times New Roman"/>
          <w:b/>
          <w:color w:val="000000"/>
          <w:sz w:val="22"/>
        </w:rPr>
        <w:t>Bus Factor &amp; Work Visibility (Chi Martin)</w:t>
      </w:r>
    </w:p>
    <w:p>
      <w:pPr>
        <w:pStyle w:val="ListBullet"/>
        <w:spacing w:after="40"/>
      </w:pPr>
      <w:r>
        <w:rPr>
          <w:color w:val="000000"/>
        </w:rPr>
        <w:t>"Bus Factor": https://en.wikipedia.org/wiki/Bus_factor</w:t>
      </w:r>
    </w:p>
    <w:p>
      <w:pPr>
        <w:pStyle w:val="ListBullet"/>
        <w:spacing w:after="40"/>
      </w:pPr>
      <w:r>
        <w:rPr>
          <w:color w:val="000000"/>
        </w:rPr>
        <w:t>Treasure Row GitHub Repository: https://github.com/DonovanGriffin27/TreasureRow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