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X42f3e433b229a6e53affc512ee20ef21abea2d9"/>
    <w:p>
      <w:pPr>
        <w:pStyle w:val="Heading1"/>
      </w:pPr>
      <w:r>
        <w:t xml:space="preserve">PECH GROUP HOLDINGS LTD — EQUITY &amp; CORPORATE STRUCTURE</w:t>
      </w:r>
    </w:p>
    <w:p>
      <w:pPr>
        <w:pStyle w:val="FirstParagraph"/>
      </w:pPr>
      <w:r>
        <w:rPr>
          <w:bCs/>
          <w:b/>
        </w:rPr>
        <w:t xml:space="preserve">Document Type:</w:t>
      </w:r>
      <w:r>
        <w:t xml:space="preserve"> </w:t>
      </w:r>
      <w:r>
        <w:t xml:space="preserve">Shareholders Agreement &amp; Corporate Governance Framework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 |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March 14, 2026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DRAFT — For Legal Review</w:t>
      </w:r>
      <w:r>
        <w:t xml:space="preserve"> </w:t>
      </w:r>
      <w:r>
        <w:rPr>
          <w:bCs/>
          <w:b/>
        </w:rPr>
        <w:t xml:space="preserve">Governing Law:</w:t>
      </w:r>
      <w:r>
        <w:t xml:space="preserve"> </w:t>
      </w:r>
      <w:r>
        <w:t xml:space="preserve">Companies and Allied Matters Act (CAMA) 2020, Federal Republic of Nigeria</w:t>
      </w:r>
      <w:r>
        <w:t xml:space="preserve"> </w:t>
      </w:r>
      <w:r>
        <w:rPr>
          <w:bCs/>
          <w:b/>
        </w:rPr>
        <w:t xml:space="preserve">Confidentiality:</w:t>
      </w:r>
      <w:r>
        <w:t xml:space="preserve"> </w:t>
      </w:r>
      <w:r>
        <w:t xml:space="preserve">Strictly Confidential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35d46835b9887430f59ac231e903dab5a06fe90">
        <w:r>
          <w:rPr>
            <w:rStyle w:val="Hyperlink"/>
          </w:rPr>
          <w:t xml:space="preserve">Parties &amp; Definitions</w:t>
        </w:r>
      </w:hyperlink>
    </w:p>
    <w:p>
      <w:pPr>
        <w:numPr>
          <w:ilvl w:val="0"/>
          <w:numId w:val="1001"/>
        </w:numPr>
        <w:pStyle w:val="Compact"/>
      </w:pPr>
      <w:hyperlink w:anchor="X331333b89332226a3ba47c0f5b741a5c7f08aa2">
        <w:r>
          <w:rPr>
            <w:rStyle w:val="Hyperlink"/>
          </w:rPr>
          <w:t xml:space="preserve">Share Capital &amp; Equity Allocation</w:t>
        </w:r>
      </w:hyperlink>
    </w:p>
    <w:p>
      <w:pPr>
        <w:numPr>
          <w:ilvl w:val="0"/>
          <w:numId w:val="1001"/>
        </w:numPr>
        <w:pStyle w:val="Compact"/>
      </w:pPr>
      <w:hyperlink w:anchor="Xedee34959f083b3621152f9e490b8ff3ff7ef1f">
        <w:r>
          <w:rPr>
            <w:rStyle w:val="Hyperlink"/>
          </w:rPr>
          <w:t xml:space="preserve">Dual-Class Share Structure</w:t>
        </w:r>
      </w:hyperlink>
    </w:p>
    <w:p>
      <w:pPr>
        <w:numPr>
          <w:ilvl w:val="0"/>
          <w:numId w:val="1001"/>
        </w:numPr>
        <w:pStyle w:val="Compact"/>
      </w:pPr>
      <w:hyperlink w:anchor="X33e7e649c9fb40452e35eb99b262565bd2440b5">
        <w:r>
          <w:rPr>
            <w:rStyle w:val="Hyperlink"/>
          </w:rPr>
          <w:t xml:space="preserve">Voting Power Analysis</w:t>
        </w:r>
      </w:hyperlink>
    </w:p>
    <w:p>
      <w:pPr>
        <w:numPr>
          <w:ilvl w:val="0"/>
          <w:numId w:val="1001"/>
        </w:numPr>
        <w:pStyle w:val="Compact"/>
      </w:pPr>
      <w:hyperlink w:anchor="X7a7befb6d24cb26a05d2d4998d21055c1a80f64">
        <w:r>
          <w:rPr>
            <w:rStyle w:val="Hyperlink"/>
          </w:rPr>
          <w:t xml:space="preserve">Dilution Scenarios</w:t>
        </w:r>
      </w:hyperlink>
    </w:p>
    <w:p>
      <w:pPr>
        <w:numPr>
          <w:ilvl w:val="0"/>
          <w:numId w:val="1001"/>
        </w:numPr>
        <w:pStyle w:val="Compact"/>
      </w:pPr>
      <w:hyperlink w:anchor="X425ac2a4d3318457f6eaa75be27211043e071ee">
        <w:r>
          <w:rPr>
            <w:rStyle w:val="Hyperlink"/>
          </w:rPr>
          <w:t xml:space="preserve">Vertical-Level Governance</w:t>
        </w:r>
      </w:hyperlink>
    </w:p>
    <w:p>
      <w:pPr>
        <w:numPr>
          <w:ilvl w:val="0"/>
          <w:numId w:val="1001"/>
        </w:numPr>
        <w:pStyle w:val="Compact"/>
      </w:pPr>
      <w:hyperlink w:anchor="X53800d41273b0af4dfc3c510cb1e2a33806313c">
        <w:r>
          <w:rPr>
            <w:rStyle w:val="Hyperlink"/>
          </w:rPr>
          <w:t xml:space="preserve">Corporate Holding Structure</w:t>
        </w:r>
      </w:hyperlink>
    </w:p>
    <w:p>
      <w:pPr>
        <w:numPr>
          <w:ilvl w:val="0"/>
          <w:numId w:val="1001"/>
        </w:numPr>
        <w:pStyle w:val="Compact"/>
      </w:pPr>
      <w:hyperlink w:anchor="X24e58bf10399848ef4014fea322cf4affc6f9d0">
        <w:r>
          <w:rPr>
            <w:rStyle w:val="Hyperlink"/>
          </w:rPr>
          <w:t xml:space="preserve">Roles &amp; Responsibilities</w:t>
        </w:r>
      </w:hyperlink>
    </w:p>
    <w:p>
      <w:pPr>
        <w:numPr>
          <w:ilvl w:val="0"/>
          <w:numId w:val="1001"/>
        </w:numPr>
        <w:pStyle w:val="Compact"/>
      </w:pPr>
      <w:hyperlink w:anchor="X3d2fe94383f997763b4d7a1ac40e1e375bc397f">
        <w:r>
          <w:rPr>
            <w:rStyle w:val="Hyperlink"/>
          </w:rPr>
          <w:t xml:space="preserve">Board Composition</w:t>
        </w:r>
      </w:hyperlink>
    </w:p>
    <w:p>
      <w:pPr>
        <w:numPr>
          <w:ilvl w:val="0"/>
          <w:numId w:val="1001"/>
        </w:numPr>
        <w:pStyle w:val="Compact"/>
      </w:pPr>
      <w:hyperlink w:anchor="X4ad2ba270a2f641e0895f2f7900dc7d4dad444e">
        <w:r>
          <w:rPr>
            <w:rStyle w:val="Hyperlink"/>
          </w:rPr>
          <w:t xml:space="preserve">Funding Obligations &amp; Cessation</w:t>
        </w:r>
      </w:hyperlink>
    </w:p>
    <w:p>
      <w:pPr>
        <w:numPr>
          <w:ilvl w:val="0"/>
          <w:numId w:val="1001"/>
        </w:numPr>
        <w:pStyle w:val="Compact"/>
      </w:pPr>
      <w:hyperlink w:anchor="X7c9b3491d9d81683ebbbabad5c067f56e7d04df">
        <w:r>
          <w:rPr>
            <w:rStyle w:val="Hyperlink"/>
          </w:rPr>
          <w:t xml:space="preserve">Investor Protections</w:t>
        </w:r>
      </w:hyperlink>
    </w:p>
    <w:p>
      <w:pPr>
        <w:numPr>
          <w:ilvl w:val="0"/>
          <w:numId w:val="1001"/>
        </w:numPr>
        <w:pStyle w:val="Compact"/>
      </w:pPr>
      <w:hyperlink w:anchor="X413a19578ea9a7b4686e4cfafe800b126e8bedb">
        <w:r>
          <w:rPr>
            <w:rStyle w:val="Hyperlink"/>
          </w:rPr>
          <w:t xml:space="preserve">ESOP Pool</w:t>
        </w:r>
      </w:hyperlink>
    </w:p>
    <w:p>
      <w:pPr>
        <w:numPr>
          <w:ilvl w:val="0"/>
          <w:numId w:val="1001"/>
        </w:numPr>
        <w:pStyle w:val="Compact"/>
      </w:pPr>
      <w:hyperlink w:anchor="X96116e6f12c45339fb4b27e9f05795e5b2ca40c">
        <w:r>
          <w:rPr>
            <w:rStyle w:val="Hyperlink"/>
          </w:rPr>
          <w:t xml:space="preserve">Strategic Reserve</w:t>
        </w:r>
      </w:hyperlink>
    </w:p>
    <w:p>
      <w:pPr>
        <w:numPr>
          <w:ilvl w:val="0"/>
          <w:numId w:val="1001"/>
        </w:numPr>
        <w:pStyle w:val="Compact"/>
      </w:pPr>
      <w:hyperlink w:anchor="X05b4d9ecd81b899b2b7f37658360efe43bef559">
        <w:r>
          <w:rPr>
            <w:rStyle w:val="Hyperlink"/>
          </w:rPr>
          <w:t xml:space="preserve">Transfer Restrictions &amp; Pre-Emption</w:t>
        </w:r>
      </w:hyperlink>
    </w:p>
    <w:p>
      <w:pPr>
        <w:numPr>
          <w:ilvl w:val="0"/>
          <w:numId w:val="1001"/>
        </w:numPr>
        <w:pStyle w:val="Compact"/>
      </w:pPr>
      <w:hyperlink w:anchor="Xf93c2af7fa6d1ed774c4358c537b448e21054a5">
        <w:r>
          <w:rPr>
            <w:rStyle w:val="Hyperlink"/>
          </w:rPr>
          <w:t xml:space="preserve">Deadlock &amp; Dispute Resolution</w:t>
        </w:r>
      </w:hyperlink>
    </w:p>
    <w:p>
      <w:pPr>
        <w:numPr>
          <w:ilvl w:val="0"/>
          <w:numId w:val="1001"/>
        </w:numPr>
        <w:pStyle w:val="Compact"/>
      </w:pPr>
      <w:hyperlink w:anchor="X4b94fd3419a4f69fd41f616b05d9c4a15f221e2">
        <w:r>
          <w:rPr>
            <w:rStyle w:val="Hyperlink"/>
          </w:rPr>
          <w:t xml:space="preserve">Protective Provisions (Veto Rights)</w:t>
        </w:r>
      </w:hyperlink>
    </w:p>
    <w:p>
      <w:pPr>
        <w:numPr>
          <w:ilvl w:val="0"/>
          <w:numId w:val="1001"/>
        </w:numPr>
        <w:pStyle w:val="Compact"/>
      </w:pPr>
      <w:hyperlink w:anchor="X605a13408767715ab954e8a942b5dd49aeb3851">
        <w:r>
          <w:rPr>
            <w:rStyle w:val="Hyperlink"/>
          </w:rPr>
          <w:t xml:space="preserve">Exit &amp; Liquidity Events</w:t>
        </w:r>
      </w:hyperlink>
    </w:p>
    <w:p>
      <w:pPr>
        <w:numPr>
          <w:ilvl w:val="0"/>
          <w:numId w:val="1001"/>
        </w:numPr>
        <w:pStyle w:val="Compact"/>
      </w:pPr>
      <w:hyperlink w:anchor="X039e500f0ad1832e17dafce1f043b019cef2c44">
        <w:r>
          <w:rPr>
            <w:rStyle w:val="Hyperlink"/>
          </w:rPr>
          <w:t xml:space="preserve">CAMA 2020 Compliance Notes</w:t>
        </w:r>
      </w:hyperlink>
    </w:p>
    <w:p>
      <w:pPr>
        <w:numPr>
          <w:ilvl w:val="0"/>
          <w:numId w:val="1001"/>
        </w:numPr>
        <w:pStyle w:val="Compact"/>
      </w:pPr>
      <w:hyperlink w:anchor="X79464fdb9c2c582d6ac99c0119464a43b5b52d9">
        <w:r>
          <w:rPr>
            <w:rStyle w:val="Hyperlink"/>
          </w:rPr>
          <w:t xml:space="preserve">Execution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parties-definitions"/>
    <w:p>
      <w:pPr>
        <w:pStyle w:val="Heading2"/>
      </w:pPr>
      <w:r>
        <w:t xml:space="preserve">1. Parties &amp; Definitions</w:t>
      </w:r>
    </w:p>
    <w:bookmarkStart w:id="21" w:name="parties"/>
    <w:p>
      <w:pPr>
        <w:pStyle w:val="Heading3"/>
      </w:pPr>
      <w:r>
        <w:t xml:space="preserve">1.1 Parties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3017"/>
        <w:gridCol w:w="1131"/>
        <w:gridCol w:w="24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Legal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Chukwunwike Peter Ndibe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 &amp; 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B Shareholder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Co-Founder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Ndu Jerry Chijioke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Co-Founder &amp; Advisory Board Chairman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A Shareholder</w:t>
            </w:r>
          </w:p>
        </w:tc>
      </w:tr>
    </w:tbl>
    <w:bookmarkEnd w:id="21"/>
    <w:bookmarkStart w:id="22" w:name="definitions"/>
    <w:p>
      <w:pPr>
        <w:pStyle w:val="Heading3"/>
      </w:pPr>
      <w:r>
        <w:t xml:space="preserve">1.2 Definitions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PECH Group Holdings Ltd, a company incorporated under CAMA 2020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 A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Ordinary shares carrying one (1) vote per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 B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Super-voting shares carrying eighteen (18) votes per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Authorized Share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10,000,000 ordinary shares at ₦1.00 par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Stock Ownership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distinct business unit within the PECH ecosystem (e.g., Solar, IoT, Fintech)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Protective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Matters requiring supermajority or unanimous consent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share-capital-equity-allocation"/>
    <w:p>
      <w:pPr>
        <w:pStyle w:val="Heading2"/>
      </w:pPr>
      <w:r>
        <w:t xml:space="preserve">2. Share Capital &amp; Equity Allocation</w:t>
      </w:r>
    </w:p>
    <w:bookmarkStart w:id="24" w:name="authorized-share-capital"/>
    <w:p>
      <w:pPr>
        <w:pStyle w:val="Heading3"/>
      </w:pPr>
      <w:r>
        <w:t xml:space="preserve">2.1 Authorized Share Capital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Total Authorized Shares:</w:t>
      </w:r>
      <w:r>
        <w:t xml:space="preserve"> </w:t>
      </w:r>
      <w:r>
        <w:t xml:space="preserve">10,000,000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 Value:</w:t>
      </w:r>
      <w:r>
        <w:t xml:space="preserve"> </w:t>
      </w:r>
      <w:r>
        <w:t xml:space="preserve">₦1.00 per share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Total Par Value:</w:t>
      </w:r>
      <w:r>
        <w:t xml:space="preserve"> </w:t>
      </w:r>
      <w:r>
        <w:t xml:space="preserve">₦10,000,000</w:t>
      </w:r>
    </w:p>
    <w:bookmarkEnd w:id="24"/>
    <w:bookmarkStart w:id="25" w:name="equity-allocation-table"/>
    <w:p>
      <w:pPr>
        <w:pStyle w:val="Heading3"/>
      </w:pPr>
      <w:r>
        <w:t xml:space="preserve">2.2 Equity Allocation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1"/>
        <w:gridCol w:w="745"/>
        <w:gridCol w:w="1024"/>
        <w:gridCol w:w="1211"/>
        <w:gridCol w:w="1584"/>
        <w:gridCol w:w="1211"/>
        <w:gridCol w:w="9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Shareholder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Votes per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Votes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Voting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Chukwunwike Peter Ndibe</w:t>
            </w:r>
            <w:r>
              <w:t xml:space="preserve"> </w:t>
            </w:r>
            <w:r>
              <w:t xml:space="preserve">(Founder/CEO)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B (×18)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Ndu Jerry Chijioke</w:t>
            </w:r>
            <w:r>
              <w:t xml:space="preserve"> </w:t>
            </w:r>
            <w:r>
              <w:t xml:space="preserve">(Co-Founder/Chairman)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A (×1)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ESOP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A (×1)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Strategic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A (×1)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80,000,000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bookmarkEnd w:id="25"/>
    <w:bookmarkStart w:id="26" w:name="economic-rights"/>
    <w:p>
      <w:pPr>
        <w:pStyle w:val="Heading3"/>
      </w:pPr>
      <w:r>
        <w:t xml:space="preserve">2.3 Economic Rights</w:t>
      </w:r>
    </w:p>
    <w:p>
      <w:pPr>
        <w:pStyle w:val="FirstParagraph"/>
      </w:pPr>
      <w:r>
        <w:t xml:space="preserve">All shares (Class A and Class B) carry</w:t>
      </w:r>
      <w:r>
        <w:t xml:space="preserve"> </w:t>
      </w:r>
      <w:r>
        <w:rPr>
          <w:bCs/>
          <w:b/>
        </w:rPr>
        <w:t xml:space="preserve">equal economic rights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Equal dividend rights per share</w:t>
      </w:r>
    </w:p>
    <w:p>
      <w:pPr>
        <w:numPr>
          <w:ilvl w:val="0"/>
          <w:numId w:val="1003"/>
        </w:numPr>
        <w:pStyle w:val="Compact"/>
      </w:pPr>
      <w:r>
        <w:t xml:space="preserve">Equal distribution rights on liquidation</w:t>
      </w:r>
    </w:p>
    <w:p>
      <w:pPr>
        <w:numPr>
          <w:ilvl w:val="0"/>
          <w:numId w:val="1003"/>
        </w:numPr>
        <w:pStyle w:val="Compact"/>
      </w:pPr>
      <w:r>
        <w:t xml:space="preserve">Equal rights to participate in future share issues (subject to pre-emption rights)</w:t>
      </w:r>
    </w:p>
    <w:p>
      <w:pPr>
        <w:pStyle w:val="FirstParagraph"/>
      </w:pPr>
      <w:r>
        <w:rPr>
          <w:bCs/>
          <w:b/>
        </w:rPr>
        <w:t xml:space="preserve">The only difference between Class A and Class B is voting power.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dual-class-share-structure"/>
    <w:p>
      <w:pPr>
        <w:pStyle w:val="Heading2"/>
      </w:pPr>
      <w:r>
        <w:t xml:space="preserve">3. Dual-Class Share Structure</w:t>
      </w:r>
    </w:p>
    <w:bookmarkStart w:id="28" w:name="legal-basis"/>
    <w:p>
      <w:pPr>
        <w:pStyle w:val="Heading3"/>
      </w:pPr>
      <w:r>
        <w:t xml:space="preserve">3.1 Legal Basis</w:t>
      </w:r>
    </w:p>
    <w:p>
      <w:pPr>
        <w:pStyle w:val="FirstParagraph"/>
      </w:pPr>
      <w:r>
        <w:t xml:space="preserve">CAMA 2020, Section 142 permits Nigerian companies to issue shares with</w:t>
      </w:r>
      <w:r>
        <w:t xml:space="preserve"> </w:t>
      </w:r>
      <w:r>
        <w:rPr>
          <w:bCs/>
          <w:b/>
        </w:rPr>
        <w:t xml:space="preserve">different voting rights</w:t>
      </w:r>
      <w:r>
        <w:t xml:space="preserve">. The Articles of Association must specify the rights attached to each class.</w:t>
      </w:r>
    </w:p>
    <w:bookmarkEnd w:id="28"/>
    <w:bookmarkStart w:id="29" w:name="class-b-super-voting-shares"/>
    <w:p>
      <w:pPr>
        <w:pStyle w:val="Heading3"/>
      </w:pPr>
      <w:r>
        <w:t xml:space="preserve">3.2 Class B Super-Voting Shares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5"/>
        <w:gridCol w:w="3009"/>
        <w:gridCol w:w="34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A (Ordinary)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B (Super-Voting)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Votes per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Holder(s)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Ndu, ESOP, Strategic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Dividend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per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per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Transferability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to pre-emption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Non-transferable (auto-converts to Class A on transfer)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B → Class A at holder’s option (irreversible)</w:t>
            </w:r>
          </w:p>
        </w:tc>
      </w:tr>
    </w:tbl>
    <w:bookmarkEnd w:id="29"/>
    <w:bookmarkStart w:id="30" w:name="sunset-provisions"/>
    <w:p>
      <w:pPr>
        <w:pStyle w:val="Heading3"/>
      </w:pPr>
      <w:r>
        <w:t xml:space="preserve">3.3 Sunset Provisions</w:t>
      </w:r>
    </w:p>
    <w:p>
      <w:pPr>
        <w:pStyle w:val="FirstParagraph"/>
      </w:pPr>
      <w:r>
        <w:t xml:space="preserve">Class B shares shall</w:t>
      </w:r>
      <w:r>
        <w:t xml:space="preserve"> </w:t>
      </w:r>
      <w:r>
        <w:rPr>
          <w:bCs/>
          <w:b/>
        </w:rPr>
        <w:t xml:space="preserve">automatically convert</w:t>
      </w:r>
      <w:r>
        <w:t xml:space="preserve"> </w:t>
      </w:r>
      <w:r>
        <w:t xml:space="preserve">to Class A shares upon:</w:t>
      </w:r>
    </w:p>
    <w:p>
      <w:pPr>
        <w:numPr>
          <w:ilvl w:val="0"/>
          <w:numId w:val="1004"/>
        </w:numPr>
        <w:pStyle w:val="Compact"/>
      </w:pPr>
      <w:r>
        <w:t xml:space="preserve">Death or permanent incapacitation of the Founder (unless transferred to a Founder-controlled trust)</w:t>
      </w:r>
    </w:p>
    <w:p>
      <w:pPr>
        <w:numPr>
          <w:ilvl w:val="0"/>
          <w:numId w:val="1004"/>
        </w:numPr>
        <w:pStyle w:val="Compact"/>
      </w:pPr>
      <w:r>
        <w:t xml:space="preserve">Voluntary conversion by the Founder</w:t>
      </w:r>
    </w:p>
    <w:p>
      <w:pPr>
        <w:numPr>
          <w:ilvl w:val="0"/>
          <w:numId w:val="1004"/>
        </w:numPr>
        <w:pStyle w:val="Compact"/>
      </w:pPr>
      <w:r>
        <w:t xml:space="preserve">IPO (if required by listing exchange rules)</w:t>
      </w:r>
    </w:p>
    <w:p>
      <w:pPr>
        <w:numPr>
          <w:ilvl w:val="0"/>
          <w:numId w:val="1004"/>
        </w:numPr>
        <w:pStyle w:val="Compact"/>
      </w:pPr>
      <w:r>
        <w:t xml:space="preserve">15 years from incorporation (sunset clause)</w:t>
      </w:r>
    </w:p>
    <w:bookmarkEnd w:id="30"/>
    <w:bookmarkStart w:id="31" w:name="rationale"/>
    <w:p>
      <w:pPr>
        <w:pStyle w:val="Heading3"/>
      </w:pPr>
      <w:r>
        <w:t xml:space="preserve">3.4 Rationale</w:t>
      </w:r>
    </w:p>
    <w:p>
      <w:pPr>
        <w:pStyle w:val="FirstParagraph"/>
      </w:pPr>
      <w:r>
        <w:t xml:space="preserve">The dual-class structure protects the Founder’s long-term vision for PECH while ensuring equal economic participation for all shareholders. This is standard practice for technology companies (used by Google, Meta, Snap, Grab, etc.).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voting-power-analysis"/>
    <w:p>
      <w:pPr>
        <w:pStyle w:val="Heading2"/>
      </w:pPr>
      <w:r>
        <w:t xml:space="preserve">4. Voting Power Analysis</w:t>
      </w:r>
    </w:p>
    <w:bookmarkStart w:id="33" w:name="at-incorporation-day-1"/>
    <w:p>
      <w:pPr>
        <w:pStyle w:val="Heading3"/>
      </w:pPr>
      <w:r>
        <w:t xml:space="preserve">4.1 At Incorporation (Day 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59"/>
        <w:gridCol w:w="1742"/>
        <w:gridCol w:w="1584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Shareholder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Voting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Founder (Chukwunwike Peter Ndibe)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Controlling shareholder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Ndu Jerry Chijioke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Minority voting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ESOP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Unallocated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Strategic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Unissued</w:t>
            </w:r>
          </w:p>
        </w:tc>
      </w:tr>
    </w:tbl>
    <w:bookmarkEnd w:id="33"/>
    <w:bookmarkStart w:id="34" w:name="key-thresholds"/>
    <w:p>
      <w:pPr>
        <w:pStyle w:val="Heading3"/>
      </w:pPr>
      <w:r>
        <w:t xml:space="preserve">4.2 Key Thresholds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Ordinary Resolution (&gt;50% votes):</w:t>
      </w:r>
      <w:r>
        <w:t xml:space="preserve"> </w:t>
      </w:r>
      <w:r>
        <w:t xml:space="preserve">Founder can pass unilaterally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Special Resolution (≥75% votes):</w:t>
      </w:r>
      <w:r>
        <w:t xml:space="preserve"> </w:t>
      </w:r>
      <w:r>
        <w:t xml:space="preserve">Founder can pass unilaterally (90% &gt; 75%)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Founder maintains control</w:t>
      </w:r>
      <w:r>
        <w:t xml:space="preserve"> </w:t>
      </w:r>
      <w:r>
        <w:t xml:space="preserve">as long as Class B shares exist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dilution-scenarios"/>
    <w:p>
      <w:pPr>
        <w:pStyle w:val="Heading2"/>
      </w:pPr>
      <w:r>
        <w:t xml:space="preserve">5. Dilution Scenarios</w:t>
      </w:r>
    </w:p>
    <w:bookmarkStart w:id="36" w:name="scenario-founder-diluted-to-20-economic"/>
    <w:p>
      <w:pPr>
        <w:pStyle w:val="Heading3"/>
      </w:pPr>
      <w:r>
        <w:t xml:space="preserve">5.1 Scenario: Founder Diluted to 20% Economic</w:t>
      </w:r>
    </w:p>
    <w:p>
      <w:pPr>
        <w:pStyle w:val="FirstParagraph"/>
      </w:pPr>
      <w:r>
        <w:t xml:space="preserve">If external capital raises reduce the Founder’s economic stake to 20%: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Shareholder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Voting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85.7%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Ndu + External Investors +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14.3%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Founder still controls the company with &gt;75% voting power.</w:t>
      </w:r>
    </w:p>
    <w:bookmarkEnd w:id="36"/>
    <w:bookmarkStart w:id="37" w:name="scenario-founder-diluted-to-10-economic"/>
    <w:p>
      <w:pPr>
        <w:pStyle w:val="Heading3"/>
      </w:pPr>
      <w:r>
        <w:t xml:space="preserve">5.2 Scenario: Founder Diluted to 10% Economic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Shareholder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Voting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75.0%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25.0%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Founder still controls ordinary and special resolutions.</w:t>
      </w:r>
    </w:p>
    <w:bookmarkEnd w:id="37"/>
    <w:bookmarkStart w:id="38" w:name="X162a92a4d6322e570c705d7057cb49c54fb4fc1"/>
    <w:p>
      <w:pPr>
        <w:pStyle w:val="Heading3"/>
      </w:pPr>
      <w:r>
        <w:t xml:space="preserve">5.3 Scenario: Full ESOP Vested + Strategic Reserve Allocated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Shareholder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Voting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ESOP (vested employees)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Strategic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4" w:name="vertical-level-governance"/>
    <w:p>
      <w:pPr>
        <w:pStyle w:val="Heading2"/>
      </w:pPr>
      <w:r>
        <w:t xml:space="preserve">6. Vertical-Level Governance</w:t>
      </w:r>
    </w:p>
    <w:bookmarkStart w:id="40" w:name="principle"/>
    <w:p>
      <w:pPr>
        <w:pStyle w:val="Heading3"/>
      </w:pPr>
      <w:r>
        <w:t xml:space="preserve">6.1 Principle</w:t>
      </w:r>
    </w:p>
    <w:p>
      <w:pPr>
        <w:pStyle w:val="FirstParagraph"/>
      </w:pPr>
      <w:r>
        <w:rPr>
          <w:bCs/>
          <w:b/>
        </w:rPr>
        <w:t xml:space="preserve">Only people involved in a vertical vote on that vertical’s operational matters.</w:t>
      </w:r>
      <w:r>
        <w:t xml:space="preserve"> </w:t>
      </w:r>
      <w:r>
        <w:t xml:space="preserve">Company-level decisions follow the share structure above, but vertical-specific decisions are governed by vertical committees.</w:t>
      </w:r>
    </w:p>
    <w:bookmarkEnd w:id="40"/>
    <w:bookmarkStart w:id="41" w:name="vertical-decision-matrix"/>
    <w:p>
      <w:pPr>
        <w:pStyle w:val="Heading3"/>
      </w:pPr>
      <w:r>
        <w:t xml:space="preserve">6.2 Vertical Decision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00"/>
        <w:gridCol w:w="2200"/>
        <w:gridCol w:w="24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Votes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Company-level</w:t>
            </w:r>
            <w:r>
              <w:t xml:space="preserve"> </w:t>
            </w:r>
            <w:r>
              <w:t xml:space="preserve">(equity changes, M&amp;A, budget &gt;₦10M, new verticals)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shareholders per share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Articles of Association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Vertical strategy</w:t>
            </w:r>
            <w:r>
              <w:t xml:space="preserve"> </w:t>
            </w:r>
            <w:r>
              <w:t xml:space="preserve">(product roadmap, pricing, partnerships within vertical)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Lead + Vertical Committee + 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Majority of vertical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Vertical hiring</w:t>
            </w:r>
            <w:r>
              <w:t xml:space="preserve"> </w:t>
            </w:r>
            <w:r>
              <w:t xml:space="preserve">(roles within the vertical)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Lead + CEO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Consensus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Vertical budget</w:t>
            </w:r>
            <w:r>
              <w:t xml:space="preserve"> </w:t>
            </w:r>
            <w:r>
              <w:t xml:space="preserve">(within pre-approved annual allocation)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Lead + CFO/CEO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Lead proposes, CEO approves</w:t>
            </w:r>
          </w:p>
        </w:tc>
      </w:tr>
    </w:tbl>
    <w:bookmarkEnd w:id="41"/>
    <w:bookmarkStart w:id="42" w:name="pech-verticals"/>
    <w:p>
      <w:pPr>
        <w:pStyle w:val="Heading3"/>
      </w:pPr>
      <w:r>
        <w:t xml:space="preserve">6.3 PECH Verticals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75"/>
        <w:gridCol w:w="1732"/>
        <w:gridCol w:w="37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Solar &amp; 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 products, batteries, inverters, energy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IoT &amp; Smart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controllers, smart meters, sensors, ThingsBoard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Commerce &amp; 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Medusa storefront, merchant onboarding, 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Fintech &amp;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processing, BNPL, credit scoring, Fineract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&amp;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serving, RAG, analytics, Superset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sourcing, co-location, DevOps, platform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</w:tbl>
    <w:bookmarkEnd w:id="42"/>
    <w:bookmarkStart w:id="43" w:name="X5a5e5e345273368630c49ccc7a9a7c9119ab057"/>
    <w:p>
      <w:pPr>
        <w:pStyle w:val="Heading3"/>
      </w:pPr>
      <w:r>
        <w:t xml:space="preserve">6.4 Advisory Board Chairman Role in Verticals</w:t>
      </w:r>
    </w:p>
    <w:p>
      <w:pPr>
        <w:pStyle w:val="FirstParagraph"/>
      </w:pPr>
      <w:r>
        <w:t xml:space="preserve">Ndu Jerry Chijioke, as Advisory Board Chairman, has: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Observer rights</w:t>
      </w:r>
      <w:r>
        <w:t xml:space="preserve"> </w:t>
      </w:r>
      <w:r>
        <w:t xml:space="preserve">in all vertical committee meetings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Advisory vote</w:t>
      </w:r>
      <w:r>
        <w:t xml:space="preserve"> </w:t>
      </w:r>
      <w:r>
        <w:t xml:space="preserve">(non-binding) on vertical strategy decisions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operational authority</w:t>
      </w:r>
      <w:r>
        <w:t xml:space="preserve"> </w:t>
      </w:r>
      <w:r>
        <w:t xml:space="preserve">over any vertical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Full information rights</w:t>
      </w:r>
      <w:r>
        <w:t xml:space="preserve"> </w:t>
      </w:r>
      <w:r>
        <w:t xml:space="preserve">(access to all vertical reports and financials)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corporate-holding-structure"/>
    <w:p>
      <w:pPr>
        <w:pStyle w:val="Heading2"/>
      </w:pPr>
      <w:r>
        <w:t xml:space="preserve">7. Corporate Holding Structure</w:t>
      </w:r>
    </w:p>
    <w:p>
      <w:pPr>
        <w:pStyle w:val="SourceCode"/>
      </w:pPr>
      <w:r>
        <w:rPr>
          <w:rStyle w:val="VerbatimChar"/>
        </w:rPr>
        <w:t xml:space="preserve">PECH Group Holdings Ltd (Parent — Technology Company)</w:t>
      </w:r>
      <w:r>
        <w:br/>
      </w:r>
      <w:r>
        <w:rPr>
          <w:rStyle w:val="VerbatimChar"/>
        </w:rPr>
        <w:t xml:space="preserve">│   Shareholders: Ndibe 40% | Chijioke 40% | ESOP 10% | Reserve 10%</w:t>
      </w:r>
      <w:r>
        <w:br/>
      </w:r>
      <w:r>
        <w:rPr>
          <w:rStyle w:val="VerbatimChar"/>
        </w:rPr>
        <w:t xml:space="preserve">│   Dual-class shares: Ndibe holds Class B (93% voting control)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PECH Payments Ltd (Subsidiary — holds PSSP license)</w:t>
      </w:r>
      <w:r>
        <w:br/>
      </w:r>
      <w:r>
        <w:rPr>
          <w:rStyle w:val="VerbatimChar"/>
        </w:rPr>
        <w:t xml:space="preserve">│   100% owned by PECH Group Holdings Ltd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PECH Terminal Services Ltd (Subsidiary — holds PTSP license)</w:t>
      </w:r>
      <w:r>
        <w:br/>
      </w:r>
      <w:r>
        <w:rPr>
          <w:rStyle w:val="VerbatimChar"/>
        </w:rPr>
        <w:t xml:space="preserve">│   100% owned by PECH Group Holdings Ltd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PECH Solar &amp; Energy Ltd (Future subsidiary — if regulatory separation needed)</w:t>
      </w:r>
      <w:r>
        <w:br/>
      </w:r>
      <w:r>
        <w:rPr>
          <w:rStyle w:val="VerbatimChar"/>
        </w:rPr>
        <w:t xml:space="preserve">│   100% owned by PECH Group Holdings Ltd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Future subsidiaries as needed (MMO license entity, etc.)</w:t>
      </w:r>
      <w:r>
        <w:br/>
      </w:r>
      <w:r>
        <w:rPr>
          <w:rStyle w:val="VerbatimChar"/>
        </w:rPr>
        <w:t xml:space="preserve">    100% owned by PECH Group Holdings Ltd</w:t>
      </w:r>
    </w:p>
    <w:p>
      <w:pPr>
        <w:pStyle w:val="FirstParagraph"/>
      </w:pPr>
      <w:r>
        <w:rPr>
          <w:bCs/>
          <w:b/>
        </w:rPr>
        <w:t xml:space="preserve">Key Principle:</w:t>
      </w:r>
      <w:r>
        <w:t xml:space="preserve"> </w:t>
      </w:r>
      <w:r>
        <w:t xml:space="preserve">All subsidiaries are 100% owned by the parent. Equity and governance exist only at the parent company level. Subsidiaries are created solely for regulatory/licensing isolation (e.g., CBN requires single-purpose entities for payment licenses).</w:t>
      </w:r>
    </w:p>
    <w:p>
      <w:r>
        <w:pict>
          <v:rect style="width:0;height:1.5pt" o:hralign="center" o:hrstd="t" o:hr="t"/>
        </w:pict>
      </w:r>
    </w:p>
    <w:bookmarkEnd w:id="45"/>
    <w:bookmarkStart w:id="48" w:name="roles-responsibilities"/>
    <w:p>
      <w:pPr>
        <w:pStyle w:val="Heading2"/>
      </w:pPr>
      <w:r>
        <w:t xml:space="preserve">8. Roles &amp; Responsibilities</w:t>
      </w:r>
    </w:p>
    <w:bookmarkStart w:id="46" w:name="founder-ceo-chukwunwike-peter-ndibe"/>
    <w:p>
      <w:pPr>
        <w:pStyle w:val="Heading3"/>
      </w:pPr>
      <w:r>
        <w:t xml:space="preserve">8.1 Founder &amp; CEO — Chukwunwike Peter Ndibe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5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Vision &amp;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company direction, product vision, ecosystem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Day-to-day management, all operational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 sourcing relationships, import logistics, product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approval on all hires (CEO approval 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Fundraising, investor relations, financial planning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Partnerships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partnerships, government relations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Verticals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Oversight of all vertical leads, cross-vertical coordination</w:t>
            </w:r>
          </w:p>
        </w:tc>
      </w:tr>
    </w:tbl>
    <w:bookmarkEnd w:id="46"/>
    <w:bookmarkStart w:id="47" w:name="X9ed44cc67c2ff1cc64fe39892cdd1c798e9aace"/>
    <w:p>
      <w:pPr>
        <w:pStyle w:val="Heading3"/>
      </w:pPr>
      <w:r>
        <w:t xml:space="preserve">8.2 Co-Founder &amp; Advisory Board Chairman — Ndu Jerry Chijioke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5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contributions as agreed (see Section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Advisory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advice on business development, market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introductions, partnership facilitation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Chair advisory board meetings, investor relations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financial reports, ask questions, provide counsel</w:t>
            </w:r>
          </w:p>
        </w:tc>
      </w:tr>
    </w:tbl>
    <w:p>
      <w:pPr>
        <w:pStyle w:val="BodyText"/>
      </w:pPr>
      <w:r>
        <w:rPr>
          <w:bCs/>
          <w:b/>
        </w:rPr>
        <w:t xml:space="preserve">Ndu does NOT have:</w:t>
      </w:r>
      <w:r>
        <w:t xml:space="preserve"> </w:t>
      </w:r>
      <w:r>
        <w:t xml:space="preserve">- Operational authority or executive decision-making power</w:t>
      </w:r>
      <w:r>
        <w:t xml:space="preserve"> </w:t>
      </w:r>
      <w:r>
        <w:t xml:space="preserve">- Hiring/firing authority</w:t>
      </w:r>
      <w:r>
        <w:t xml:space="preserve"> </w:t>
      </w:r>
      <w:r>
        <w:t xml:space="preserve">- Authority to bind the company in contracts</w:t>
      </w:r>
      <w:r>
        <w:t xml:space="preserve"> </w:t>
      </w:r>
      <w:r>
        <w:t xml:space="preserve">- Authority to direct employees or vertical leads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board-composition"/>
    <w:p>
      <w:pPr>
        <w:pStyle w:val="Heading2"/>
      </w:pPr>
      <w:r>
        <w:t xml:space="preserve">9. Board Composition</w:t>
      </w:r>
    </w:p>
    <w:bookmarkStart w:id="49" w:name="board-of-directors"/>
    <w:p>
      <w:pPr>
        <w:pStyle w:val="Heading3"/>
      </w:pPr>
      <w:r>
        <w:t xml:space="preserve">9.1 Board of Directors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2346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Appointed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Seat 1</w:t>
            </w:r>
            <w:r>
              <w:t xml:space="preserve"> </w:t>
            </w:r>
            <w:r>
              <w:t xml:space="preserve">(Chairman of the Board)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Chukwunwike Peter Ndibe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B shareholders (Founder)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Ndu Jerry Chijioke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A shareholders (Co-Founder)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 (when hired)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appointment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appointment (from Month 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appointment (from Month 18)</w:t>
            </w:r>
          </w:p>
        </w:tc>
      </w:tr>
    </w:tbl>
    <w:bookmarkEnd w:id="49"/>
    <w:bookmarkStart w:id="50" w:name="advisory-board"/>
    <w:p>
      <w:pPr>
        <w:pStyle w:val="Heading3"/>
      </w:pPr>
      <w:r>
        <w:t xml:space="preserve">9.2 Advisory Board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Chairman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Ndu Jerry Chijioke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Members (3-5)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Regulatory, finance, market access advisors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Meeting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 only — recommendations, not binding decisions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5" w:name="funding-obligations-cessation"/>
    <w:p>
      <w:pPr>
        <w:pStyle w:val="Heading2"/>
      </w:pPr>
      <w:r>
        <w:t xml:space="preserve">10. Funding Obligations &amp; Cessation</w:t>
      </w:r>
    </w:p>
    <w:bookmarkStart w:id="52" w:name="ndus-funding-obligations"/>
    <w:p>
      <w:pPr>
        <w:pStyle w:val="Heading3"/>
      </w:pPr>
      <w:r>
        <w:t xml:space="preserve">10.1 Ndu’s Funding Obligations</w:t>
      </w:r>
    </w:p>
    <w:p>
      <w:pPr>
        <w:pStyle w:val="FirstParagraph"/>
      </w:pPr>
      <w:r>
        <w:t xml:space="preserve">Ndu Jerry Chijioke’s 40% equity allocation reflects his commitment to fund the business operations. The specific terms: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Obligation:</w:t>
      </w:r>
      <w:r>
        <w:t xml:space="preserve"> </w:t>
      </w:r>
      <w:r>
        <w:t xml:space="preserve">Provide capital contributions to fund PECH operations as mutually agreed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Timing:</w:t>
      </w:r>
      <w:r>
        <w:t xml:space="preserve"> </w:t>
      </w:r>
      <w:r>
        <w:t xml:space="preserve">Capital calls as needed per the business plan and budget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Documentation:</w:t>
      </w:r>
      <w:r>
        <w:t xml:space="preserve"> </w:t>
      </w:r>
      <w:r>
        <w:t xml:space="preserve">Each capital contribution shall be documented with a board resolution</w:t>
      </w:r>
    </w:p>
    <w:bookmarkEnd w:id="52"/>
    <w:bookmarkStart w:id="53" w:name="cessation-of-funding"/>
    <w:p>
      <w:pPr>
        <w:pStyle w:val="Heading3"/>
      </w:pPr>
      <w:r>
        <w:t xml:space="preserve">10.2 Cessation of Funding</w:t>
      </w:r>
    </w:p>
    <w:p>
      <w:pPr>
        <w:pStyle w:val="FirstParagraph"/>
      </w:pPr>
      <w:r>
        <w:t xml:space="preserve">If Ndu is unable or unwilling to continue funding: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 penalty</w:t>
      </w:r>
      <w:r>
        <w:t xml:space="preserve"> </w:t>
      </w:r>
      <w:r>
        <w:t xml:space="preserve">— Ndu retains all shares already issued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 forced dilution</w:t>
      </w:r>
      <w:r>
        <w:t xml:space="preserve"> </w:t>
      </w:r>
      <w:r>
        <w:t xml:space="preserve">— his existing equity is not clawed back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Strategic Reserve activation</w:t>
      </w:r>
      <w:r>
        <w:t xml:space="preserve"> </w:t>
      </w:r>
      <w:r>
        <w:t xml:space="preserve">— the 10% Strategic Reserve pool becomes available to raise external capital from new investors or strategic partners in specific verticals requiring equity participation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Pre-emption right</w:t>
      </w:r>
      <w:r>
        <w:t xml:space="preserve"> </w:t>
      </w:r>
      <w:r>
        <w:t xml:space="preserve">— Ndu has right of first refusal on any new share issuance from the Strategic Reserve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Board notification</w:t>
      </w:r>
      <w:r>
        <w:t xml:space="preserve"> </w:t>
      </w:r>
      <w:r>
        <w:t xml:space="preserve">— Ndu must provide 60 days written notice of intent to cease funding</w:t>
      </w:r>
    </w:p>
    <w:bookmarkEnd w:id="53"/>
    <w:bookmarkStart w:id="54" w:name="external-capital-raising"/>
    <w:p>
      <w:pPr>
        <w:pStyle w:val="Heading3"/>
      </w:pPr>
      <w:r>
        <w:t xml:space="preserve">10.3 External Capital Raising</w:t>
      </w:r>
    </w:p>
    <w:p>
      <w:pPr>
        <w:pStyle w:val="FirstParagraph"/>
      </w:pPr>
      <w:r>
        <w:t xml:space="preserve">When external capital is needed (either due to Ndu’s funding cessation or growth requirements):</w:t>
      </w:r>
    </w:p>
    <w:p>
      <w:pPr>
        <w:numPr>
          <w:ilvl w:val="0"/>
          <w:numId w:val="1008"/>
        </w:numPr>
        <w:pStyle w:val="Compact"/>
      </w:pPr>
      <w:r>
        <w:t xml:space="preserve">New shares issued from the 10% Strategic Reserve pool</w:t>
      </w:r>
    </w:p>
    <w:p>
      <w:pPr>
        <w:numPr>
          <w:ilvl w:val="0"/>
          <w:numId w:val="1008"/>
        </w:numPr>
        <w:pStyle w:val="Compact"/>
      </w:pPr>
      <w:r>
        <w:t xml:space="preserve">All existing shareholders have pro-rata pre-emption rights</w:t>
      </w:r>
    </w:p>
    <w:p>
      <w:pPr>
        <w:numPr>
          <w:ilvl w:val="0"/>
          <w:numId w:val="1008"/>
        </w:numPr>
        <w:pStyle w:val="Compact"/>
      </w:pPr>
      <w:r>
        <w:t xml:space="preserve">Class A shares only (no new Class B shares)</w:t>
      </w:r>
    </w:p>
    <w:p>
      <w:pPr>
        <w:numPr>
          <w:ilvl w:val="0"/>
          <w:numId w:val="1008"/>
        </w:numPr>
        <w:pStyle w:val="Compact"/>
      </w:pPr>
      <w:r>
        <w:t xml:space="preserve">Valuation determined by independent valuation or negotiation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investor-protections"/>
    <w:p>
      <w:pPr>
        <w:pStyle w:val="Heading2"/>
      </w:pPr>
      <w:r>
        <w:t xml:space="preserve">11. Investor Protections</w:t>
      </w:r>
    </w:p>
    <w:bookmarkStart w:id="56" w:name="X72e37a6a5c7aa9c986c5e4ca02b7f65a9a63b31"/>
    <w:p>
      <w:pPr>
        <w:pStyle w:val="Heading3"/>
      </w:pPr>
      <w:r>
        <w:t xml:space="preserve">11.1 Ndu’s Protective Rights (as 40% Economic Shareholder)</w:t>
      </w:r>
    </w:p>
    <w:p>
      <w:pPr>
        <w:pStyle w:val="FirstParagraph"/>
      </w:pPr>
      <w:r>
        <w:t xml:space="preserve">Despite having only 4.7% voting power, Ndu has the following protective provisions (veto rights):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Ndu’s Consent Required?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share class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 new Class B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Sell/transfer &gt;50% company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Dissolve the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Related-party transactions &gt;₦5M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Ndu’s board 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Modify these protective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56"/>
    <w:bookmarkStart w:id="57" w:name="information-rights"/>
    <w:p>
      <w:pPr>
        <w:pStyle w:val="Heading3"/>
      </w:pPr>
      <w:r>
        <w:t xml:space="preserve">11.2 Information Rights</w:t>
      </w:r>
    </w:p>
    <w:p>
      <w:pPr>
        <w:numPr>
          <w:ilvl w:val="0"/>
          <w:numId w:val="1009"/>
        </w:numPr>
        <w:pStyle w:val="Compact"/>
      </w:pPr>
      <w:r>
        <w:t xml:space="preserve">Monthly management accounts and P&amp;L</w:t>
      </w:r>
    </w:p>
    <w:p>
      <w:pPr>
        <w:numPr>
          <w:ilvl w:val="0"/>
          <w:numId w:val="1009"/>
        </w:numPr>
        <w:pStyle w:val="Compact"/>
      </w:pPr>
      <w:r>
        <w:t xml:space="preserve">Quarterly board meeting attendance</w:t>
      </w:r>
    </w:p>
    <w:p>
      <w:pPr>
        <w:numPr>
          <w:ilvl w:val="0"/>
          <w:numId w:val="1009"/>
        </w:numPr>
        <w:pStyle w:val="Compact"/>
      </w:pPr>
      <w:r>
        <w:t xml:space="preserve">Annual audited financial statements</w:t>
      </w:r>
    </w:p>
    <w:p>
      <w:pPr>
        <w:numPr>
          <w:ilvl w:val="0"/>
          <w:numId w:val="1009"/>
        </w:numPr>
        <w:pStyle w:val="Compact"/>
      </w:pPr>
      <w:r>
        <w:t xml:space="preserve">Real-time access to financial dashboards</w:t>
      </w:r>
    </w:p>
    <w:p>
      <w:pPr>
        <w:numPr>
          <w:ilvl w:val="0"/>
          <w:numId w:val="1009"/>
        </w:numPr>
        <w:pStyle w:val="Compact"/>
      </w:pPr>
      <w:r>
        <w:t xml:space="preserve">30-day advance notice of material decisions</w:t>
      </w:r>
    </w:p>
    <w:bookmarkEnd w:id="57"/>
    <w:bookmarkStart w:id="58" w:name="anti-dilution"/>
    <w:p>
      <w:pPr>
        <w:pStyle w:val="Heading3"/>
      </w:pPr>
      <w:r>
        <w:t xml:space="preserve">11.3 Anti-Dilution</w:t>
      </w:r>
    </w:p>
    <w:p>
      <w:pPr>
        <w:numPr>
          <w:ilvl w:val="0"/>
          <w:numId w:val="1010"/>
        </w:numPr>
        <w:pStyle w:val="Compact"/>
      </w:pPr>
      <w:r>
        <w:t xml:space="preserve">Pro-rata participation rights in future rounds</w:t>
      </w:r>
    </w:p>
    <w:p>
      <w:pPr>
        <w:numPr>
          <w:ilvl w:val="0"/>
          <w:numId w:val="1010"/>
        </w:numPr>
        <w:pStyle w:val="Compact"/>
      </w:pPr>
      <w:r>
        <w:t xml:space="preserve">Right of first refusal on Strategic Reserve issuance</w:t>
      </w:r>
    </w:p>
    <w:p>
      <w:pPr>
        <w:numPr>
          <w:ilvl w:val="0"/>
          <w:numId w:val="1010"/>
        </w:numPr>
        <w:pStyle w:val="Compact"/>
      </w:pPr>
      <w:r>
        <w:t xml:space="preserve">Tag-along rights (if Founder sells &gt;20% of his shares)</w:t>
      </w:r>
    </w:p>
    <w:p>
      <w:pPr>
        <w:numPr>
          <w:ilvl w:val="0"/>
          <w:numId w:val="1010"/>
        </w:numPr>
        <w:pStyle w:val="Compact"/>
      </w:pPr>
      <w:r>
        <w:t xml:space="preserve">Drag-along rights (if &gt;75% of shareholders approve a sale)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esop-pool"/>
    <w:p>
      <w:pPr>
        <w:pStyle w:val="Heading2"/>
      </w:pPr>
      <w:r>
        <w:t xml:space="preserve">12. ESOP Pool</w:t>
      </w:r>
    </w:p>
    <w:bookmarkStart w:id="60" w:name="overview"/>
    <w:p>
      <w:pPr>
        <w:pStyle w:val="Heading3"/>
      </w:pPr>
      <w:r>
        <w:t xml:space="preserve">12.1 Overview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Pool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1,000,000 shares (10% of total)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A (1 vote per share)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vesting, 2-year cliff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Administered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of Directors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First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 (1-3% from pool)</w:t>
            </w:r>
          </w:p>
        </w:tc>
      </w:tr>
    </w:tbl>
    <w:bookmarkEnd w:id="60"/>
    <w:bookmarkStart w:id="61" w:name="vesting-schedule"/>
    <w:p>
      <w:pPr>
        <w:pStyle w:val="Heading3"/>
      </w:pPr>
      <w:r>
        <w:t xml:space="preserve">12.2 Vesting Schedule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Vested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of 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(cliff period)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of Year 2 (cliff)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of Year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of Year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of Year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Rules: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2-year cliff:</w:t>
      </w:r>
      <w:r>
        <w:t xml:space="preserve"> </w:t>
      </w:r>
      <w:r>
        <w:t xml:space="preserve">No shares vest before Month 24. If an employee leaves before completing 2 years, 100% of shares return to the pool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Company buyback right:</w:t>
      </w:r>
      <w:r>
        <w:t xml:space="preserve"> </w:t>
      </w:r>
      <w:r>
        <w:t xml:space="preserve">The Company has the Right of First Refusal to purchase vested shares at Fair Market Value if the holder wishes to sell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Pool return:</w:t>
      </w:r>
      <w:r>
        <w:t xml:space="preserve"> </w:t>
      </w:r>
      <w:r>
        <w:t xml:space="preserve">Any unvested shares from departing employees automatically return to the ESOP Pool for re-granting</w:t>
      </w:r>
      <w:r>
        <w:t xml:space="preserve"> </w:t>
      </w:r>
      <w:r>
        <w:t xml:space="preserve">- See full ESOP Policy document:</w:t>
      </w:r>
      <w:r>
        <w:t xml:space="preserve"> </w:t>
      </w:r>
      <w:r>
        <w:rPr>
          <w:rStyle w:val="VerbatimChar"/>
        </w:rPr>
        <w:t xml:space="preserve">PECH_ESOP_POLICY_AND_PLAN.md</w:t>
      </w:r>
    </w:p>
    <w:bookmarkEnd w:id="61"/>
    <w:bookmarkStart w:id="62" w:name="eligible-roles"/>
    <w:p>
      <w:pPr>
        <w:pStyle w:val="Heading3"/>
      </w:pPr>
      <w:r>
        <w:t xml:space="preserve">12.3 Eligible Roles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Indicative 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0.5-1%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0.25-0.5% 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Early Hires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0.1-0.25% each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7" w:name="strategic-reserve"/>
    <w:p>
      <w:pPr>
        <w:pStyle w:val="Heading2"/>
      </w:pPr>
      <w:r>
        <w:t xml:space="preserve">13. Strategic Reserve</w:t>
      </w:r>
    </w:p>
    <w:bookmarkStart w:id="64" w:name="overview-1"/>
    <w:p>
      <w:pPr>
        <w:pStyle w:val="Heading3"/>
      </w:pPr>
      <w:r>
        <w:t xml:space="preserve">13.1 Overview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Pool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1,000,000 shares (10% of total)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A (1 vote per share)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investors, strategic sector partners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resolution required</w:t>
            </w:r>
          </w:p>
        </w:tc>
      </w:tr>
    </w:tbl>
    <w:bookmarkEnd w:id="64"/>
    <w:bookmarkStart w:id="65" w:name="use-cases"/>
    <w:p>
      <w:pPr>
        <w:pStyle w:val="Heading3"/>
      </w:pPr>
      <w:r>
        <w:t xml:space="preserve">13.2 Use Cases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External investors</w:t>
      </w:r>
      <w:r>
        <w:t xml:space="preserve"> </w:t>
      </w:r>
      <w:r>
        <w:t xml:space="preserve">— when additional capital is needed beyond Ndu’s funding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Strategic sector partners</w:t>
      </w:r>
      <w:r>
        <w:t xml:space="preserve"> </w:t>
      </w:r>
      <w:r>
        <w:t xml:space="preserve">— equity participation for partners in specific verticals (e.g., a fintech partner getting equity in exchange for license/infrastructure access)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Acquisition currency</w:t>
      </w:r>
      <w:r>
        <w:t xml:space="preserve"> </w:t>
      </w:r>
      <w:r>
        <w:t xml:space="preserve">— shares used to acquire complementary businesses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Future funding rounds</w:t>
      </w:r>
      <w:r>
        <w:t xml:space="preserve"> </w:t>
      </w:r>
      <w:r>
        <w:t xml:space="preserve">— Series A, Series B participation</w:t>
      </w:r>
    </w:p>
    <w:bookmarkEnd w:id="65"/>
    <w:bookmarkStart w:id="66" w:name="governance"/>
    <w:p>
      <w:pPr>
        <w:pStyle w:val="Heading3"/>
      </w:pPr>
      <w:r>
        <w:t xml:space="preserve">13.3 Governance</w:t>
      </w:r>
    </w:p>
    <w:p>
      <w:pPr>
        <w:numPr>
          <w:ilvl w:val="0"/>
          <w:numId w:val="1012"/>
        </w:numPr>
        <w:pStyle w:val="Compact"/>
      </w:pPr>
      <w:r>
        <w:t xml:space="preserve">Any issuance from Strategic Reserve requires</w:t>
      </w:r>
      <w:r>
        <w:t xml:space="preserve"> </w:t>
      </w:r>
      <w:r>
        <w:rPr>
          <w:bCs/>
          <w:b/>
        </w:rPr>
        <w:t xml:space="preserve">Board approval</w:t>
      </w:r>
    </w:p>
    <w:p>
      <w:pPr>
        <w:numPr>
          <w:ilvl w:val="0"/>
          <w:numId w:val="1012"/>
        </w:numPr>
        <w:pStyle w:val="Compact"/>
      </w:pPr>
      <w:r>
        <w:t xml:space="preserve">Existing shareholders have</w:t>
      </w:r>
      <w:r>
        <w:t xml:space="preserve"> </w:t>
      </w:r>
      <w:r>
        <w:rPr>
          <w:bCs/>
          <w:b/>
        </w:rPr>
        <w:t xml:space="preserve">pro-rata pre-emption rights</w:t>
      </w:r>
    </w:p>
    <w:p>
      <w:pPr>
        <w:numPr>
          <w:ilvl w:val="0"/>
          <w:numId w:val="1012"/>
        </w:numPr>
        <w:pStyle w:val="Compact"/>
      </w:pPr>
      <w:r>
        <w:t xml:space="preserve">Only</w:t>
      </w:r>
      <w:r>
        <w:t xml:space="preserve"> </w:t>
      </w:r>
      <w:r>
        <w:rPr>
          <w:bCs/>
          <w:b/>
        </w:rPr>
        <w:t xml:space="preserve">Class A shares</w:t>
      </w:r>
      <w:r>
        <w:t xml:space="preserve"> </w:t>
      </w:r>
      <w:r>
        <w:t xml:space="preserve">may be issued (no new Class B)</w:t>
      </w:r>
    </w:p>
    <w:p>
      <w:pPr>
        <w:numPr>
          <w:ilvl w:val="0"/>
          <w:numId w:val="1012"/>
        </w:numPr>
        <w:pStyle w:val="Compact"/>
      </w:pPr>
      <w:r>
        <w:t xml:space="preserve">Minimum issuance: 50,000 shares (0.5%)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transfer-restrictions-pre-emption"/>
    <w:p>
      <w:pPr>
        <w:pStyle w:val="Heading2"/>
      </w:pPr>
      <w:r>
        <w:t xml:space="preserve">14. Transfer Restrictions &amp; Pre-Emption</w:t>
      </w:r>
    </w:p>
    <w:bookmarkStart w:id="68" w:name="lock-up-period"/>
    <w:p>
      <w:pPr>
        <w:pStyle w:val="Heading3"/>
      </w:pPr>
      <w:r>
        <w:t xml:space="preserve">14.1 Lock-Up Period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Both Founders:</w:t>
      </w:r>
      <w:r>
        <w:t xml:space="preserve"> </w:t>
      </w:r>
      <w:r>
        <w:t xml:space="preserve">24-month lock-up from incorporation (no transfers)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ESOP holders:</w:t>
      </w:r>
      <w:r>
        <w:t xml:space="preserve"> </w:t>
      </w:r>
      <w:r>
        <w:t xml:space="preserve">Subject to vesting schedule + 6-month post-vesting hold</w:t>
      </w:r>
    </w:p>
    <w:bookmarkEnd w:id="68"/>
    <w:bookmarkStart w:id="69" w:name="pre-emption-rights"/>
    <w:p>
      <w:pPr>
        <w:pStyle w:val="Heading3"/>
      </w:pPr>
      <w:r>
        <w:t xml:space="preserve">14.2 Pre-Emption Rights</w:t>
      </w:r>
    </w:p>
    <w:p>
      <w:pPr>
        <w:pStyle w:val="FirstParagraph"/>
      </w:pPr>
      <w:r>
        <w:t xml:space="preserve">Any shareholder wishing to sell must:</w:t>
      </w:r>
    </w:p>
    <w:p>
      <w:pPr>
        <w:numPr>
          <w:ilvl w:val="0"/>
          <w:numId w:val="1014"/>
        </w:numPr>
        <w:pStyle w:val="Compact"/>
      </w:pPr>
      <w:r>
        <w:t xml:space="preserve">Offer shares to existing shareholders first (pro-rata)</w:t>
      </w:r>
    </w:p>
    <w:p>
      <w:pPr>
        <w:numPr>
          <w:ilvl w:val="0"/>
          <w:numId w:val="1014"/>
        </w:numPr>
        <w:pStyle w:val="Compact"/>
      </w:pPr>
      <w:r>
        <w:t xml:space="preserve">Allow 30 business days for acceptance</w:t>
      </w:r>
    </w:p>
    <w:p>
      <w:pPr>
        <w:numPr>
          <w:ilvl w:val="0"/>
          <w:numId w:val="1014"/>
        </w:numPr>
        <w:pStyle w:val="Compact"/>
      </w:pPr>
      <w:r>
        <w:t xml:space="preserve">If not fully subscribed, offer to the Company</w:t>
      </w:r>
    </w:p>
    <w:p>
      <w:pPr>
        <w:numPr>
          <w:ilvl w:val="0"/>
          <w:numId w:val="1014"/>
        </w:numPr>
        <w:pStyle w:val="Compact"/>
      </w:pPr>
      <w:r>
        <w:t xml:space="preserve">Only then may sell to third parties (at same or higher price)</w:t>
      </w:r>
    </w:p>
    <w:bookmarkEnd w:id="69"/>
    <w:bookmarkStart w:id="70" w:name="class-b-transfer-restriction"/>
    <w:p>
      <w:pPr>
        <w:pStyle w:val="Heading3"/>
      </w:pPr>
      <w:r>
        <w:t xml:space="preserve">14.3 Class B Transfer Restriction</w:t>
      </w:r>
    </w:p>
    <w:p>
      <w:pPr>
        <w:pStyle w:val="FirstParagraph"/>
      </w:pPr>
      <w:r>
        <w:rPr>
          <w:bCs/>
          <w:b/>
        </w:rPr>
        <w:t xml:space="preserve">Class B shares automatically convert to Class A upon any transfer</w:t>
      </w:r>
      <w:r>
        <w:t xml:space="preserve"> </w:t>
      </w:r>
      <w:r>
        <w:t xml:space="preserve">(except to a Founder-controlled trust or estate planning vehicle). This ensures super-voting power cannot be sold or transferred to third parties.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deadlock-dispute-resolution"/>
    <w:p>
      <w:pPr>
        <w:pStyle w:val="Heading2"/>
      </w:pPr>
      <w:r>
        <w:t xml:space="preserve">15. Deadlock &amp; Dispute Resolution</w:t>
      </w:r>
    </w:p>
    <w:bookmarkStart w:id="72" w:name="escalation-process"/>
    <w:p>
      <w:pPr>
        <w:pStyle w:val="Heading3"/>
      </w:pPr>
      <w:r>
        <w:t xml:space="preserve">15.1 Escalation Process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Good faith negotiation</w:t>
      </w:r>
      <w:r>
        <w:t xml:space="preserve"> </w:t>
      </w:r>
      <w:r>
        <w:t xml:space="preserve">between the parties (14 days)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Mediation</w:t>
      </w:r>
      <w:r>
        <w:t xml:space="preserve"> </w:t>
      </w:r>
      <w:r>
        <w:t xml:space="preserve">through Lagos Multi-Door Courthouse (30 days)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Arbitration</w:t>
      </w:r>
      <w:r>
        <w:t xml:space="preserve"> </w:t>
      </w:r>
      <w:r>
        <w:t xml:space="preserve">under the Arbitration and Mediation Act 2023, seated in Lagos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Court proceedings</w:t>
      </w:r>
      <w:r>
        <w:t xml:space="preserve"> </w:t>
      </w:r>
      <w:r>
        <w:t xml:space="preserve">only if arbitration fails (Federal High Court, Lagos Division)</w:t>
      </w:r>
    </w:p>
    <w:bookmarkEnd w:id="72"/>
    <w:bookmarkStart w:id="73" w:name="deadlock-resolution"/>
    <w:p>
      <w:pPr>
        <w:pStyle w:val="Heading3"/>
      </w:pPr>
      <w:r>
        <w:t xml:space="preserve">15.2 Deadlock Resolution</w:t>
      </w:r>
    </w:p>
    <w:p>
      <w:pPr>
        <w:pStyle w:val="FirstParagraph"/>
      </w:pPr>
      <w:r>
        <w:t xml:space="preserve">In the event of a board deadlock:</w:t>
      </w:r>
      <w:r>
        <w:t xml:space="preserve"> </w:t>
      </w:r>
      <w:r>
        <w:t xml:space="preserve">- The Founder’s vote shall be the casting vote (due to Class B voting control)</w:t>
      </w:r>
      <w:r>
        <w:t xml:space="preserve"> </w:t>
      </w:r>
      <w:r>
        <w:t xml:space="preserve">- For matters requiring Ndu’s protective consent (Section 11.1), deadlock triggers mediation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protective-provisions-veto-rights"/>
    <w:p>
      <w:pPr>
        <w:pStyle w:val="Heading2"/>
      </w:pPr>
      <w:r>
        <w:t xml:space="preserve">16. Protective Provisions (Veto Rights)</w:t>
      </w:r>
    </w:p>
    <w:bookmarkStart w:id="75" w:name="X94ac064c5687de2360ad5716bcc58b3504ee086"/>
    <w:p>
      <w:pPr>
        <w:pStyle w:val="Heading3"/>
      </w:pPr>
      <w:r>
        <w:t xml:space="preserve">16.1 Matters Requiring Unanimous Shareholder Consent</w:t>
      </w:r>
    </w:p>
    <w:p>
      <w:pPr>
        <w:pStyle w:val="FirstParagraph"/>
      </w:pPr>
      <w:r>
        <w:t xml:space="preserve">The following matters require consent of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the Founder and Ndu (regardless of voting power):</w:t>
      </w:r>
    </w:p>
    <w:p>
      <w:pPr>
        <w:numPr>
          <w:ilvl w:val="0"/>
          <w:numId w:val="1016"/>
        </w:numPr>
        <w:pStyle w:val="Compact"/>
      </w:pPr>
      <w:r>
        <w:t xml:space="preserve">Amendment to the Articles of Association affecting share class rights</w:t>
      </w:r>
    </w:p>
    <w:p>
      <w:pPr>
        <w:numPr>
          <w:ilvl w:val="0"/>
          <w:numId w:val="1016"/>
        </w:numPr>
        <w:pStyle w:val="Compact"/>
      </w:pPr>
      <w:r>
        <w:t xml:space="preserve">Issuance of any new Class B shares</w:t>
      </w:r>
    </w:p>
    <w:p>
      <w:pPr>
        <w:numPr>
          <w:ilvl w:val="0"/>
          <w:numId w:val="1016"/>
        </w:numPr>
        <w:pStyle w:val="Compact"/>
      </w:pPr>
      <w:r>
        <w:t xml:space="preserve">Voluntary dissolution of the Company</w:t>
      </w:r>
    </w:p>
    <w:p>
      <w:pPr>
        <w:numPr>
          <w:ilvl w:val="0"/>
          <w:numId w:val="1016"/>
        </w:numPr>
        <w:pStyle w:val="Compact"/>
      </w:pPr>
      <w:r>
        <w:t xml:space="preserve">Sale of substantially all Company assets</w:t>
      </w:r>
    </w:p>
    <w:p>
      <w:pPr>
        <w:numPr>
          <w:ilvl w:val="0"/>
          <w:numId w:val="1016"/>
        </w:numPr>
        <w:pStyle w:val="Compact"/>
      </w:pPr>
      <w:r>
        <w:t xml:space="preserve">Merger or acquisition where shareholders receive less than 2× their investment</w:t>
      </w:r>
    </w:p>
    <w:p>
      <w:pPr>
        <w:numPr>
          <w:ilvl w:val="0"/>
          <w:numId w:val="1016"/>
        </w:numPr>
        <w:pStyle w:val="Compact"/>
      </w:pPr>
      <w:r>
        <w:t xml:space="preserve">Change in the Company’s primary line of business</w:t>
      </w:r>
    </w:p>
    <w:p>
      <w:pPr>
        <w:numPr>
          <w:ilvl w:val="0"/>
          <w:numId w:val="1016"/>
        </w:numPr>
        <w:pStyle w:val="Compact"/>
      </w:pPr>
      <w:r>
        <w:t xml:space="preserve">Related-party transactions exceeding ₦5,000,000</w:t>
      </w:r>
    </w:p>
    <w:bookmarkEnd w:id="75"/>
    <w:bookmarkStart w:id="76" w:name="X3252afc11d7a4916c65892cfabea00a9cc2eaeb"/>
    <w:p>
      <w:pPr>
        <w:pStyle w:val="Heading3"/>
      </w:pPr>
      <w:r>
        <w:t xml:space="preserve">16.2 Matters Requiring Board Supermajority (≥4 of 5 Directors)</w:t>
      </w:r>
    </w:p>
    <w:p>
      <w:pPr>
        <w:numPr>
          <w:ilvl w:val="0"/>
          <w:numId w:val="1017"/>
        </w:numPr>
        <w:pStyle w:val="Compact"/>
      </w:pPr>
      <w:r>
        <w:t xml:space="preserve">Annual budget approval</w:t>
      </w:r>
    </w:p>
    <w:p>
      <w:pPr>
        <w:numPr>
          <w:ilvl w:val="0"/>
          <w:numId w:val="1017"/>
        </w:numPr>
        <w:pStyle w:val="Compact"/>
      </w:pPr>
      <w:r>
        <w:t xml:space="preserve">Capital expenditure exceeding ₦25,000,000</w:t>
      </w:r>
    </w:p>
    <w:p>
      <w:pPr>
        <w:numPr>
          <w:ilvl w:val="0"/>
          <w:numId w:val="1017"/>
        </w:numPr>
        <w:pStyle w:val="Compact"/>
      </w:pPr>
      <w:r>
        <w:t xml:space="preserve">Entry into new geographic markets</w:t>
      </w:r>
    </w:p>
    <w:p>
      <w:pPr>
        <w:numPr>
          <w:ilvl w:val="0"/>
          <w:numId w:val="1017"/>
        </w:numPr>
        <w:pStyle w:val="Compact"/>
      </w:pPr>
      <w:r>
        <w:t xml:space="preserve">Hiring of C-level executives</w:t>
      </w:r>
    </w:p>
    <w:p>
      <w:pPr>
        <w:numPr>
          <w:ilvl w:val="0"/>
          <w:numId w:val="1017"/>
        </w:numPr>
        <w:pStyle w:val="Compact"/>
      </w:pPr>
      <w:r>
        <w:t xml:space="preserve">Material changes to compensation structure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exit-liquidity-events"/>
    <w:p>
      <w:pPr>
        <w:pStyle w:val="Heading2"/>
      </w:pPr>
      <w:r>
        <w:t xml:space="preserve">17. Exit &amp; Liquidity Events</w:t>
      </w:r>
    </w:p>
    <w:bookmarkStart w:id="78" w:name="drag-along-rights"/>
    <w:p>
      <w:pPr>
        <w:pStyle w:val="Heading3"/>
      </w:pPr>
      <w:r>
        <w:t xml:space="preserve">17.1 Drag-Along Rights</w:t>
      </w:r>
    </w:p>
    <w:p>
      <w:pPr>
        <w:pStyle w:val="FirstParagraph"/>
      </w:pPr>
      <w:r>
        <w:t xml:space="preserve">If shareholders holding ≥75% of votes approve a sale, all other shareholders must participate on the same terms.</w:t>
      </w:r>
    </w:p>
    <w:bookmarkEnd w:id="78"/>
    <w:bookmarkStart w:id="79" w:name="tag-along-rights"/>
    <w:p>
      <w:pPr>
        <w:pStyle w:val="Heading3"/>
      </w:pPr>
      <w:r>
        <w:t xml:space="preserve">17.2 Tag-Along Rights</w:t>
      </w:r>
    </w:p>
    <w:p>
      <w:pPr>
        <w:pStyle w:val="FirstParagraph"/>
      </w:pPr>
      <w:r>
        <w:t xml:space="preserve">If the Founder sells ≥20% of his shares, Ndu has the right to sell a proportional amount on the same terms.</w:t>
      </w:r>
    </w:p>
    <w:bookmarkEnd w:id="79"/>
    <w:bookmarkStart w:id="80" w:name="ipo-provisions"/>
    <w:p>
      <w:pPr>
        <w:pStyle w:val="Heading3"/>
      </w:pPr>
      <w:r>
        <w:t xml:space="preserve">17.3 IPO Provisions</w:t>
      </w:r>
    </w:p>
    <w:p>
      <w:pPr>
        <w:numPr>
          <w:ilvl w:val="0"/>
          <w:numId w:val="1018"/>
        </w:numPr>
        <w:pStyle w:val="Compact"/>
      </w:pPr>
      <w:r>
        <w:t xml:space="preserve">Class B shares may convert to Class A (per exchange requirements)</w:t>
      </w:r>
    </w:p>
    <w:p>
      <w:pPr>
        <w:numPr>
          <w:ilvl w:val="0"/>
          <w:numId w:val="1018"/>
        </w:numPr>
        <w:pStyle w:val="Compact"/>
      </w:pPr>
      <w:r>
        <w:t xml:space="preserve">180-day post-IPO lock-up for all founding shareholders</w:t>
      </w:r>
    </w:p>
    <w:p>
      <w:pPr>
        <w:numPr>
          <w:ilvl w:val="0"/>
          <w:numId w:val="1018"/>
        </w:numPr>
        <w:pStyle w:val="Compact"/>
      </w:pPr>
      <w:r>
        <w:t xml:space="preserve">Registration rights for Ndu’s shares</w:t>
      </w:r>
    </w:p>
    <w:bookmarkEnd w:id="80"/>
    <w:bookmarkStart w:id="81" w:name="buy-sell-shotgun-clause"/>
    <w:p>
      <w:pPr>
        <w:pStyle w:val="Heading3"/>
      </w:pPr>
      <w:r>
        <w:t xml:space="preserve">17.4 Buy-Sell (Shotgun) Clause</w:t>
      </w:r>
    </w:p>
    <w:p>
      <w:pPr>
        <w:pStyle w:val="FirstParagraph"/>
      </w:pPr>
      <w:r>
        <w:t xml:space="preserve">Either founding shareholder may trigger a buy-sell:</w:t>
      </w:r>
      <w:r>
        <w:t xml:space="preserve"> </w:t>
      </w:r>
      <w:r>
        <w:t xml:space="preserve">1. Offering party names a price per share</w:t>
      </w:r>
      <w:r>
        <w:t xml:space="preserve"> </w:t>
      </w:r>
      <w:r>
        <w:t xml:space="preserve">2. Receiving party must either buy at that price or sell at that price</w:t>
      </w:r>
      <w:r>
        <w:t xml:space="preserve"> </w:t>
      </w:r>
      <w:r>
        <w:t xml:space="preserve">3. 60 days to complete the transaction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4" w:name="cama-2020-compliance-notes"/>
    <w:p>
      <w:pPr>
        <w:pStyle w:val="Heading2"/>
      </w:pPr>
      <w:r>
        <w:t xml:space="preserve">18. CAMA 2020 Compliance Notes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17"/>
        <w:gridCol w:w="1980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Dual-class shares permitted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CAMA 2020, Section 142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Articles must specify share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in Memorandum &amp; Articles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2 shareholders for private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founding shareholders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returns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 annual 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Audited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Year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NDPA 2023 data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compliance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CBN licensing for payment subsidiaries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PSSP/PTSP via subsidiaries</w:t>
            </w:r>
          </w:p>
        </w:tc>
      </w:tr>
    </w:tbl>
    <w:bookmarkStart w:id="83" w:name="documents-required-for-incorporation"/>
    <w:p>
      <w:pPr>
        <w:pStyle w:val="Heading3"/>
      </w:pPr>
      <w:r>
        <w:t xml:space="preserve">18.1 Documents Required for Incorporation</w:t>
      </w:r>
    </w:p>
    <w:p>
      <w:pPr>
        <w:numPr>
          <w:ilvl w:val="0"/>
          <w:numId w:val="1019"/>
        </w:numPr>
        <w:pStyle w:val="Compact"/>
      </w:pPr>
      <w:r>
        <w:t xml:space="preserve">Memorandum of Association (with dual-class share provisions)</w:t>
      </w:r>
    </w:p>
    <w:p>
      <w:pPr>
        <w:numPr>
          <w:ilvl w:val="0"/>
          <w:numId w:val="1019"/>
        </w:numPr>
        <w:pStyle w:val="Compact"/>
      </w:pPr>
      <w:r>
        <w:t xml:space="preserve">Articles of Association (detailed Class A / Class B rights)</w:t>
      </w:r>
    </w:p>
    <w:p>
      <w:pPr>
        <w:numPr>
          <w:ilvl w:val="0"/>
          <w:numId w:val="1019"/>
        </w:numPr>
        <w:pStyle w:val="Compact"/>
      </w:pPr>
      <w:r>
        <w:t xml:space="preserve">CAC Form CAC 1.1 (Application for Registration)</w:t>
      </w:r>
    </w:p>
    <w:p>
      <w:pPr>
        <w:numPr>
          <w:ilvl w:val="0"/>
          <w:numId w:val="1019"/>
        </w:numPr>
        <w:pStyle w:val="Compact"/>
      </w:pPr>
      <w:r>
        <w:t xml:space="preserve">Statement of compliance</w:t>
      </w:r>
    </w:p>
    <w:p>
      <w:pPr>
        <w:numPr>
          <w:ilvl w:val="0"/>
          <w:numId w:val="1019"/>
        </w:numPr>
        <w:pStyle w:val="Compact"/>
      </w:pPr>
      <w:r>
        <w:t xml:space="preserve">Shareholders agreement (this document, formalized by lawyer)</w:t>
      </w:r>
    </w:p>
    <w:p>
      <w:pPr>
        <w:numPr>
          <w:ilvl w:val="0"/>
          <w:numId w:val="1019"/>
        </w:numPr>
        <w:pStyle w:val="Compact"/>
      </w:pPr>
      <w:r>
        <w:t xml:space="preserve">Board resolutions for initial share allotment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execution"/>
    <w:p>
      <w:pPr>
        <w:pStyle w:val="Heading2"/>
      </w:pPr>
      <w:r>
        <w:t xml:space="preserve">19. Execution</w:t>
      </w:r>
    </w:p>
    <w:p>
      <w:pPr>
        <w:pStyle w:val="FirstParagraph"/>
      </w:pPr>
      <w:r>
        <w:t xml:space="preserve">This document is a</w:t>
      </w:r>
      <w:r>
        <w:t xml:space="preserve"> </w:t>
      </w:r>
      <w:r>
        <w:rPr>
          <w:bCs/>
          <w:b/>
        </w:rPr>
        <w:t xml:space="preserve">DRAFT</w:t>
      </w:r>
      <w:r>
        <w:t xml:space="preserve"> </w:t>
      </w:r>
      <w:r>
        <w:t xml:space="preserve">for review by legal counsel. It captures the agreed commercial terms between the parties and will be formalized into: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Memorandum &amp; Articles of Association</w:t>
      </w:r>
      <w:r>
        <w:t xml:space="preserve"> </w:t>
      </w:r>
      <w:r>
        <w:t xml:space="preserve">— filed with CAC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Shareholders Agreement</w:t>
      </w:r>
      <w:r>
        <w:t xml:space="preserve"> </w:t>
      </w:r>
      <w:r>
        <w:t xml:space="preserve">— private contract between shareholders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Board Resolutions</w:t>
      </w:r>
      <w:r>
        <w:t xml:space="preserve"> </w:t>
      </w:r>
      <w:r>
        <w:t xml:space="preserve">— for initial share allotment and officer appointments</w:t>
      </w:r>
    </w:p>
    <w:bookmarkStart w:id="85" w:name="X0e284d1a055745939aa5458aa8007fac5aaec13"/>
    <w:p>
      <w:pPr>
        <w:pStyle w:val="Heading3"/>
      </w:pPr>
      <w:r>
        <w:t xml:space="preserve">Signatures (To Be Completed After Legal Review)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48"/>
        <w:gridCol w:w="1584"/>
        <w:gridCol w:w="290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Founder &amp; 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Chukwunwike Peter Ndibe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Co-Founder &amp; Advisory Board Chairman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Ndu Jerry Chijioke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____/____/2026</w:t>
            </w:r>
          </w:p>
        </w:tc>
      </w:tr>
    </w:tbl>
    <w:bookmarkEnd w:id="85"/>
    <w:bookmarkStart w:id="86" w:name="witness"/>
    <w:p>
      <w:pPr>
        <w:pStyle w:val="Heading3"/>
      </w:pPr>
      <w:r>
        <w:t xml:space="preserve">Witness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48"/>
        <w:gridCol w:w="1584"/>
        <w:gridCol w:w="290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Witness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Witness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____/____/2026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was prepared as a commercial terms summary. It should be reviewed and formalized by a qualified Nigerian corporate lawyer before execution. PECH Group Holdings Ltd recommends engaging a law firm experienced in CAMA 2020 company formations with dual-class share structures.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PECH Group Holdings Ltd</w:t>
      </w:r>
      <w:r>
        <w:t xml:space="preserve"> </w:t>
      </w:r>
      <w:r>
        <w:t xml:space="preserve">Lagos, Nigeria</w:t>
      </w:r>
      <w:r>
        <w:t xml:space="preserve"> </w:t>
      </w:r>
      <w:r>
        <w:rPr>
          <w:iCs/>
          <w:i/>
        </w:rPr>
        <w:t xml:space="preserve">Technology and infrastructure enablers for people</w:t>
      </w:r>
    </w:p>
    <w:bookmarkEnd w:id="86"/>
    <w:bookmarkEnd w:id="87"/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2026-03-14T05:03:54Z</dcterms:created>
  <dcterms:modified xsi:type="dcterms:W3CDTF">2026-03-14T05:03:54Z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