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29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stock-material-requisition-form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STOCK / MATERIAL REQUISITION FORM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quisition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REQUISITION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Requisition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SRF-________-________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Required: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Priority: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Urgent [ ] Normal [ ] 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requester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REQUESTER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Requested By (Name):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ID: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Position/Designation: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Project/Job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Cost Center / Budget Code: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Approved Budget Amount (₦):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tems-request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ITEMS REQUESTED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Code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Required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Issued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Remarks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purpose-justific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PURPOSE / JUSTIFICATION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store-remark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STORE REMARKS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Items Available in Stock: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— All items [ ] Partial [ ] No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Alternative Items Offered: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Expected Restock Date (if unavailable):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Store Remarks: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authorization-and-approv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AUTHORIZATION AND APPROVAL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 Head (Approved):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Store Manager (Issued By):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Received By (Requester):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NOTE:</w:t>
      </w:r>
      <w:r>
        <w:t xml:space="preserve"> </w:t>
      </w:r>
      <w:r>
        <w:t xml:space="preserve">All stock requisitions must be approved by the relevant Department Head before materials can be issued. Approval authority thresholds: Department Head up to ₦200,000; Finance Department required for items above ₦200,000; MD/CEO approval required above ₦500,000. This form must be submitted to the Store at least forty-eight (48) hours before the required date, except in cases of emergency. For urgent requests, provide written justification and obtain verbal approval from the Department Head before submission.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8"/>
    <w:bookmarkEnd w:id="29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2026-03-10T12:17:40Z</dcterms:created>
  <dcterms:modified xsi:type="dcterms:W3CDTF">2026-03-10T12:17:40Z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