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top w:val="single" w:sz="12" w:space="1" w:color="00BFFF"/>
          <w:bottom w:val="single" w:sz="36" w:space="0" w:color="F5A623"/>
        </w:pBdr>
        <w:spacing w:before="0" w:after="240"/>
      </w:pPr>
    </w:p>
    <w:p>
      <w:pPr>
        <w:jc w:val="center"/>
        <w:spacing w:before="120" w:after="120"/>
      </w:pPr>
      <w:r>
        <w:rPr>
          <w:b/>
          <w:color w:val="0099CC"/>
          <w:sz w:val="32"/>
          <w:szCs w:val="32"/>
        </w:rPr>
        <w:t>Commission Marketer Agreement</w:t>
      </w:r>
    </w:p>
    <w:p>
      <w:pPr>
        <w:pBdr>
          <w:bottom w:val="single" w:sz="6" w:space="1" w:color="00BFFF"/>
        </w:pBdr>
        <w:spacing w:before="0" w:after="120"/>
      </w:pPr>
    </w:p>
    <w:p>
      <w:pPr>
        <w:jc w:val="center"/>
        <w:spacing w:before="0" w:after="60"/>
      </w:pPr>
      <w:r>
        <w:rPr>
          <w:i/>
          <w:color w:val="E08A00"/>
          <w:sz w:val="18"/>
          <w:szCs w:val="18"/>
        </w:rPr>
        <w:t>Technology &amp; Infrastructure Enablers for Africa</w:t>
      </w:r>
    </w:p>
    <w:p>
      <w:pPr>
        <w:jc w:val="center"/>
        <w:spacing w:before="200" w:after="40"/>
      </w:pPr>
      <w:r>
        <w:rPr>
          <w:b/>
          <w:color w:val="0099CC"/>
          <w:sz w:val="28"/>
          <w:szCs w:val="28"/>
        </w:rPr>
        <w:t>PECH GROUP HOLDINGS LTD</w:t>
      </w:r>
    </w:p>
    <w:p>
      <w:pPr>
        <w:pBdr>
          <w:top w:val="single" w:sz="36" w:space="0" w:color="F5A623"/>
          <w:bottom w:val="single" w:sz="12" w:space="1" w:color="00BFFF"/>
        </w:pBdr>
        <w:spacing w:after="0"/>
      </w:pPr>
    </w:p>
    <w:p>
      <w:r>
        <w:rPr>
          <w:b/>
          <w:color w:val="E08A00"/>
          <w:sz w:val="22"/>
        </w:rPr>
        <w:t>COMMISSION MARKETER AGREEMENT TRACKER</w:t>
      </w:r>
    </w:p>
    <w:p>
      <w:r>
        <w:rPr>
          <w:b/>
          <w:color w:val="E08A00"/>
          <w:sz w:val="22"/>
        </w:rPr>
        <w:t>COMMISSION MARKETER REGISTER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D4E8"/>
          <w:left w:val="single" w:sz="4" w:space="0" w:color="B0D4E8"/>
          <w:bottom w:val="single" w:sz="4" w:space="0" w:color="B0D4E8"/>
          <w:right w:val="single" w:sz="4" w:space="0" w:color="B0D4E8"/>
          <w:insideH w:val="single" w:sz="4" w:space="0" w:color="B0D4E8"/>
          <w:insideV w:val="single" w:sz="4" w:space="0" w:color="B0D4E8"/>
        </w:tblBorders>
      </w:tblPr>
      <w:tblGrid>
        <w:gridCol w:w="753"/>
        <w:gridCol w:w="753"/>
        <w:gridCol w:w="753"/>
        <w:gridCol w:w="753"/>
        <w:gridCol w:w="753"/>
        <w:gridCol w:w="753"/>
        <w:gridCol w:w="753"/>
        <w:gridCol w:w="753"/>
        <w:gridCol w:w="753"/>
        <w:gridCol w:w="753"/>
        <w:gridCol w:w="753"/>
        <w:gridCol w:w="753"/>
        <w:gridCol w:w="753"/>
        <w:gridCol w:w="753"/>
      </w:tblGrid>
      <w:tr>
        <w:tc>
          <w:tcPr>
            <w:tcW w:type="dxa" w:w="753"/>
            <w:shd w:fill="0099CC" w:val="clear"/>
          </w:tcPr>
          <w:p>
            <w:r/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753"/>
            <w:shd w:fill="0099CC" w:val="clear"/>
          </w:tcPr>
          <w:p>
            <w:r/>
            <w:r>
              <w:rPr>
                <w:b/>
                <w:color w:val="FFFFFF"/>
                <w:sz w:val="18"/>
              </w:rPr>
              <w:t>Marketer Name</w:t>
            </w:r>
          </w:p>
        </w:tc>
        <w:tc>
          <w:tcPr>
            <w:tcW w:type="dxa" w:w="753"/>
            <w:shd w:fill="0099CC" w:val="clear"/>
          </w:tcPr>
          <w:p>
            <w:r/>
            <w:r>
              <w:rPr>
                <w:b/>
                <w:color w:val="FFFFFF"/>
                <w:sz w:val="18"/>
              </w:rPr>
              <w:t>BVN/TIN</w:t>
            </w:r>
          </w:p>
        </w:tc>
        <w:tc>
          <w:tcPr>
            <w:tcW w:type="dxa" w:w="753"/>
            <w:shd w:fill="0099CC" w:val="clear"/>
          </w:tcPr>
          <w:p>
            <w:r/>
            <w:r>
              <w:rPr>
                <w:b/>
                <w:color w:val="FFFFFF"/>
                <w:sz w:val="18"/>
              </w:rPr>
              <w:t>Start Date</w:t>
            </w:r>
          </w:p>
        </w:tc>
        <w:tc>
          <w:tcPr>
            <w:tcW w:type="dxa" w:w="753"/>
            <w:shd w:fill="0099CC" w:val="clear"/>
          </w:tcPr>
          <w:p>
            <w:r/>
            <w:r>
              <w:rPr>
                <w:b/>
                <w:color w:val="FFFFFF"/>
                <w:sz w:val="18"/>
              </w:rPr>
              <w:t>End Date</w:t>
            </w:r>
          </w:p>
        </w:tc>
        <w:tc>
          <w:tcPr>
            <w:tcW w:type="dxa" w:w="753"/>
            <w:shd w:fill="0099CC" w:val="clear"/>
          </w:tcPr>
          <w:p>
            <w:r/>
            <w:r>
              <w:rPr>
                <w:b/>
                <w:color w:val="FFFFFF"/>
                <w:sz w:val="18"/>
              </w:rPr>
              <w:t>Base Commission %</w:t>
            </w:r>
          </w:p>
        </w:tc>
        <w:tc>
          <w:tcPr>
            <w:tcW w:type="dxa" w:w="753"/>
            <w:shd w:fill="0099CC" w:val="clear"/>
          </w:tcPr>
          <w:p>
            <w:r/>
            <w:r>
              <w:rPr>
                <w:b/>
                <w:color w:val="FFFFFF"/>
                <w:sz w:val="18"/>
              </w:rPr>
              <w:t>Bonus Tier %</w:t>
            </w:r>
          </w:p>
        </w:tc>
        <w:tc>
          <w:tcPr>
            <w:tcW w:type="dxa" w:w="753"/>
            <w:shd w:fill="0099CC" w:val="clear"/>
          </w:tcPr>
          <w:p>
            <w:r/>
            <w:r>
              <w:rPr>
                <w:b/>
                <w:color w:val="FFFFFF"/>
                <w:sz w:val="18"/>
              </w:rPr>
              <w:t>Territory</w:t>
            </w:r>
          </w:p>
        </w:tc>
        <w:tc>
          <w:tcPr>
            <w:tcW w:type="dxa" w:w="753"/>
            <w:shd w:fill="0099CC" w:val="clear"/>
          </w:tcPr>
          <w:p>
            <w:r/>
            <w:r>
              <w:rPr>
                <w:b/>
                <w:color w:val="FFFFFF"/>
                <w:sz w:val="18"/>
              </w:rPr>
              <w:t>Total Sales (NGN)</w:t>
            </w:r>
          </w:p>
        </w:tc>
        <w:tc>
          <w:tcPr>
            <w:tcW w:type="dxa" w:w="753"/>
            <w:shd w:fill="0099CC" w:val="clear"/>
          </w:tcPr>
          <w:p>
            <w:r/>
            <w:r>
              <w:rPr>
                <w:b/>
                <w:color w:val="FFFFFF"/>
                <w:sz w:val="18"/>
              </w:rPr>
              <w:t>Commission Earned</w:t>
            </w:r>
          </w:p>
        </w:tc>
        <w:tc>
          <w:tcPr>
            <w:tcW w:type="dxa" w:w="753"/>
            <w:shd w:fill="0099CC" w:val="clear"/>
          </w:tcPr>
          <w:p>
            <w:r/>
            <w:r>
              <w:rPr>
                <w:b/>
                <w:color w:val="FFFFFF"/>
                <w:sz w:val="18"/>
              </w:rPr>
              <w:t>Paid to Date</w:t>
            </w:r>
          </w:p>
        </w:tc>
        <w:tc>
          <w:tcPr>
            <w:tcW w:type="dxa" w:w="753"/>
            <w:shd w:fill="0099CC" w:val="clear"/>
          </w:tcPr>
          <w:p>
            <w:r/>
            <w:r>
              <w:rPr>
                <w:b/>
                <w:color w:val="FFFFFF"/>
                <w:sz w:val="18"/>
              </w:rPr>
              <w:t>Outstanding</w:t>
            </w:r>
          </w:p>
        </w:tc>
        <w:tc>
          <w:tcPr>
            <w:tcW w:type="dxa" w:w="753"/>
            <w:shd w:fill="0099CC" w:val="clear"/>
          </w:tcPr>
          <w:p>
            <w:r/>
            <w:r>
              <w:rPr>
                <w:b/>
                <w:color w:val="FFFFFF"/>
                <w:sz w:val="18"/>
              </w:rPr>
              <w:t>Contract Ref.</w:t>
            </w:r>
          </w:p>
        </w:tc>
        <w:tc>
          <w:tcPr>
            <w:tcW w:type="dxa" w:w="753"/>
            <w:shd w:fill="0099CC" w:val="clear"/>
          </w:tcPr>
          <w:p>
            <w:r/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  <w:t>1</w:t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  <w:t>2</w:t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  <w:t>3</w:t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  <w:t>4</w:t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  <w:t>5</w:t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  <w:t>6</w:t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  <w:t>7</w:t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  <w:t>8</w:t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  <w:t>9</w:t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  <w:t>10</w:t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  <w:t>11</w:t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  <w:t>12</w:t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  <w:t>13</w:t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  <w:t>14</w:t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  <w:t>15</w:t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  <w:t>16</w:t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  <w:t>17</w:t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  <w:t>18</w:t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  <w:t>19</w:t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  <w:t>20</w:t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  <w:t>21</w:t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  <w:t>22</w:t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  <w:t>23</w:t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  <w:t>24</w:t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  <w:t>25</w:t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  <w:t>PECH Group Holdings Ltd  |  Confidential  |  pechgroupholdings.tech  |  Technology &amp; Infrastructure Enablers for People</w:t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</w:tbl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  <w:p>
      <w:pPr>
        <w:pBdr>
          <w:top w:val="single" w:sz="36" w:space="1" w:color="F5A623"/>
          <w:bottom w:val="single" w:sz="12" w:space="0" w:color="00BFFF"/>
        </w:pBdr>
        <w:spacing w:before="300" w:after="0"/>
      </w:pPr>
    </w:p>
    <w:p>
      <w:pPr>
        <w:jc w:val="center"/>
        <w:spacing w:before="60" w:after="0"/>
      </w:pPr>
      <w:r>
        <w:rPr>
          <w:color w:val="0099CC"/>
          <w:sz w:val="16"/>
          <w:szCs w:val="16"/>
        </w:rPr>
        <w:t xml:space="preserve">PECH Group Holdings Ltd  |  Lagos, Nigeria  |  pechgroupholdings.tech</w: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