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Media And Public Communications Policy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rPr>
          <w:b/>
          <w:color w:val="E08A00"/>
          <w:sz w:val="22"/>
        </w:rPr>
        <w:t>MEDIA COMMS REGISTER</w:t>
      </w:r>
    </w:p>
    <w:p>
      <w:r>
        <w:rPr>
          <w:b/>
          <w:color w:val="E08A00"/>
          <w:sz w:val="22"/>
        </w:rPr>
        <w:t>MEDIA COMMS REGISTER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Request Date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Employee Name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Department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Communication Type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Platform/Outlet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Topic/Subject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Pre-Approved Content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CEO Approval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Date Approved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Published Date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Link/Reference</w:t>
            </w:r>
          </w:p>
        </w:tc>
        <w:tc>
          <w:tcPr>
            <w:tcW w:type="dxa" w:w="811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26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27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28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29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  <w:t>30</w:t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811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