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Work Order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pPr>
        <w:pStyle w:val="Heading2"/>
      </w:pPr>
      <w:r>
        <w:rPr>
          <w:b/>
          <w:color w:val="0099CC"/>
        </w:rPr>
        <w:t>Work Order</w:t>
      </w:r>
    </w:p>
    <w:p>
      <w:r>
        <w:rPr>
          <w:b/>
          <w:color w:val="E08A00"/>
          <w:sz w:val="22"/>
        </w:rPr>
        <w:t>WORK ORDER</w:t>
      </w:r>
    </w:p>
    <w:p>
      <w:r>
        <w:rPr>
          <w:b/>
          <w:color w:val="E08A00"/>
          <w:sz w:val="22"/>
        </w:rPr>
        <w:t>WORK ORDER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WO Number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Work Type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Client/Site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Assigned Team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Start Date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Due Date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Completed Date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Cost (NGN)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Quality Score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0099CC"/>
        </w:rPr>
        <w:t>WO Form (Fillable)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0540"/>
      </w:tblGrid>
      <w:tr>
        <w:tc>
          <w:tcPr>
            <w:tcW w:type="dxa" w:w="10540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PECH GROUP HOLDINGS LTD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WORK ORDER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  |  pechgroupholdings.tech  |  Field Operations  |  CONFIDENTIAL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WORK ORDER DETAILS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REQUESTER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CLIENT / SITE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SCOPE OF WORK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SAFETY REQUIREMENTS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MATERIALS NEEDED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TEAM ASSIGNMENT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COMPLETION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