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employe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Joining: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(during leave):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eave-typ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TYPE</w:t>
      </w:r>
    </w:p>
    <w:p>
      <w:pPr>
        <w:pStyle w:val="FirstParagraph"/>
      </w:pPr>
      <w:r>
        <w:rPr>
          <w:iCs/>
          <w:i/>
        </w:rPr>
        <w:t xml:space="preserve">(Tick the applicable leave type)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Annual Leave</w:t>
      </w:r>
      <w:r>
        <w:t xml:space="preserve"> </w:t>
      </w:r>
      <w:r>
        <w:t xml:space="preserve">— Paid annual vacation entitlement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Sick Leave</w:t>
      </w:r>
      <w:r>
        <w:t xml:space="preserve"> </w:t>
      </w:r>
      <w:r>
        <w:t xml:space="preserve">— Medical leave (medical certificate required for &gt;2 days)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Compassionate Leave</w:t>
      </w:r>
      <w:r>
        <w:t xml:space="preserve"> </w:t>
      </w:r>
      <w:r>
        <w:t xml:space="preserve">— Bereavement or family emergency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Maternity Leave</w:t>
      </w:r>
      <w:r>
        <w:t xml:space="preserve"> </w:t>
      </w:r>
      <w:r>
        <w:t xml:space="preserve">— Female employees (12 weeks as per Nigerian Labour Act)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Paternity Leave</w:t>
      </w:r>
      <w:r>
        <w:t xml:space="preserve"> </w:t>
      </w:r>
      <w:r>
        <w:t xml:space="preserve">— Male employees (2 weeks)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Study/Examination Leave</w:t>
      </w:r>
      <w:r>
        <w:t xml:space="preserve"> </w:t>
      </w:r>
      <w:r>
        <w:t xml:space="preserve">— Approved educational programs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Unpaid Leave</w:t>
      </w:r>
      <w:r>
        <w:t xml:space="preserve"> </w:t>
      </w:r>
      <w:r>
        <w:t xml:space="preserve">— Leave without pay (requires MD approval)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leave-perio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PERIOD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End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Working Days Requested: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Resumption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leave-bal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BALANCE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Leave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Entitlement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Used to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Current Balance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Days Requested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Sick Leave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Compassionate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Other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(To be verified by HR Department)</w:t>
      </w:r>
    </w:p>
    <w:p>
      <w:r>
        <w:pict>
          <v:rect style="width:0;height:1.5pt" o:hralign="center" o:hrstd="t" o:hr="t"/>
        </w:pict>
      </w:r>
    </w:p>
    <w:bookmarkEnd w:id="23"/>
    <w:bookmarkStart w:id="24" w:name="reason-for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LEAVE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contact-during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CONTACT DURING LEAVE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Location/Address During Leave: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lief-handover-arrang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RELIEF / HANDOVER ARRANGEMENTS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Handover Notes Prepared: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Pending Tasks Documented: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DOCUMENTS</w:t>
      </w:r>
    </w:p>
    <w:p>
      <w:pPr>
        <w:pStyle w:val="FirstParagraph"/>
      </w:pPr>
      <w:r>
        <w:rPr>
          <w:iCs/>
          <w:i/>
        </w:rPr>
        <w:t xml:space="preserve">(Attach where applicable)</w:t>
      </w:r>
    </w:p>
    <w:p>
      <w:pPr>
        <w:numPr>
          <w:ilvl w:val="0"/>
          <w:numId w:val="1002"/>
        </w:numPr>
        <w:pStyle w:val="Compact"/>
      </w:pPr>
      <w:r>
        <w:t xml:space="preserve">☐ Medical Certificate (for Sick Leave &gt;2 days)</w:t>
      </w:r>
    </w:p>
    <w:p>
      <w:pPr>
        <w:numPr>
          <w:ilvl w:val="0"/>
          <w:numId w:val="1002"/>
        </w:numPr>
        <w:pStyle w:val="Compact"/>
      </w:pPr>
      <w:r>
        <w:t xml:space="preserve">☐ Death Certificate / Obituary (for Compassionate Leave)</w:t>
      </w:r>
    </w:p>
    <w:p>
      <w:pPr>
        <w:numPr>
          <w:ilvl w:val="0"/>
          <w:numId w:val="1002"/>
        </w:numPr>
        <w:pStyle w:val="Compact"/>
      </w:pPr>
      <w:r>
        <w:t xml:space="preserve">☐ Examination Timetable (for Study Leave)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Approved /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(Applicant):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Line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MD/CEO (if &gt;5 days):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Reason for Denial (if applicable):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POLICY NOTES:</w:t>
      </w:r>
      <w:r>
        <w:t xml:space="preserve"> </w:t>
      </w:r>
      <w:r>
        <w:t xml:space="preserve">- Leave requests must be submitted at least seven (7) working days in advance for planned leave.</w:t>
      </w:r>
      <w:r>
        <w:t xml:space="preserve"> </w:t>
      </w:r>
      <w:r>
        <w:t xml:space="preserve">- Sick leave exceeding two (2) consecutive days requires a medical certificate from a registered medical practitioner.</w:t>
      </w:r>
      <w:r>
        <w:t xml:space="preserve"> </w:t>
      </w:r>
      <w:r>
        <w:t xml:space="preserve">- Unpaid leave requests require approval from the Managing Director/CEO.</w:t>
      </w:r>
      <w:r>
        <w:t xml:space="preserve"> </w:t>
      </w:r>
      <w:r>
        <w:t xml:space="preserve">- Leave may be denied or rescheduled based on operational requirements.</w:t>
      </w:r>
      <w:r>
        <w:t xml:space="preserve"> </w:t>
      </w:r>
      <w:r>
        <w:t xml:space="preserve">- Employees must complete handover to their designated relief officer before proceeding on leave.</w:t>
      </w:r>
      <w:r>
        <w:t xml:space="preserve"> </w:t>
      </w:r>
      <w:r>
        <w:t xml:space="preserve">- Failure to resume on the stated resumption date without prior approval may result in disciplinary action.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8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2026-03-11T14:59:46Z</dcterms:created>
  <dcterms:modified xsi:type="dcterms:W3CDTF">2026-03-11T14:59:46Z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