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b63f9ae836198279205ac2107f448ea49e9c5be"/>
    <w:p>
      <w:pPr>
        <w:pStyle w:val="Heading1"/>
      </w:pPr>
      <w:r>
        <w:t xml:space="preserve">PECH Group Holdings — Claude’s Independent Analysis &amp; Recommendations</w:t>
      </w:r>
    </w:p>
    <w:p>
      <w:pPr>
        <w:pStyle w:val="BlockText"/>
      </w:pPr>
      <w:r>
        <w:rPr>
          <w:bCs/>
          <w:b/>
        </w:rPr>
        <w:t xml:space="preserve">Analyst:</w:t>
      </w:r>
      <w:r>
        <w:t xml:space="preserve"> </w:t>
      </w:r>
      <w:r>
        <w:t xml:space="preserve">Claude (Anthropic AI)</w:t>
      </w:r>
      <w:r>
        <w:t xml:space="preserve"> </w:t>
      </w:r>
      <w:r>
        <w:rPr>
          <w:bCs/>
          <w:b/>
        </w:rPr>
        <w:t xml:space="preserve">Date:</w:t>
      </w:r>
      <w:r>
        <w:t xml:space="preserve"> </w:t>
      </w:r>
      <w:r>
        <w:t xml:space="preserve">March 2026</w:t>
      </w:r>
      <w:r>
        <w:t xml:space="preserve"> </w:t>
      </w:r>
      <w:r>
        <w:rPr>
          <w:bCs/>
          <w:b/>
        </w:rPr>
        <w:t xml:space="preserve">Subject:</w:t>
      </w:r>
      <w:r>
        <w:t xml:space="preserve"> </w:t>
      </w:r>
      <w:r>
        <w:t xml:space="preserve">Independent strategic, technical, and operational assessment of PECH Group Holdings Ltd</w:t>
      </w:r>
      <w:r>
        <w:t xml:space="preserve"> </w:t>
      </w:r>
      <w:r>
        <w:rPr>
          <w:bCs/>
          <w:b/>
        </w:rPr>
        <w:t xml:space="preserve">Scope:</w:t>
      </w:r>
      <w:r>
        <w:t xml:space="preserve"> </w:t>
      </w:r>
      <w:r>
        <w:t xml:space="preserve">Full ecosystem review based on strategic planning documents, financial proposal, and AI architecture guides</w:t>
      </w:r>
    </w:p>
    <w:p>
      <w:r>
        <w:pict>
          <v:rect style="width:0;height:1.5pt" o:hralign="center" o:hrstd="t" o:hr="t"/>
        </w:pict>
      </w:r>
    </w:p>
    <w:bookmarkStart w:id="20" w:name="executive-summary"/>
    <w:p>
      <w:pPr>
        <w:pStyle w:val="Heading2"/>
      </w:pPr>
      <w:r>
        <w:t xml:space="preserve">Executive Summary</w:t>
      </w:r>
    </w:p>
    <w:p>
      <w:pPr>
        <w:pStyle w:val="FirstParagraph"/>
      </w:pPr>
      <w:r>
        <w:t xml:space="preserve">PECH Group Holdings Ltd is attempting something genuinely ambitious: building an AI-native, multi-vertical technology platform from Lagos, Nigeria — spanning IoT devices, solar energy distribution, fintech, marketplace, logistics, real estate, and enterprise software. The vision draws from Alibaba Group’s ecosystem model, adapted for African markets.</w:t>
      </w:r>
    </w:p>
    <w:p>
      <w:pPr>
        <w:pStyle w:val="BodyText"/>
      </w:pPr>
      <w:r>
        <w:rPr>
          <w:bCs/>
          <w:b/>
        </w:rPr>
        <w:t xml:space="preserve">My overall assessment:</w:t>
      </w:r>
      <w:r>
        <w:t xml:space="preserve"> </w:t>
      </w:r>
      <w:r>
        <w:t xml:space="preserve">The vision is strategically sound and addresses real market gaps across Africa’s digital infrastructure. However, the execution risk is significant. The ₦250M (~$160K USD) budget is thin for the scope proposed, and the 78-microservice architecture is over-engineered for Day 1. With disciplined prioritization and phased execution, this can work — but only if PECH ruthlessly focuses its first 12 months on 2–3 revenue-generating verticals before expanding.</w:t>
      </w:r>
    </w:p>
    <w:p>
      <w:pPr>
        <w:pStyle w:val="BodyText"/>
      </w:pPr>
      <w:r>
        <w:rPr>
          <w:bCs/>
          <w:b/>
        </w:rPr>
        <w:t xml:space="preserve">Verdict:</w:t>
      </w:r>
      <w:r>
        <w:t xml:space="preserve"> </w:t>
      </w:r>
      <w:r>
        <w:t xml:space="preserve">Viable with focused execution. High reward potential, but requires strict scope discipline.</w:t>
      </w:r>
    </w:p>
    <w:p>
      <w:r>
        <w:pict>
          <v:rect style="width:0;height:1.5pt" o:hralign="center" o:hrstd="t" o:hr="t"/>
        </w:pict>
      </w:r>
    </w:p>
    <w:bookmarkEnd w:id="20"/>
    <w:bookmarkStart w:id="24" w:name="strategic-assessment"/>
    <w:p>
      <w:pPr>
        <w:pStyle w:val="Heading2"/>
      </w:pPr>
      <w:r>
        <w:t xml:space="preserve">1. Strategic Assessment</w:t>
      </w:r>
    </w:p>
    <w:bookmarkStart w:id="21" w:name="strengths"/>
    <w:p>
      <w:pPr>
        <w:pStyle w:val="Heading3"/>
      </w:pPr>
      <w:r>
        <w:t xml:space="preserve">Strengths</w:t>
      </w:r>
    </w:p>
    <w:tbl>
      <w:tblPr>
        <w:tblStyle w:val="Table"/>
        <w:tblW w:type="pct" w:w="5000"/>
        <w:tblLook w:firstRow="1" w:lastRow="0" w:firstColumn="0" w:lastColumn="0" w:noHBand="0" w:noVBand="0" w:val="0020"/>
        <w:jc w:val="start"/>
      </w:tblPr>
      <w:tblGrid>
        <w:gridCol w:w="3046"/>
        <w:gridCol w:w="4873"/>
      </w:tblGrid>
      <w:tr>
        <w:trPr>
          <w:tblHeader w:val="true"/>
        </w:trPr>
        <w:tc>
          <w:tcPr/>
          <w:p>
            <w:pPr>
              <w:pStyle w:val="Compact"/>
              <w:jc w:val="left"/>
            </w:pPr>
            <w:r>
              <w:t xml:space="preserve">Strength</w:t>
            </w:r>
          </w:p>
        </w:tc>
        <w:tc>
          <w:tcPr/>
          <w:p>
            <w:pPr>
              <w:pStyle w:val="Compact"/>
              <w:jc w:val="left"/>
            </w:pPr>
            <w:r>
              <w:t xml:space="preserve">Why It Matters</w:t>
            </w:r>
          </w:p>
        </w:tc>
      </w:tr>
      <w:tr>
        <w:tc>
          <w:tcPr/>
          <w:p>
            <w:pPr>
              <w:pStyle w:val="Compact"/>
              <w:jc w:val="left"/>
            </w:pPr>
            <w:r>
              <w:rPr>
                <w:bCs/>
                <w:b/>
              </w:rPr>
              <w:t xml:space="preserve">Open-source-only stack</w:t>
            </w:r>
          </w:p>
        </w:tc>
        <w:tc>
          <w:tcPr/>
          <w:p>
            <w:pPr>
              <w:pStyle w:val="Compact"/>
              <w:jc w:val="left"/>
            </w:pPr>
            <w:r>
              <w:t xml:space="preserve">Zero licensing costs, full control, no vendor lock-in. This is the right approach for a bootstrapping African tech company.</w:t>
            </w:r>
          </w:p>
        </w:tc>
      </w:tr>
      <w:tr>
        <w:tc>
          <w:tcPr/>
          <w:p>
            <w:pPr>
              <w:pStyle w:val="Compact"/>
              <w:jc w:val="left"/>
            </w:pPr>
            <w:r>
              <w:rPr>
                <w:bCs/>
                <w:b/>
              </w:rPr>
              <w:t xml:space="preserve">License-safe AI model selection</w:t>
            </w:r>
          </w:p>
        </w:tc>
        <w:tc>
          <w:tcPr/>
          <w:p>
            <w:pPr>
              <w:pStyle w:val="Compact"/>
              <w:jc w:val="left"/>
            </w:pPr>
            <w:r>
              <w:t xml:space="preserve">Choosing Apache-2.0 / MIT models (Qwen, Phi, Mistral) over Meta’s Llama or Google’s Gemma avoids legal risk when rebranding. Excellent strategic decision.</w:t>
            </w:r>
          </w:p>
        </w:tc>
      </w:tr>
      <w:tr>
        <w:tc>
          <w:tcPr/>
          <w:p>
            <w:pPr>
              <w:pStyle w:val="Compact"/>
              <w:jc w:val="left"/>
            </w:pPr>
            <w:r>
              <w:rPr>
                <w:bCs/>
                <w:b/>
              </w:rPr>
              <w:t xml:space="preserve">Self-hosted AI infrastructure</w:t>
            </w:r>
          </w:p>
        </w:tc>
        <w:tc>
          <w:tcPr/>
          <w:p>
            <w:pPr>
              <w:pStyle w:val="Compact"/>
              <w:jc w:val="left"/>
            </w:pPr>
            <w:r>
              <w:t xml:space="preserve">Running models on local RTX 4090 GPUs in Lagos gives data sovereignty, lower latency, and NDPA 2023 compliance by default.</w:t>
            </w:r>
          </w:p>
        </w:tc>
      </w:tr>
      <w:tr>
        <w:tc>
          <w:tcPr/>
          <w:p>
            <w:pPr>
              <w:pStyle w:val="Compact"/>
              <w:jc w:val="left"/>
            </w:pPr>
            <w:r>
              <w:rPr>
                <w:bCs/>
                <w:b/>
              </w:rPr>
              <w:t xml:space="preserve">Africa-first market positioning</w:t>
            </w:r>
          </w:p>
        </w:tc>
        <w:tc>
          <w:tcPr/>
          <w:p>
            <w:pPr>
              <w:pStyle w:val="Compact"/>
              <w:jc w:val="left"/>
            </w:pPr>
            <w:r>
              <w:t xml:space="preserve">Rather than competing globally against established platforms, PECH targets underserved African markets where infrastructure gaps create opportunity.</w:t>
            </w:r>
          </w:p>
        </w:tc>
      </w:tr>
      <w:tr>
        <w:tc>
          <w:tcPr/>
          <w:p>
            <w:pPr>
              <w:pStyle w:val="Compact"/>
              <w:jc w:val="left"/>
            </w:pPr>
            <w:r>
              <w:rPr>
                <w:bCs/>
                <w:b/>
              </w:rPr>
              <w:t xml:space="preserve">Protocol-agnostic IoT design</w:t>
            </w:r>
          </w:p>
        </w:tc>
        <w:tc>
          <w:tcPr/>
          <w:p>
            <w:pPr>
              <w:pStyle w:val="Compact"/>
              <w:jc w:val="left"/>
            </w:pPr>
            <w:r>
              <w:t xml:space="preserve">Supporting MQTT, CoAP, HTTP/REST, WebSockets, and LwM2M means PECH devices work with any ecosystem, reducing adoption friction.</w:t>
            </w:r>
          </w:p>
        </w:tc>
      </w:tr>
      <w:tr>
        <w:tc>
          <w:tcPr/>
          <w:p>
            <w:pPr>
              <w:pStyle w:val="Compact"/>
              <w:jc w:val="left"/>
            </w:pPr>
            <w:r>
              <w:rPr>
                <w:bCs/>
                <w:b/>
              </w:rPr>
              <w:t xml:space="preserve">Dual revenue model</w:t>
            </w:r>
          </w:p>
        </w:tc>
        <w:tc>
          <w:tcPr/>
          <w:p>
            <w:pPr>
              <w:pStyle w:val="Compact"/>
              <w:jc w:val="left"/>
            </w:pPr>
            <w:r>
              <w:t xml:space="preserve">Hardware sales provide immediate cash flow while SaaS subscriptions build recurring revenue. This is the standard model for successful IoT companies.</w:t>
            </w:r>
          </w:p>
        </w:tc>
      </w:tr>
      <w:tr>
        <w:tc>
          <w:tcPr/>
          <w:p>
            <w:pPr>
              <w:pStyle w:val="Compact"/>
              <w:jc w:val="left"/>
            </w:pPr>
            <w:r>
              <w:rPr>
                <w:bCs/>
                <w:b/>
              </w:rPr>
              <w:t xml:space="preserve">Installer network strategy</w:t>
            </w:r>
          </w:p>
        </w:tc>
        <w:tc>
          <w:tcPr/>
          <w:p>
            <w:pPr>
              <w:pStyle w:val="Compact"/>
              <w:jc w:val="left"/>
            </w:pPr>
            <w:r>
              <w:t xml:space="preserve">Building a certified installer ecosystem creates a moat. Competitors can match the platform, but not the on-ground human network.</w:t>
            </w:r>
          </w:p>
        </w:tc>
      </w:tr>
    </w:tbl>
    <w:bookmarkEnd w:id="21"/>
    <w:bookmarkStart w:id="22" w:name="potential-risks-challenges"/>
    <w:p>
      <w:pPr>
        <w:pStyle w:val="Heading3"/>
      </w:pPr>
      <w:r>
        <w:t xml:space="preserve">Potential Risks &amp; Challenges</w:t>
      </w:r>
    </w:p>
    <w:tbl>
      <w:tblPr>
        <w:tblStyle w:val="Table"/>
        <w:tblW w:type="pct" w:w="5000"/>
        <w:tblLook w:firstRow="1" w:lastRow="0" w:firstColumn="0" w:lastColumn="0" w:noHBand="0" w:noVBand="0" w:val="0020"/>
        <w:jc w:val="start"/>
      </w:tblPr>
      <w:tblGrid>
        <w:gridCol w:w="1900"/>
        <w:gridCol w:w="3168"/>
        <w:gridCol w:w="2851"/>
      </w:tblGrid>
      <w:tr>
        <w:trPr>
          <w:tblHeader w:val="true"/>
        </w:trPr>
        <w:tc>
          <w:tcPr/>
          <w:p>
            <w:pPr>
              <w:pStyle w:val="Compact"/>
              <w:jc w:val="left"/>
            </w:pPr>
            <w:r>
              <w:t xml:space="preserve">Risk</w:t>
            </w:r>
          </w:p>
        </w:tc>
        <w:tc>
          <w:tcPr/>
          <w:p>
            <w:pPr>
              <w:pStyle w:val="Compact"/>
              <w:jc w:val="left"/>
            </w:pPr>
            <w:r>
              <w:t xml:space="preserve">Severity</w:t>
            </w:r>
          </w:p>
        </w:tc>
        <w:tc>
          <w:tcPr/>
          <w:p>
            <w:pPr>
              <w:pStyle w:val="Compact"/>
              <w:jc w:val="left"/>
            </w:pPr>
            <w:r>
              <w:t xml:space="preserve">Details</w:t>
            </w:r>
          </w:p>
        </w:tc>
      </w:tr>
      <w:tr>
        <w:tc>
          <w:tcPr/>
          <w:p>
            <w:pPr>
              <w:pStyle w:val="Compact"/>
              <w:jc w:val="left"/>
            </w:pPr>
            <w:r>
              <w:rPr>
                <w:bCs/>
                <w:b/>
              </w:rPr>
              <w:t xml:space="preserve">Scope overreach</w:t>
            </w:r>
          </w:p>
        </w:tc>
        <w:tc>
          <w:tcPr/>
          <w:p>
            <w:pPr>
              <w:pStyle w:val="Compact"/>
              <w:jc w:val="left"/>
            </w:pPr>
            <w:r>
              <w:rPr>
                <w:bCs/>
                <w:b/>
              </w:rPr>
              <w:t xml:space="preserve">Critical</w:t>
            </w:r>
          </w:p>
        </w:tc>
        <w:tc>
          <w:tcPr/>
          <w:p>
            <w:pPr>
              <w:pStyle w:val="Compact"/>
              <w:jc w:val="left"/>
            </w:pPr>
            <w:r>
              <w:t xml:space="preserve">78 microservices, 10+ business verticals, and 37 roles on $160K is extremely aggressive. The risk is spreading too thin and delivering nothing well.</w:t>
            </w:r>
          </w:p>
        </w:tc>
      </w:tr>
      <w:tr>
        <w:tc>
          <w:tcPr/>
          <w:p>
            <w:pPr>
              <w:pStyle w:val="Compact"/>
              <w:jc w:val="left"/>
            </w:pPr>
            <w:r>
              <w:rPr>
                <w:bCs/>
                <w:b/>
              </w:rPr>
              <w:t xml:space="preserve">Power infrastructure</w:t>
            </w:r>
          </w:p>
        </w:tc>
        <w:tc>
          <w:tcPr/>
          <w:p>
            <w:pPr>
              <w:pStyle w:val="Compact"/>
              <w:jc w:val="left"/>
            </w:pPr>
            <w:r>
              <w:rPr>
                <w:bCs/>
                <w:b/>
              </w:rPr>
              <w:t xml:space="preserve">High</w:t>
            </w:r>
          </w:p>
        </w:tc>
        <w:tc>
          <w:tcPr/>
          <w:p>
            <w:pPr>
              <w:pStyle w:val="Compact"/>
              <w:jc w:val="left"/>
            </w:pPr>
            <w:r>
              <w:t xml:space="preserve">Lagos power instability could cause GPU downtime. UPS + solar backup is mentioned but needs proper sizing for 24/7 AI inference workloads.</w:t>
            </w:r>
          </w:p>
        </w:tc>
      </w:tr>
      <w:tr>
        <w:tc>
          <w:tcPr/>
          <w:p>
            <w:pPr>
              <w:pStyle w:val="Compact"/>
              <w:jc w:val="left"/>
            </w:pPr>
            <w:r>
              <w:rPr>
                <w:bCs/>
                <w:b/>
              </w:rPr>
              <w:t xml:space="preserve">Talent acquisition</w:t>
            </w:r>
          </w:p>
        </w:tc>
        <w:tc>
          <w:tcPr/>
          <w:p>
            <w:pPr>
              <w:pStyle w:val="Compact"/>
              <w:jc w:val="left"/>
            </w:pPr>
            <w:r>
              <w:rPr>
                <w:bCs/>
                <w:b/>
              </w:rPr>
              <w:t xml:space="preserve">High</w:t>
            </w:r>
          </w:p>
        </w:tc>
        <w:tc>
          <w:tcPr/>
          <w:p>
            <w:pPr>
              <w:pStyle w:val="Compact"/>
              <w:jc w:val="left"/>
            </w:pPr>
            <w:r>
              <w:t xml:space="preserve">Finding 24 full-time engineers in Lagos who can build and maintain microservices, IoT firmware, AI inference pipelines, and fintech systems is challenging.</w:t>
            </w:r>
          </w:p>
        </w:tc>
      </w:tr>
      <w:tr>
        <w:tc>
          <w:tcPr/>
          <w:p>
            <w:pPr>
              <w:pStyle w:val="Compact"/>
              <w:jc w:val="left"/>
            </w:pPr>
            <w:r>
              <w:rPr>
                <w:bCs/>
                <w:b/>
              </w:rPr>
              <w:t xml:space="preserve">Hardware import costs</w:t>
            </w:r>
          </w:p>
        </w:tc>
        <w:tc>
          <w:tcPr/>
          <w:p>
            <w:pPr>
              <w:pStyle w:val="Compact"/>
              <w:jc w:val="left"/>
            </w:pPr>
            <w:r>
              <w:rPr>
                <w:bCs/>
                <w:b/>
              </w:rPr>
              <w:t xml:space="preserve">Medium</w:t>
            </w:r>
          </w:p>
        </w:tc>
        <w:tc>
          <w:tcPr/>
          <w:p>
            <w:pPr>
              <w:pStyle w:val="Compact"/>
              <w:jc w:val="left"/>
            </w:pPr>
            <w:r>
              <w:t xml:space="preserve">25–35% import duties + 7.5% VAT on Chinese hardware significantly increases infrastructure costs. Budget may underestimate this.</w:t>
            </w:r>
          </w:p>
        </w:tc>
      </w:tr>
      <w:tr>
        <w:tc>
          <w:tcPr/>
          <w:p>
            <w:pPr>
              <w:pStyle w:val="Compact"/>
              <w:jc w:val="left"/>
            </w:pPr>
            <w:r>
              <w:rPr>
                <w:bCs/>
                <w:b/>
              </w:rPr>
              <w:t xml:space="preserve">Regulatory complexity</w:t>
            </w:r>
          </w:p>
        </w:tc>
        <w:tc>
          <w:tcPr/>
          <w:p>
            <w:pPr>
              <w:pStyle w:val="Compact"/>
              <w:jc w:val="left"/>
            </w:pPr>
            <w:r>
              <w:rPr>
                <w:bCs/>
                <w:b/>
              </w:rPr>
              <w:t xml:space="preserve">Medium</w:t>
            </w:r>
          </w:p>
        </w:tc>
        <w:tc>
          <w:tcPr/>
          <w:p>
            <w:pPr>
              <w:pStyle w:val="Compact"/>
              <w:jc w:val="left"/>
            </w:pPr>
            <w:r>
              <w:t xml:space="preserve">PSSP license, NDPA 2023, CBN regulations, NCC compliance — navigating all simultaneously requires dedicated legal capacity.</w:t>
            </w:r>
          </w:p>
        </w:tc>
      </w:tr>
      <w:tr>
        <w:tc>
          <w:tcPr/>
          <w:p>
            <w:pPr>
              <w:pStyle w:val="Compact"/>
              <w:jc w:val="left"/>
            </w:pPr>
            <w:r>
              <w:rPr>
                <w:bCs/>
                <w:b/>
              </w:rPr>
              <w:t xml:space="preserve">Market timing</w:t>
            </w:r>
          </w:p>
        </w:tc>
        <w:tc>
          <w:tcPr/>
          <w:p>
            <w:pPr>
              <w:pStyle w:val="Compact"/>
              <w:jc w:val="left"/>
            </w:pPr>
            <w:r>
              <w:rPr>
                <w:bCs/>
                <w:b/>
              </w:rPr>
              <w:t xml:space="preserve">Medium</w:t>
            </w:r>
          </w:p>
        </w:tc>
        <w:tc>
          <w:tcPr/>
          <w:p>
            <w:pPr>
              <w:pStyle w:val="Compact"/>
              <w:jc w:val="left"/>
            </w:pPr>
            <w:r>
              <w:t xml:space="preserve">Several African tech companies are targeting similar spaces (Paystack, Flutterwave for fintech; Jumia for marketplace). PECH needs clear differentiation.</w:t>
            </w:r>
          </w:p>
        </w:tc>
      </w:tr>
    </w:tbl>
    <w:bookmarkEnd w:id="22"/>
    <w:bookmarkStart w:id="23" w:name="market-positioning-analysis"/>
    <w:p>
      <w:pPr>
        <w:pStyle w:val="Heading3"/>
      </w:pPr>
      <w:r>
        <w:t xml:space="preserve">Market Positioning Analysis</w:t>
      </w:r>
    </w:p>
    <w:p>
      <w:pPr>
        <w:pStyle w:val="FirstParagraph"/>
      </w:pPr>
      <w:r>
        <w:t xml:space="preserve">PECH’s strongest competitive position is at the intersection of</w:t>
      </w:r>
      <w:r>
        <w:t xml:space="preserve"> </w:t>
      </w:r>
      <w:r>
        <w:rPr>
          <w:bCs/>
          <w:b/>
        </w:rPr>
        <w:t xml:space="preserve">IoT + Solar + Fintech</w:t>
      </w:r>
      <w:r>
        <w:t xml:space="preserve"> </w:t>
      </w:r>
      <w:r>
        <w:t xml:space="preserve">— no major African platform currently owns this space. The strategy of using solar energy hardware as the entry point, then layering fintech (payment for installations), marketplace (equipment sales), and IoT (device management) on top creates a natural flywheel.</w:t>
      </w:r>
    </w:p>
    <w:p>
      <w:pPr>
        <w:pStyle w:val="BodyText"/>
      </w:pPr>
      <w:r>
        <w:rPr>
          <w:bCs/>
          <w:b/>
        </w:rPr>
        <w:t xml:space="preserve">Key differentiation:</w:t>
      </w:r>
      <w:r>
        <w:t xml:space="preserve"> </w:t>
      </w:r>
      <w:r>
        <w:t xml:space="preserve">While Tuya dominates global IoT with a proprietary platform, PECH’s open-protocol, self-hostable approach appeals to African businesses tired of vendor lock-in and data leaving the continent.</w:t>
      </w:r>
    </w:p>
    <w:p>
      <w:r>
        <w:pict>
          <v:rect style="width:0;height:1.5pt" o:hralign="center" o:hrstd="t" o:hr="t"/>
        </w:pict>
      </w:r>
    </w:p>
    <w:bookmarkEnd w:id="23"/>
    <w:bookmarkEnd w:id="24"/>
    <w:bookmarkStart w:id="29" w:name="technical-architecture-review"/>
    <w:p>
      <w:pPr>
        <w:pStyle w:val="Heading2"/>
      </w:pPr>
      <w:r>
        <w:t xml:space="preserve">2. Technical Architecture Review</w:t>
      </w:r>
    </w:p>
    <w:bookmarkStart w:id="25" w:name="Xa8263bda86641f0740e576cb7dd7b6fd97c6853"/>
    <w:p>
      <w:pPr>
        <w:pStyle w:val="Heading3"/>
      </w:pPr>
      <w:r>
        <w:t xml:space="preserve">78-Microservice Architecture — Honest Assessment</w:t>
      </w:r>
    </w:p>
    <w:p>
      <w:pPr>
        <w:pStyle w:val="FirstParagraph"/>
      </w:pPr>
      <w:r>
        <w:t xml:space="preserve">The 78-microservice architecture described across the conversations is comprehensive and well-designed</w:t>
      </w:r>
      <w:r>
        <w:t xml:space="preserve"> </w:t>
      </w:r>
      <w:r>
        <w:rPr>
          <w:iCs/>
          <w:i/>
        </w:rPr>
        <w:t xml:space="preserve">as a target state</w:t>
      </w:r>
      <w:r>
        <w:t xml:space="preserve">. However, deploying this from Day 1 would be a critical mistake.</w:t>
      </w:r>
    </w:p>
    <w:p>
      <w:pPr>
        <w:pStyle w:val="BodyText"/>
      </w:pPr>
      <w:r>
        <w:rPr>
          <w:bCs/>
          <w:b/>
        </w:rPr>
        <w:t xml:space="preserve">Problems with starting at 78 microservices:</w:t>
      </w:r>
      <w:r>
        <w:t xml:space="preserve"> </w:t>
      </w:r>
      <w:r>
        <w:t xml:space="preserve">- Each microservice needs monitoring, logging, deployment pipelines, and maintenance</w:t>
      </w:r>
      <w:r>
        <w:t xml:space="preserve"> </w:t>
      </w:r>
      <w:r>
        <w:t xml:space="preserve">- On a 24-person team, that’s ~3.25 microservices per developer — too many to maintain quality</w:t>
      </w:r>
      <w:r>
        <w:t xml:space="preserve"> </w:t>
      </w:r>
      <w:r>
        <w:t xml:space="preserve">- Docker Compose (Phase 1) can handle ~15–20 services comfortably, not 78</w:t>
      </w:r>
      <w:r>
        <w:t xml:space="preserve"> </w:t>
      </w:r>
      <w:r>
        <w:t xml:space="preserve">- Debugging distributed systems requires significant operational maturity</w:t>
      </w:r>
    </w:p>
    <w:p>
      <w:pPr>
        <w:pStyle w:val="BodyText"/>
      </w:pPr>
      <w:r>
        <w:rPr>
          <w:bCs/>
          <w:b/>
        </w:rPr>
        <w:t xml:space="preserve">Recommendation:</w:t>
      </w:r>
      <w:r>
        <w:t xml:space="preserve"> </w:t>
      </w:r>
      <w:r>
        <w:t xml:space="preserve">Start with a</w:t>
      </w:r>
      <w:r>
        <w:t xml:space="preserve"> </w:t>
      </w:r>
      <w:r>
        <w:rPr>
          <w:bCs/>
          <w:b/>
        </w:rPr>
        <w:t xml:space="preserve">modular monolith</w:t>
      </w:r>
      <w:r>
        <w:t xml:space="preserve"> </w:t>
      </w:r>
      <w:r>
        <w:t xml:space="preserve">or</w:t>
      </w:r>
      <w:r>
        <w:t xml:space="preserve"> </w:t>
      </w:r>
      <w:r>
        <w:rPr>
          <w:bCs/>
          <w:b/>
        </w:rPr>
        <w:t xml:space="preserve">8–12 core services</w:t>
      </w:r>
      <w:r>
        <w:t xml:space="preserve"> </w:t>
      </w:r>
      <w:r>
        <w:t xml:space="preserve">in Phase 1:</w:t>
      </w:r>
    </w:p>
    <w:tbl>
      <w:tblPr>
        <w:tblStyle w:val="Table"/>
        <w:tblW w:type="pct" w:w="5000"/>
        <w:tblLook w:firstRow="1" w:lastRow="0" w:firstColumn="0" w:lastColumn="0" w:noHBand="0" w:noVBand="0" w:val="0020"/>
        <w:jc w:val="start"/>
      </w:tblPr>
      <w:tblGrid>
        <w:gridCol w:w="2262"/>
        <w:gridCol w:w="2036"/>
        <w:gridCol w:w="3620"/>
      </w:tblGrid>
      <w:tr>
        <w:trPr>
          <w:tblHeader w:val="true"/>
        </w:trPr>
        <w:tc>
          <w:tcPr/>
          <w:p>
            <w:pPr>
              <w:pStyle w:val="Compact"/>
              <w:jc w:val="left"/>
            </w:pPr>
            <w:r>
              <w:t xml:space="preserve">Priority</w:t>
            </w:r>
          </w:p>
        </w:tc>
        <w:tc>
          <w:tcPr/>
          <w:p>
            <w:pPr>
              <w:pStyle w:val="Compact"/>
              <w:jc w:val="left"/>
            </w:pPr>
            <w:r>
              <w:t xml:space="preserve">Service</w:t>
            </w:r>
          </w:p>
        </w:tc>
        <w:tc>
          <w:tcPr/>
          <w:p>
            <w:pPr>
              <w:pStyle w:val="Compact"/>
              <w:jc w:val="left"/>
            </w:pPr>
            <w:r>
              <w:t xml:space="preserve">Revenue Impact</w:t>
            </w:r>
          </w:p>
        </w:tc>
      </w:tr>
      <w:tr>
        <w:tc>
          <w:tcPr/>
          <w:p>
            <w:pPr>
              <w:pStyle w:val="Compact"/>
              <w:jc w:val="left"/>
            </w:pPr>
            <w:r>
              <w:t xml:space="preserve">1</w:t>
            </w:r>
          </w:p>
        </w:tc>
        <w:tc>
          <w:tcPr/>
          <w:p>
            <w:pPr>
              <w:pStyle w:val="Compact"/>
              <w:jc w:val="left"/>
            </w:pPr>
            <w:r>
              <w:t xml:space="preserve">Auth &amp; Identity (Keycloak)</w:t>
            </w:r>
          </w:p>
        </w:tc>
        <w:tc>
          <w:tcPr/>
          <w:p>
            <w:pPr>
              <w:pStyle w:val="Compact"/>
              <w:jc w:val="left"/>
            </w:pPr>
            <w:r>
              <w:t xml:space="preserve">Foundation for everything</w:t>
            </w:r>
          </w:p>
        </w:tc>
      </w:tr>
      <w:tr>
        <w:tc>
          <w:tcPr/>
          <w:p>
            <w:pPr>
              <w:pStyle w:val="Compact"/>
              <w:jc w:val="left"/>
            </w:pPr>
            <w:r>
              <w:t xml:space="preserve">2</w:t>
            </w:r>
          </w:p>
        </w:tc>
        <w:tc>
          <w:tcPr/>
          <w:p>
            <w:pPr>
              <w:pStyle w:val="Compact"/>
              <w:jc w:val="left"/>
            </w:pPr>
            <w:r>
              <w:t xml:space="preserve">IoT Device Management (ThingsBoard)</w:t>
            </w:r>
          </w:p>
        </w:tc>
        <w:tc>
          <w:tcPr/>
          <w:p>
            <w:pPr>
              <w:pStyle w:val="Compact"/>
              <w:jc w:val="left"/>
            </w:pPr>
            <w:r>
              <w:t xml:space="preserve">Core product</w:t>
            </w:r>
          </w:p>
        </w:tc>
      </w:tr>
      <w:tr>
        <w:tc>
          <w:tcPr/>
          <w:p>
            <w:pPr>
              <w:pStyle w:val="Compact"/>
              <w:jc w:val="left"/>
            </w:pPr>
            <w:r>
              <w:t xml:space="preserve">3</w:t>
            </w:r>
          </w:p>
        </w:tc>
        <w:tc>
          <w:tcPr/>
          <w:p>
            <w:pPr>
              <w:pStyle w:val="Compact"/>
              <w:jc w:val="left"/>
            </w:pPr>
            <w:r>
              <w:t xml:space="preserve">E-commerce/Marketplace (Medusa)</w:t>
            </w:r>
          </w:p>
        </w:tc>
        <w:tc>
          <w:tcPr/>
          <w:p>
            <w:pPr>
              <w:pStyle w:val="Compact"/>
              <w:jc w:val="left"/>
            </w:pPr>
            <w:r>
              <w:t xml:space="preserve">Revenue from Day 1</w:t>
            </w:r>
          </w:p>
        </w:tc>
      </w:tr>
      <w:tr>
        <w:tc>
          <w:tcPr/>
          <w:p>
            <w:pPr>
              <w:pStyle w:val="Compact"/>
              <w:jc w:val="left"/>
            </w:pPr>
            <w:r>
              <w:t xml:space="preserve">4</w:t>
            </w:r>
          </w:p>
        </w:tc>
        <w:tc>
          <w:tcPr/>
          <w:p>
            <w:pPr>
              <w:pStyle w:val="Compact"/>
              <w:jc w:val="left"/>
            </w:pPr>
            <w:r>
              <w:t xml:space="preserve">Payment Gateway (Fineract + Paystack integration)</w:t>
            </w:r>
          </w:p>
        </w:tc>
        <w:tc>
          <w:tcPr/>
          <w:p>
            <w:pPr>
              <w:pStyle w:val="Compact"/>
              <w:jc w:val="left"/>
            </w:pPr>
            <w:r>
              <w:t xml:space="preserve">Transaction revenue</w:t>
            </w:r>
          </w:p>
        </w:tc>
      </w:tr>
      <w:tr>
        <w:tc>
          <w:tcPr/>
          <w:p>
            <w:pPr>
              <w:pStyle w:val="Compact"/>
              <w:jc w:val="left"/>
            </w:pPr>
            <w:r>
              <w:t xml:space="preserve">5</w:t>
            </w:r>
          </w:p>
        </w:tc>
        <w:tc>
          <w:tcPr/>
          <w:p>
            <w:pPr>
              <w:pStyle w:val="Compact"/>
              <w:jc w:val="left"/>
            </w:pPr>
            <w:r>
              <w:t xml:space="preserve">API Gateway (APISIX)</w:t>
            </w:r>
          </w:p>
        </w:tc>
        <w:tc>
          <w:tcPr/>
          <w:p>
            <w:pPr>
              <w:pStyle w:val="Compact"/>
              <w:jc w:val="left"/>
            </w:pPr>
            <w:r>
              <w:t xml:space="preserve">Platform enabler</w:t>
            </w:r>
          </w:p>
        </w:tc>
      </w:tr>
      <w:tr>
        <w:tc>
          <w:tcPr/>
          <w:p>
            <w:pPr>
              <w:pStyle w:val="Compact"/>
              <w:jc w:val="left"/>
            </w:pPr>
            <w:r>
              <w:t xml:space="preserve">6</w:t>
            </w:r>
          </w:p>
        </w:tc>
        <w:tc>
          <w:tcPr/>
          <w:p>
            <w:pPr>
              <w:pStyle w:val="Compact"/>
              <w:jc w:val="left"/>
            </w:pPr>
            <w:r>
              <w:t xml:space="preserve">Customer Support (Chatwoot)</w:t>
            </w:r>
          </w:p>
        </w:tc>
        <w:tc>
          <w:tcPr/>
          <w:p>
            <w:pPr>
              <w:pStyle w:val="Compact"/>
              <w:jc w:val="left"/>
            </w:pPr>
            <w:r>
              <w:t xml:space="preserve">Retention</w:t>
            </w:r>
          </w:p>
        </w:tc>
      </w:tr>
      <w:tr>
        <w:tc>
          <w:tcPr/>
          <w:p>
            <w:pPr>
              <w:pStyle w:val="Compact"/>
              <w:jc w:val="left"/>
            </w:pPr>
            <w:r>
              <w:t xml:space="preserve">7</w:t>
            </w:r>
          </w:p>
        </w:tc>
        <w:tc>
          <w:tcPr/>
          <w:p>
            <w:pPr>
              <w:pStyle w:val="Compact"/>
              <w:jc w:val="left"/>
            </w:pPr>
            <w:r>
              <w:t xml:space="preserve">Solar Monitoring Dashboard</w:t>
            </w:r>
          </w:p>
        </w:tc>
        <w:tc>
          <w:tcPr/>
          <w:p>
            <w:pPr>
              <w:pStyle w:val="Compact"/>
              <w:jc w:val="left"/>
            </w:pPr>
            <w:r>
              <w:t xml:space="preserve">Differentiation</w:t>
            </w:r>
          </w:p>
        </w:tc>
      </w:tr>
      <w:tr>
        <w:tc>
          <w:tcPr/>
          <w:p>
            <w:pPr>
              <w:pStyle w:val="Compact"/>
              <w:jc w:val="left"/>
            </w:pPr>
            <w:r>
              <w:t xml:space="preserve">8</w:t>
            </w:r>
          </w:p>
        </w:tc>
        <w:tc>
          <w:tcPr/>
          <w:p>
            <w:pPr>
              <w:pStyle w:val="Compact"/>
              <w:jc w:val="left"/>
            </w:pPr>
            <w:r>
              <w:t xml:space="preserve">Installer Management</w:t>
            </w:r>
          </w:p>
        </w:tc>
        <w:tc>
          <w:tcPr/>
          <w:p>
            <w:pPr>
              <w:pStyle w:val="Compact"/>
              <w:jc w:val="left"/>
            </w:pPr>
            <w:r>
              <w:t xml:space="preserve">Network building</w:t>
            </w:r>
          </w:p>
        </w:tc>
      </w:tr>
    </w:tbl>
    <w:p>
      <w:pPr>
        <w:pStyle w:val="BodyText"/>
      </w:pPr>
      <w:r>
        <w:t xml:space="preserve">Decompose into additional microservices only when a service’s complexity justifies it (typically when a single service exceeds 10K lines or needs independent scaling).</w:t>
      </w:r>
    </w:p>
    <w:bookmarkEnd w:id="25"/>
    <w:bookmarkStart w:id="26" w:name="database-infrastructure-choices"/>
    <w:p>
      <w:pPr>
        <w:pStyle w:val="Heading3"/>
      </w:pPr>
      <w:r>
        <w:t xml:space="preserve">Database &amp; Infrastructure Choices</w:t>
      </w:r>
    </w:p>
    <w:tbl>
      <w:tblPr>
        <w:tblStyle w:val="Table"/>
        <w:tblW w:type="pct" w:w="5000"/>
        <w:tblLook w:firstRow="1" w:lastRow="0" w:firstColumn="0" w:lastColumn="0" w:noHBand="0" w:noVBand="0" w:val="0020"/>
        <w:jc w:val="start"/>
      </w:tblPr>
      <w:tblGrid>
        <w:gridCol w:w="3334"/>
        <w:gridCol w:w="4585"/>
      </w:tblGrid>
      <w:tr>
        <w:trPr>
          <w:tblHeader w:val="true"/>
        </w:trPr>
        <w:tc>
          <w:tcPr/>
          <w:p>
            <w:pPr>
              <w:pStyle w:val="Compact"/>
              <w:jc w:val="left"/>
            </w:pPr>
            <w:r>
              <w:t xml:space="preserve">Choice</w:t>
            </w:r>
          </w:p>
        </w:tc>
        <w:tc>
          <w:tcPr/>
          <w:p>
            <w:pPr>
              <w:pStyle w:val="Compact"/>
              <w:jc w:val="left"/>
            </w:pPr>
            <w:r>
              <w:t xml:space="preserve">Assessment</w:t>
            </w:r>
          </w:p>
        </w:tc>
      </w:tr>
      <w:tr>
        <w:tc>
          <w:tcPr/>
          <w:p>
            <w:pPr>
              <w:pStyle w:val="Compact"/>
              <w:jc w:val="left"/>
            </w:pPr>
            <w:r>
              <w:t xml:space="preserve">PostgreSQL as primary DB</w:t>
            </w:r>
          </w:p>
        </w:tc>
        <w:tc>
          <w:tcPr/>
          <w:p>
            <w:pPr>
              <w:pStyle w:val="Compact"/>
              <w:jc w:val="left"/>
            </w:pPr>
            <w:r>
              <w:t xml:space="preserve">Excellent. Industry standard, handles relational data, supports JSON, extensible with Apache AGE for graph queries.</w:t>
            </w:r>
          </w:p>
        </w:tc>
      </w:tr>
      <w:tr>
        <w:tc>
          <w:tcPr/>
          <w:p>
            <w:pPr>
              <w:pStyle w:val="Compact"/>
              <w:jc w:val="left"/>
            </w:pPr>
            <w:r>
              <w:t xml:space="preserve">Redis for caching</w:t>
            </w:r>
          </w:p>
        </w:tc>
        <w:tc>
          <w:tcPr/>
          <w:p>
            <w:pPr>
              <w:pStyle w:val="Compact"/>
              <w:jc w:val="left"/>
            </w:pPr>
            <w:r>
              <w:t xml:space="preserve">Correct choice. Essential for session management and API rate limiting.</w:t>
            </w:r>
          </w:p>
        </w:tc>
      </w:tr>
      <w:tr>
        <w:tc>
          <w:tcPr/>
          <w:p>
            <w:pPr>
              <w:pStyle w:val="Compact"/>
              <w:jc w:val="left"/>
            </w:pPr>
            <w:r>
              <w:t xml:space="preserve">Qdrant for vector search</w:t>
            </w:r>
          </w:p>
        </w:tc>
        <w:tc>
          <w:tcPr/>
          <w:p>
            <w:pPr>
              <w:pStyle w:val="Compact"/>
              <w:jc w:val="left"/>
            </w:pPr>
            <w:r>
              <w:t xml:space="preserve">Good for RAG and recommendation systems. Apache-2.0 license is clean.</w:t>
            </w:r>
          </w:p>
        </w:tc>
      </w:tr>
      <w:tr>
        <w:tc>
          <w:tcPr/>
          <w:p>
            <w:pPr>
              <w:pStyle w:val="Compact"/>
              <w:jc w:val="left"/>
            </w:pPr>
            <w:r>
              <w:t xml:space="preserve">Apache AGE vs Neo4j</w:t>
            </w:r>
          </w:p>
        </w:tc>
        <w:tc>
          <w:tcPr/>
          <w:p>
            <w:pPr>
              <w:pStyle w:val="Compact"/>
              <w:jc w:val="left"/>
            </w:pPr>
            <w:r>
              <w:t xml:space="preserve">Smart. Apache AGE runs on PostgreSQL so you don’t need a separate graph database server. Saves operational overhead.</w:t>
            </w:r>
          </w:p>
        </w:tc>
      </w:tr>
      <w:tr>
        <w:tc>
          <w:tcPr/>
          <w:p>
            <w:pPr>
              <w:pStyle w:val="Compact"/>
              <w:jc w:val="left"/>
            </w:pPr>
            <w:r>
              <w:t xml:space="preserve">NATS → Kafka migration path</w:t>
            </w:r>
          </w:p>
        </w:tc>
        <w:tc>
          <w:tcPr/>
          <w:p>
            <w:pPr>
              <w:pStyle w:val="Compact"/>
              <w:jc w:val="left"/>
            </w:pPr>
            <w:r>
              <w:t xml:space="preserve">Pragmatic. NATS is lightweight for Phase 1, Kafka handles scale in Phase 3.</w:t>
            </w:r>
          </w:p>
        </w:tc>
      </w:tr>
      <w:tr>
        <w:tc>
          <w:tcPr/>
          <w:p>
            <w:pPr>
              <w:pStyle w:val="Compact"/>
              <w:jc w:val="left"/>
            </w:pPr>
            <w:r>
              <w:t xml:space="preserve">Docker Compose → K3s → K8s</w:t>
            </w:r>
          </w:p>
        </w:tc>
        <w:tc>
          <w:tcPr/>
          <w:p>
            <w:pPr>
              <w:pStyle w:val="Compact"/>
              <w:jc w:val="left"/>
            </w:pPr>
            <w:r>
              <w:t xml:space="preserve">Good progression, but K3s transition should happen at Phase 2 (~Month 9), not later.</w:t>
            </w:r>
          </w:p>
        </w:tc>
      </w:tr>
    </w:tbl>
    <w:bookmarkEnd w:id="26"/>
    <w:bookmarkStart w:id="27" w:name="ai-model-selection-review"/>
    <w:p>
      <w:pPr>
        <w:pStyle w:val="Heading3"/>
      </w:pPr>
      <w:r>
        <w:t xml:space="preserve">AI Model Selection Review</w:t>
      </w:r>
    </w:p>
    <w:p>
      <w:pPr>
        <w:pStyle w:val="FirstParagraph"/>
      </w:pPr>
      <w:r>
        <w:t xml:space="preserve">The license-safe approach is one of PECH’s best strategic decisions. Detailed assessment:</w:t>
      </w:r>
    </w:p>
    <w:tbl>
      <w:tblPr>
        <w:tblStyle w:val="Table"/>
        <w:tblW w:type="pct" w:w="5000"/>
        <w:tblLook w:firstRow="1" w:lastRow="0" w:firstColumn="0" w:lastColumn="0" w:noHBand="0" w:noVBand="0" w:val="0020"/>
        <w:jc w:val="start"/>
      </w:tblPr>
      <w:tblGrid>
        <w:gridCol w:w="3677"/>
        <w:gridCol w:w="2262"/>
        <w:gridCol w:w="1980"/>
      </w:tblGrid>
      <w:tr>
        <w:trPr>
          <w:tblHeader w:val="true"/>
        </w:trPr>
        <w:tc>
          <w:tcPr/>
          <w:p>
            <w:pPr>
              <w:pStyle w:val="Compact"/>
              <w:jc w:val="left"/>
            </w:pPr>
            <w:r>
              <w:t xml:space="preserve">Model Choice</w:t>
            </w:r>
          </w:p>
        </w:tc>
        <w:tc>
          <w:tcPr/>
          <w:p>
            <w:pPr>
              <w:pStyle w:val="Compact"/>
              <w:jc w:val="left"/>
            </w:pPr>
            <w:r>
              <w:t xml:space="preserve">Rating</w:t>
            </w:r>
          </w:p>
        </w:tc>
        <w:tc>
          <w:tcPr/>
          <w:p>
            <w:pPr>
              <w:pStyle w:val="Compact"/>
              <w:jc w:val="left"/>
            </w:pPr>
            <w:r>
              <w:t xml:space="preserve">Notes</w:t>
            </w:r>
          </w:p>
        </w:tc>
      </w:tr>
      <w:tr>
        <w:tc>
          <w:tcPr/>
          <w:p>
            <w:pPr>
              <w:pStyle w:val="Compact"/>
              <w:jc w:val="left"/>
            </w:pPr>
            <w:r>
              <w:t xml:space="preserve">Qwen2.5 as primary LLM</w:t>
            </w:r>
          </w:p>
        </w:tc>
        <w:tc>
          <w:tcPr/>
          <w:p>
            <w:pPr>
              <w:pStyle w:val="Compact"/>
              <w:jc w:val="left"/>
            </w:pPr>
            <w:r>
              <w:rPr>
                <w:bCs/>
                <w:b/>
              </w:rPr>
              <w:t xml:space="preserve">Excellent</w:t>
            </w:r>
          </w:p>
        </w:tc>
        <w:tc>
          <w:tcPr/>
          <w:p>
            <w:pPr>
              <w:pStyle w:val="Compact"/>
              <w:jc w:val="left"/>
            </w:pPr>
            <w:r>
              <w:t xml:space="preserve">Best Apache-2.0 LLM family. 0.5B–72B range covers edge to server. Multilingual including Arabic/French for pan-African expansion.</w:t>
            </w:r>
          </w:p>
        </w:tc>
      </w:tr>
      <w:tr>
        <w:tc>
          <w:tcPr/>
          <w:p>
            <w:pPr>
              <w:pStyle w:val="Compact"/>
              <w:jc w:val="left"/>
            </w:pPr>
            <w:r>
              <w:t xml:space="preserve">Phi-4 as secondary</w:t>
            </w:r>
          </w:p>
        </w:tc>
        <w:tc>
          <w:tcPr/>
          <w:p>
            <w:pPr>
              <w:pStyle w:val="Compact"/>
              <w:jc w:val="left"/>
            </w:pPr>
            <w:r>
              <w:rPr>
                <w:bCs/>
                <w:b/>
              </w:rPr>
              <w:t xml:space="preserve">Good</w:t>
            </w:r>
          </w:p>
        </w:tc>
        <w:tc>
          <w:tcPr/>
          <w:p>
            <w:pPr>
              <w:pStyle w:val="Compact"/>
              <w:jc w:val="left"/>
            </w:pPr>
            <w:r>
              <w:t xml:space="preserve">Strong reasoning at small size. MIT license. Good fallback.</w:t>
            </w:r>
          </w:p>
        </w:tc>
      </w:tr>
      <w:tr>
        <w:tc>
          <w:tcPr/>
          <w:p>
            <w:pPr>
              <w:pStyle w:val="Compact"/>
              <w:jc w:val="left"/>
            </w:pPr>
            <w:r>
              <w:t xml:space="preserve">Whisper for STT</w:t>
            </w:r>
          </w:p>
        </w:tc>
        <w:tc>
          <w:tcPr/>
          <w:p>
            <w:pPr>
              <w:pStyle w:val="Compact"/>
              <w:jc w:val="left"/>
            </w:pPr>
            <w:r>
              <w:rPr>
                <w:bCs/>
                <w:b/>
              </w:rPr>
              <w:t xml:space="preserve">Excellent</w:t>
            </w:r>
          </w:p>
        </w:tc>
        <w:tc>
          <w:tcPr/>
          <w:p>
            <w:pPr>
              <w:pStyle w:val="Compact"/>
              <w:jc w:val="left"/>
            </w:pPr>
            <w:r>
              <w:t xml:space="preserve">Industry standard. Critical for USSD voice interfaces in Nigeria.</w:t>
            </w:r>
          </w:p>
        </w:tc>
      </w:tr>
      <w:tr>
        <w:tc>
          <w:tcPr/>
          <w:p>
            <w:pPr>
              <w:pStyle w:val="Compact"/>
              <w:jc w:val="left"/>
            </w:pPr>
            <w:r>
              <w:t xml:space="preserve">PaddleOCR for document processing</w:t>
            </w:r>
          </w:p>
        </w:tc>
        <w:tc>
          <w:tcPr/>
          <w:p>
            <w:pPr>
              <w:pStyle w:val="Compact"/>
              <w:jc w:val="left"/>
            </w:pPr>
            <w:r>
              <w:rPr>
                <w:bCs/>
                <w:b/>
              </w:rPr>
              <w:t xml:space="preserve">Good</w:t>
            </w:r>
          </w:p>
        </w:tc>
        <w:tc>
          <w:tcPr/>
          <w:p>
            <w:pPr>
              <w:pStyle w:val="Compact"/>
              <w:jc w:val="left"/>
            </w:pPr>
            <w:r>
              <w:t xml:space="preserve">Handles receipts, invoices, IDs. Important for KYC/onboarding.</w:t>
            </w:r>
          </w:p>
        </w:tc>
      </w:tr>
      <w:tr>
        <w:tc>
          <w:tcPr/>
          <w:p>
            <w:pPr>
              <w:pStyle w:val="Compact"/>
              <w:jc w:val="left"/>
            </w:pPr>
            <w:r>
              <w:t xml:space="preserve">RT-DETR over YOLOv8</w:t>
            </w:r>
          </w:p>
        </w:tc>
        <w:tc>
          <w:tcPr/>
          <w:p>
            <w:pPr>
              <w:pStyle w:val="Compact"/>
              <w:jc w:val="left"/>
            </w:pPr>
            <w:r>
              <w:rPr>
                <w:bCs/>
                <w:b/>
              </w:rPr>
              <w:t xml:space="preserve">Correct</w:t>
            </w:r>
          </w:p>
        </w:tc>
        <w:tc>
          <w:tcPr/>
          <w:p>
            <w:pPr>
              <w:pStyle w:val="Compact"/>
              <w:jc w:val="left"/>
            </w:pPr>
            <w:r>
              <w:t xml:space="preserve">Avoiding AGPL-3.0 is the right call for commercial products.</w:t>
            </w:r>
          </w:p>
        </w:tc>
      </w:tr>
      <w:tr>
        <w:tc>
          <w:tcPr/>
          <w:p>
            <w:pPr>
              <w:pStyle w:val="Compact"/>
              <w:jc w:val="left"/>
            </w:pPr>
            <w:r>
              <w:t xml:space="preserve">MiniLM-L6 for embeddings</w:t>
            </w:r>
          </w:p>
        </w:tc>
        <w:tc>
          <w:tcPr/>
          <w:p>
            <w:pPr>
              <w:pStyle w:val="Compact"/>
              <w:jc w:val="left"/>
            </w:pPr>
            <w:r>
              <w:rPr>
                <w:bCs/>
                <w:b/>
              </w:rPr>
              <w:t xml:space="preserve">Good</w:t>
            </w:r>
          </w:p>
        </w:tc>
        <w:tc>
          <w:tcPr/>
          <w:p>
            <w:pPr>
              <w:pStyle w:val="Compact"/>
              <w:jc w:val="left"/>
            </w:pPr>
            <w:r>
              <w:t xml:space="preserve">Lightweight and fast. Consider upgrading to Nomic-Embed for better multilingual performance.</w:t>
            </w:r>
          </w:p>
        </w:tc>
      </w:tr>
    </w:tbl>
    <w:p>
      <w:pPr>
        <w:pStyle w:val="BodyText"/>
      </w:pPr>
      <w:r>
        <w:rPr>
          <w:bCs/>
          <w:b/>
        </w:rPr>
        <w:t xml:space="preserve">Missing from the stack:</w:t>
      </w:r>
      <w:r>
        <w:t xml:space="preserve"> </w:t>
      </w:r>
      <w:r>
        <w:t xml:space="preserve">-</w:t>
      </w:r>
      <w:r>
        <w:t xml:space="preserve"> </w:t>
      </w:r>
      <w:r>
        <w:rPr>
          <w:bCs/>
          <w:b/>
        </w:rPr>
        <w:t xml:space="preserve">African language models</w:t>
      </w:r>
      <w:r>
        <w:t xml:space="preserve"> </w:t>
      </w:r>
      <w:r>
        <w:t xml:space="preserve">— Consider fine-tuning Qwen2.5 on Yoruba, Igbo, and Hausa text data. This is a massive competitive advantage.</w:t>
      </w:r>
      <w:r>
        <w:t xml:space="preserve"> </w:t>
      </w:r>
      <w:r>
        <w:t xml:space="preserve">-</w:t>
      </w:r>
      <w:r>
        <w:t xml:space="preserve"> </w:t>
      </w:r>
      <w:r>
        <w:rPr>
          <w:bCs/>
          <w:b/>
        </w:rPr>
        <w:t xml:space="preserve">Offline-capable models</w:t>
      </w:r>
      <w:r>
        <w:t xml:space="preserve"> </w:t>
      </w:r>
      <w:r>
        <w:t xml:space="preserve">— For areas with poor connectivity, having 0.5B–1.5B models that run on mobile/edge devices is critical.</w:t>
      </w:r>
    </w:p>
    <w:bookmarkEnd w:id="27"/>
    <w:bookmarkStart w:id="28" w:name="phase-deployment-strategy"/>
    <w:p>
      <w:pPr>
        <w:pStyle w:val="Heading3"/>
      </w:pPr>
      <w:r>
        <w:t xml:space="preserve">3-Phase Deployment Strategy</w:t>
      </w:r>
    </w:p>
    <w:tbl>
      <w:tblPr>
        <w:tblStyle w:val="Table"/>
        <w:tblW w:type="pct" w:w="5000"/>
        <w:tblLook w:firstRow="1" w:lastRow="0" w:firstColumn="0" w:lastColumn="0" w:noHBand="0" w:noVBand="0" w:val="0020"/>
        <w:jc w:val="start"/>
      </w:tblPr>
      <w:tblGrid>
        <w:gridCol w:w="2310"/>
        <w:gridCol w:w="1980"/>
        <w:gridCol w:w="3630"/>
      </w:tblGrid>
      <w:tr>
        <w:trPr>
          <w:tblHeader w:val="true"/>
        </w:trPr>
        <w:tc>
          <w:tcPr/>
          <w:p>
            <w:pPr>
              <w:pStyle w:val="Compact"/>
              <w:jc w:val="left"/>
            </w:pPr>
            <w:r>
              <w:t xml:space="preserve">Phase</w:t>
            </w:r>
          </w:p>
        </w:tc>
        <w:tc>
          <w:tcPr/>
          <w:p>
            <w:pPr>
              <w:pStyle w:val="Compact"/>
              <w:jc w:val="left"/>
            </w:pPr>
            <w:r>
              <w:t xml:space="preserve">Plan</w:t>
            </w:r>
          </w:p>
        </w:tc>
        <w:tc>
          <w:tcPr/>
          <w:p>
            <w:pPr>
              <w:pStyle w:val="Compact"/>
              <w:jc w:val="left"/>
            </w:pPr>
            <w:r>
              <w:t xml:space="preserve">Assessment</w:t>
            </w:r>
          </w:p>
        </w:tc>
      </w:tr>
      <w:tr>
        <w:tc>
          <w:tcPr/>
          <w:p>
            <w:pPr>
              <w:pStyle w:val="Compact"/>
              <w:jc w:val="left"/>
            </w:pPr>
            <w:r>
              <w:t xml:space="preserve">Crawl (TRX50 + Ollama)</w:t>
            </w:r>
          </w:p>
        </w:tc>
        <w:tc>
          <w:tcPr/>
          <w:p>
            <w:pPr>
              <w:pStyle w:val="Compact"/>
              <w:jc w:val="left"/>
            </w:pPr>
            <w:r>
              <w:t xml:space="preserve">Single workstation, Docker Compose</w:t>
            </w:r>
          </w:p>
        </w:tc>
        <w:tc>
          <w:tcPr/>
          <w:p>
            <w:pPr>
              <w:pStyle w:val="Compact"/>
              <w:jc w:val="left"/>
            </w:pPr>
            <w:r>
              <w:rPr>
                <w:bCs/>
                <w:b/>
              </w:rPr>
              <w:t xml:space="preserve">Good start</w:t>
            </w:r>
            <w:r>
              <w:t xml:space="preserve">, but ensure UPS can sustain 500W+ for the workstation + networking.</w:t>
            </w:r>
          </w:p>
        </w:tc>
      </w:tr>
      <w:tr>
        <w:tc>
          <w:tcPr/>
          <w:p>
            <w:pPr>
              <w:pStyle w:val="Compact"/>
              <w:jc w:val="left"/>
            </w:pPr>
            <w:r>
              <w:t xml:space="preserve">Walk (2nd GPU + vLLM)</w:t>
            </w:r>
          </w:p>
        </w:tc>
        <w:tc>
          <w:tcPr/>
          <w:p>
            <w:pPr>
              <w:pStyle w:val="Compact"/>
              <w:jc w:val="left"/>
            </w:pPr>
            <w:r>
              <w:t xml:space="preserve">Scale inference, add K3s</w:t>
            </w:r>
          </w:p>
        </w:tc>
        <w:tc>
          <w:tcPr/>
          <w:p>
            <w:pPr>
              <w:pStyle w:val="Compact"/>
              <w:jc w:val="left"/>
            </w:pPr>
            <w:r>
              <w:rPr>
                <w:bCs/>
                <w:b/>
              </w:rPr>
              <w:t xml:space="preserve">Timeline is aggressive</w:t>
            </w:r>
            <w:r>
              <w:t xml:space="preserve">. vLLM transition should wait until you have consistent load justifying it.</w:t>
            </w:r>
          </w:p>
        </w:tc>
      </w:tr>
      <w:tr>
        <w:tc>
          <w:tcPr/>
          <w:p>
            <w:pPr>
              <w:pStyle w:val="Compact"/>
              <w:jc w:val="left"/>
            </w:pPr>
            <w:r>
              <w:t xml:space="preserve">Run (Co-locate + scale)</w:t>
            </w:r>
          </w:p>
        </w:tc>
        <w:tc>
          <w:tcPr/>
          <w:p>
            <w:pPr>
              <w:pStyle w:val="Compact"/>
              <w:jc w:val="left"/>
            </w:pPr>
            <w:r>
              <w:t xml:space="preserve">Full data center, K8s</w:t>
            </w:r>
          </w:p>
        </w:tc>
        <w:tc>
          <w:tcPr/>
          <w:p>
            <w:pPr>
              <w:pStyle w:val="Compact"/>
              <w:jc w:val="left"/>
            </w:pPr>
            <w:r>
              <w:rPr>
                <w:bCs/>
                <w:b/>
              </w:rPr>
              <w:t xml:space="preserve">Realistic if revenue targets are met.</w:t>
            </w:r>
            <w:r>
              <w:t xml:space="preserve"> </w:t>
            </w:r>
            <w:r>
              <w:t xml:space="preserve">MainOne or Rack Centre in Lagos are good choices.</w:t>
            </w:r>
          </w:p>
        </w:tc>
      </w:tr>
    </w:tbl>
    <w:p>
      <w:r>
        <w:pict>
          <v:rect style="width:0;height:1.5pt" o:hralign="center" o:hrstd="t" o:hr="t"/>
        </w:pict>
      </w:r>
    </w:p>
    <w:bookmarkEnd w:id="28"/>
    <w:bookmarkEnd w:id="29"/>
    <w:bookmarkStart w:id="33" w:name="priority-recommendations"/>
    <w:p>
      <w:pPr>
        <w:pStyle w:val="Heading2"/>
      </w:pPr>
      <w:r>
        <w:t xml:space="preserve">3. Priority Recommendations</w:t>
      </w:r>
    </w:p>
    <w:bookmarkStart w:id="30" w:name="what-to-build-first-months-16"/>
    <w:p>
      <w:pPr>
        <w:pStyle w:val="Heading3"/>
      </w:pPr>
      <w:r>
        <w:t xml:space="preserve">What to Build First (Months 1–6)</w:t>
      </w:r>
    </w:p>
    <w:p>
      <w:pPr>
        <w:numPr>
          <w:ilvl w:val="0"/>
          <w:numId w:val="1001"/>
        </w:numPr>
        <w:pStyle w:val="Compact"/>
      </w:pPr>
      <w:r>
        <w:rPr>
          <w:bCs/>
          <w:b/>
        </w:rPr>
        <w:t xml:space="preserve">Solar Equipment E-commerce Platform</w:t>
      </w:r>
      <w:r>
        <w:t xml:space="preserve"> </w:t>
      </w:r>
      <w:r>
        <w:t xml:space="preserve">— Use Medusa for product catalog, integrate with Paystack for payments. This generates revenue immediately.</w:t>
      </w:r>
    </w:p>
    <w:p>
      <w:pPr>
        <w:numPr>
          <w:ilvl w:val="0"/>
          <w:numId w:val="1001"/>
        </w:numPr>
        <w:pStyle w:val="Compact"/>
      </w:pPr>
      <w:r>
        <w:rPr>
          <w:bCs/>
          <w:b/>
        </w:rPr>
        <w:t xml:space="preserve">IoT Device Management Dashboard</w:t>
      </w:r>
      <w:r>
        <w:t xml:space="preserve"> </w:t>
      </w:r>
      <w:r>
        <w:t xml:space="preserve">— ThingsBoard CE for monitoring installed solar systems. This is your core product differentiator.</w:t>
      </w:r>
    </w:p>
    <w:p>
      <w:pPr>
        <w:numPr>
          <w:ilvl w:val="0"/>
          <w:numId w:val="1001"/>
        </w:numPr>
        <w:pStyle w:val="Compact"/>
      </w:pPr>
      <w:r>
        <w:rPr>
          <w:bCs/>
          <w:b/>
        </w:rPr>
        <w:t xml:space="preserve">Installer Portal</w:t>
      </w:r>
      <w:r>
        <w:t xml:space="preserve"> </w:t>
      </w:r>
      <w:r>
        <w:t xml:space="preserve">— Simple web app for certified installers to receive jobs, track installations, and get paid. This builds the human network.</w:t>
      </w:r>
    </w:p>
    <w:p>
      <w:pPr>
        <w:numPr>
          <w:ilvl w:val="0"/>
          <w:numId w:val="1001"/>
        </w:numPr>
        <w:pStyle w:val="Compact"/>
      </w:pPr>
      <w:r>
        <w:rPr>
          <w:bCs/>
          <w:b/>
        </w:rPr>
        <w:t xml:space="preserve">Basic AI Assistant</w:t>
      </w:r>
      <w:r>
        <w:t xml:space="preserve"> </w:t>
      </w:r>
      <w:r>
        <w:t xml:space="preserve">— Qwen2.5-7B via Ollama for customer support chatbot and installer guidance.</w:t>
      </w:r>
    </w:p>
    <w:bookmarkEnd w:id="30"/>
    <w:bookmarkStart w:id="31" w:name="what-to-defer-months-718"/>
    <w:p>
      <w:pPr>
        <w:pStyle w:val="Heading3"/>
      </w:pPr>
      <w:r>
        <w:t xml:space="preserve">What to Defer (Months 7–18)</w:t>
      </w:r>
    </w:p>
    <w:p>
      <w:pPr>
        <w:numPr>
          <w:ilvl w:val="0"/>
          <w:numId w:val="1002"/>
        </w:numPr>
        <w:pStyle w:val="Compact"/>
      </w:pPr>
      <w:r>
        <w:t xml:space="preserve">Full fintech/PSSP infrastructure (complex regulatory requirements — use Paystack/Flutterwave as intermediary first)</w:t>
      </w:r>
    </w:p>
    <w:p>
      <w:pPr>
        <w:numPr>
          <w:ilvl w:val="0"/>
          <w:numId w:val="1002"/>
        </w:numPr>
        <w:pStyle w:val="Compact"/>
      </w:pPr>
      <w:r>
        <w:t xml:space="preserve">Real estate platform (wait until core ecosystem is stable)</w:t>
      </w:r>
    </w:p>
    <w:p>
      <w:pPr>
        <w:numPr>
          <w:ilvl w:val="0"/>
          <w:numId w:val="1002"/>
        </w:numPr>
        <w:pStyle w:val="Compact"/>
      </w:pPr>
      <w:r>
        <w:t xml:space="preserve">PMAP mapping platform (requires significant data collection)</w:t>
      </w:r>
    </w:p>
    <w:p>
      <w:pPr>
        <w:numPr>
          <w:ilvl w:val="0"/>
          <w:numId w:val="1002"/>
        </w:numPr>
        <w:pStyle w:val="Compact"/>
      </w:pPr>
      <w:r>
        <w:t xml:space="preserve">Full ERP deployment (use basic ERPNext modules first)</w:t>
      </w:r>
    </w:p>
    <w:bookmarkEnd w:id="31"/>
    <w:bookmarkStart w:id="32" w:name="what-to-reconsider"/>
    <w:p>
      <w:pPr>
        <w:pStyle w:val="Heading3"/>
      </w:pPr>
      <w:r>
        <w:t xml:space="preserve">What to Reconsider</w:t>
      </w:r>
    </w:p>
    <w:p>
      <w:pPr>
        <w:numPr>
          <w:ilvl w:val="0"/>
          <w:numId w:val="1003"/>
        </w:numPr>
        <w:pStyle w:val="Compact"/>
      </w:pPr>
      <w:r>
        <w:rPr>
          <w:bCs/>
          <w:b/>
        </w:rPr>
        <w:t xml:space="preserve">Building your own PSSP from scratch</w:t>
      </w:r>
      <w:r>
        <w:t xml:space="preserve"> </w:t>
      </w:r>
      <w:r>
        <w:t xml:space="preserve">— This requires CBN licensing, which takes 12–18 months. Partner with licensed PSSPs first, then apply for your own license once you have transaction volume to justify it.</w:t>
      </w:r>
    </w:p>
    <w:p>
      <w:pPr>
        <w:numPr>
          <w:ilvl w:val="0"/>
          <w:numId w:val="1003"/>
        </w:numPr>
        <w:pStyle w:val="Compact"/>
      </w:pPr>
      <w:r>
        <w:rPr>
          <w:bCs/>
          <w:b/>
        </w:rPr>
        <w:t xml:space="preserve">78 microservices target</w:t>
      </w:r>
      <w:r>
        <w:t xml:space="preserve"> </w:t>
      </w:r>
      <w:r>
        <w:t xml:space="preserve">— Reframe this as a 3-year architecture vision, not a deployment target.</w:t>
      </w:r>
    </w:p>
    <w:p>
      <w:r>
        <w:pict>
          <v:rect style="width:0;height:1.5pt" o:hralign="center" o:hrstd="t" o:hr="t"/>
        </w:pict>
      </w:r>
    </w:p>
    <w:bookmarkEnd w:id="32"/>
    <w:bookmarkEnd w:id="33"/>
    <w:bookmarkStart w:id="37" w:name="nigeria-specific-considerations"/>
    <w:p>
      <w:pPr>
        <w:pStyle w:val="Heading2"/>
      </w:pPr>
      <w:r>
        <w:t xml:space="preserve">4. Nigeria-Specific Considerations</w:t>
      </w:r>
    </w:p>
    <w:bookmarkStart w:id="34" w:name="infrastructure-challenges"/>
    <w:p>
      <w:pPr>
        <w:pStyle w:val="Heading3"/>
      </w:pPr>
      <w:r>
        <w:t xml:space="preserve">Infrastructure Challenges</w:t>
      </w:r>
    </w:p>
    <w:p>
      <w:pPr>
        <w:pStyle w:val="FirstParagraph"/>
      </w:pPr>
      <w:r>
        <w:rPr>
          <w:bCs/>
          <w:b/>
        </w:rPr>
        <w:t xml:space="preserve">Power:</w:t>
      </w:r>
      <w:r>
        <w:t xml:space="preserve"> </w:t>
      </w:r>
      <w:r>
        <w:t xml:space="preserve">A TRX50 workstation with an RTX 4090 draws ~500–600W under load. With networking and peripherals, budget for 800W continuous. For 24/7 uptime:</w:t>
      </w:r>
      <w:r>
        <w:t xml:space="preserve"> </w:t>
      </w:r>
      <w:r>
        <w:t xml:space="preserve">- Minimum 3KVA online UPS (provides ~30min backup)</w:t>
      </w:r>
      <w:r>
        <w:t xml:space="preserve"> </w:t>
      </w:r>
      <w:r>
        <w:t xml:space="preserve">- Solar backup: 2KW solar array + 5KWh battery bank for extended outages</w:t>
      </w:r>
      <w:r>
        <w:t xml:space="preserve"> </w:t>
      </w:r>
      <w:r>
        <w:t xml:space="preserve">- Monthly diesel generator cost: ~₦50,000–80,000 for a 5KVA generator during extended outages</w:t>
      </w:r>
      <w:r>
        <w:t xml:space="preserve"> </w:t>
      </w:r>
      <w:r>
        <w:t xml:space="preserve">-</w:t>
      </w:r>
      <w:r>
        <w:t xml:space="preserve"> </w:t>
      </w:r>
      <w:r>
        <w:rPr>
          <w:bCs/>
          <w:b/>
        </w:rPr>
        <w:t xml:space="preserve">Budget impact:</w:t>
      </w:r>
      <w:r>
        <w:t xml:space="preserve"> </w:t>
      </w:r>
      <w:r>
        <w:t xml:space="preserve">Add ₦2–3M for power infrastructure if not already included</w:t>
      </w:r>
    </w:p>
    <w:p>
      <w:pPr>
        <w:pStyle w:val="BodyText"/>
      </w:pPr>
      <w:r>
        <w:rPr>
          <w:bCs/>
          <w:b/>
        </w:rPr>
        <w:t xml:space="preserve">Internet:</w:t>
      </w:r>
      <w:r>
        <w:t xml:space="preserve"> </w:t>
      </w:r>
      <w:r>
        <w:t xml:space="preserve">For AI inference serving and IoT device management:</w:t>
      </w:r>
      <w:r>
        <w:t xml:space="preserve"> </w:t>
      </w:r>
      <w:r>
        <w:t xml:space="preserve">- Primary: Fiber connection (MainOne/Glo) — ~₦150,000/month for dedicated 100Mbps</w:t>
      </w:r>
      <w:r>
        <w:t xml:space="preserve"> </w:t>
      </w:r>
      <w:r>
        <w:t xml:space="preserve">- Backup: Starlink or 4G failover</w:t>
      </w:r>
      <w:r>
        <w:t xml:space="preserve"> </w:t>
      </w:r>
      <w:r>
        <w:t xml:space="preserve">- Consider co-location at MainOne or Rack Centre once you exceed the capacity of an office-based setup</w:t>
      </w:r>
    </w:p>
    <w:bookmarkEnd w:id="34"/>
    <w:bookmarkStart w:id="35" w:name="regulatory-compliance"/>
    <w:p>
      <w:pPr>
        <w:pStyle w:val="Heading3"/>
      </w:pPr>
      <w:r>
        <w:t xml:space="preserve">Regulatory Compliance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Requirement</w:t>
            </w:r>
          </w:p>
        </w:tc>
        <w:tc>
          <w:tcPr/>
          <w:p>
            <w:pPr>
              <w:pStyle w:val="Compact"/>
              <w:jc w:val="left"/>
            </w:pPr>
            <w:r>
              <w:t xml:space="preserve">Timeline</w:t>
            </w:r>
          </w:p>
        </w:tc>
        <w:tc>
          <w:tcPr/>
          <w:p>
            <w:pPr>
              <w:pStyle w:val="Compact"/>
              <w:jc w:val="left"/>
            </w:pPr>
            <w:r>
              <w:t xml:space="preserve">Cost Estimate</w:t>
            </w:r>
          </w:p>
        </w:tc>
      </w:tr>
      <w:tr>
        <w:tc>
          <w:tcPr/>
          <w:p>
            <w:pPr>
              <w:pStyle w:val="Compact"/>
              <w:jc w:val="left"/>
            </w:pPr>
            <w:r>
              <w:t xml:space="preserve">NDPA 2023 registration</w:t>
            </w:r>
          </w:p>
        </w:tc>
        <w:tc>
          <w:tcPr/>
          <w:p>
            <w:pPr>
              <w:pStyle w:val="Compact"/>
              <w:jc w:val="left"/>
            </w:pPr>
            <w:r>
              <w:t xml:space="preserve">Immediate</w:t>
            </w:r>
          </w:p>
        </w:tc>
        <w:tc>
          <w:tcPr/>
          <w:p>
            <w:pPr>
              <w:pStyle w:val="Compact"/>
              <w:jc w:val="left"/>
            </w:pPr>
            <w:r>
              <w:t xml:space="preserve">₦500,000</w:t>
            </w:r>
          </w:p>
        </w:tc>
      </w:tr>
      <w:tr>
        <w:tc>
          <w:tcPr/>
          <w:p>
            <w:pPr>
              <w:pStyle w:val="Compact"/>
              <w:jc w:val="left"/>
            </w:pPr>
            <w:r>
              <w:t xml:space="preserve">NCC registration (if ISP services)</w:t>
            </w:r>
          </w:p>
        </w:tc>
        <w:tc>
          <w:tcPr/>
          <w:p>
            <w:pPr>
              <w:pStyle w:val="Compact"/>
              <w:jc w:val="left"/>
            </w:pPr>
            <w:r>
              <w:t xml:space="preserve">3–6 months</w:t>
            </w:r>
          </w:p>
        </w:tc>
        <w:tc>
          <w:tcPr/>
          <w:p>
            <w:pPr>
              <w:pStyle w:val="Compact"/>
              <w:jc w:val="left"/>
            </w:pPr>
            <w:r>
              <w:t xml:space="preserve">₦2–5M</w:t>
            </w:r>
          </w:p>
        </w:tc>
      </w:tr>
      <w:tr>
        <w:tc>
          <w:tcPr/>
          <w:p>
            <w:pPr>
              <w:pStyle w:val="Compact"/>
              <w:jc w:val="left"/>
            </w:pPr>
            <w:r>
              <w:t xml:space="preserve">CBN PSSP license</w:t>
            </w:r>
          </w:p>
        </w:tc>
        <w:tc>
          <w:tcPr/>
          <w:p>
            <w:pPr>
              <w:pStyle w:val="Compact"/>
              <w:jc w:val="left"/>
            </w:pPr>
            <w:r>
              <w:t xml:space="preserve">12–18 months</w:t>
            </w:r>
          </w:p>
        </w:tc>
        <w:tc>
          <w:tcPr/>
          <w:p>
            <w:pPr>
              <w:pStyle w:val="Compact"/>
              <w:jc w:val="left"/>
            </w:pPr>
            <w:r>
              <w:t xml:space="preserve">₦10–50M (consider deferring)</w:t>
            </w:r>
          </w:p>
        </w:tc>
      </w:tr>
      <w:tr>
        <w:tc>
          <w:tcPr/>
          <w:p>
            <w:pPr>
              <w:pStyle w:val="Compact"/>
              <w:jc w:val="left"/>
            </w:pPr>
            <w:r>
              <w:t xml:space="preserve">CAC business registration amendments</w:t>
            </w:r>
          </w:p>
        </w:tc>
        <w:tc>
          <w:tcPr/>
          <w:p>
            <w:pPr>
              <w:pStyle w:val="Compact"/>
              <w:jc w:val="left"/>
            </w:pPr>
            <w:r>
              <w:t xml:space="preserve">1 month</w:t>
            </w:r>
          </w:p>
        </w:tc>
        <w:tc>
          <w:tcPr/>
          <w:p>
            <w:pPr>
              <w:pStyle w:val="Compact"/>
              <w:jc w:val="left"/>
            </w:pPr>
            <w:r>
              <w:t xml:space="preserve">₦200,000</w:t>
            </w:r>
          </w:p>
        </w:tc>
      </w:tr>
      <w:tr>
        <w:tc>
          <w:tcPr/>
          <w:p>
            <w:pPr>
              <w:pStyle w:val="Compact"/>
              <w:jc w:val="left"/>
            </w:pPr>
            <w:r>
              <w:t xml:space="preserve">SCUML registration (fintech)</w:t>
            </w:r>
          </w:p>
        </w:tc>
        <w:tc>
          <w:tcPr/>
          <w:p>
            <w:pPr>
              <w:pStyle w:val="Compact"/>
              <w:jc w:val="left"/>
            </w:pPr>
            <w:r>
              <w:t xml:space="preserve">2–3 months</w:t>
            </w:r>
          </w:p>
        </w:tc>
        <w:tc>
          <w:tcPr/>
          <w:p>
            <w:pPr>
              <w:pStyle w:val="Compact"/>
              <w:jc w:val="left"/>
            </w:pPr>
            <w:r>
              <w:t xml:space="preserve">₦100,000</w:t>
            </w:r>
          </w:p>
        </w:tc>
      </w:tr>
    </w:tbl>
    <w:p>
      <w:pPr>
        <w:pStyle w:val="BodyText"/>
      </w:pPr>
      <w:r>
        <w:rPr>
          <w:bCs/>
          <w:b/>
        </w:rPr>
        <w:t xml:space="preserve">Recommendation:</w:t>
      </w:r>
      <w:r>
        <w:t xml:space="preserve"> </w:t>
      </w:r>
      <w:r>
        <w:t xml:space="preserve">Start with NDPA and CAC immediately. Defer PSSP license until you have 6+ months of transaction data through a partner payment provider.</w:t>
      </w:r>
    </w:p>
    <w:bookmarkEnd w:id="35"/>
    <w:bookmarkStart w:id="36" w:name="mobile-first-strategy-assessment"/>
    <w:p>
      <w:pPr>
        <w:pStyle w:val="Heading3"/>
      </w:pPr>
      <w:r>
        <w:t xml:space="preserve">Mobile-First Strategy Assessment</w:t>
      </w:r>
    </w:p>
    <w:p>
      <w:pPr>
        <w:pStyle w:val="FirstParagraph"/>
      </w:pPr>
      <w:r>
        <w:t xml:space="preserve">The statement</w:t>
      </w:r>
      <w:r>
        <w:t xml:space="preserve"> </w:t>
      </w:r>
      <w:r>
        <w:t xml:space="preserve">“</w:t>
      </w:r>
      <w:r>
        <w:t xml:space="preserve">70%+ users on mobile</w:t>
      </w:r>
      <w:r>
        <w:t xml:space="preserve">”</w:t>
      </w:r>
      <w:r>
        <w:t xml:space="preserve"> </w:t>
      </w:r>
      <w:r>
        <w:t xml:space="preserve">is accurate for Nigeria. This means:</w:t>
      </w:r>
      <w:r>
        <w:t xml:space="preserve"> </w:t>
      </w:r>
      <w:r>
        <w:t xml:space="preserve">- All dashboards must be responsive or have dedicated mobile views</w:t>
      </w:r>
      <w:r>
        <w:t xml:space="preserve"> </w:t>
      </w:r>
      <w:r>
        <w:t xml:space="preserve">- Consider Progressive Web Apps (PWAs) over native apps for faster iteration</w:t>
      </w:r>
      <w:r>
        <w:t xml:space="preserve"> </w:t>
      </w:r>
      <w:r>
        <w:t xml:space="preserve">- USSD fallback for feature phone users is excellent — Whisper STT for voice interaction adds massive value</w:t>
      </w:r>
      <w:r>
        <w:t xml:space="preserve"> </w:t>
      </w:r>
      <w:r>
        <w:t xml:space="preserve">- Keep page sizes under 500KB for 3G connections</w:t>
      </w:r>
      <w:r>
        <w:t xml:space="preserve"> </w:t>
      </w:r>
      <w:r>
        <w:t xml:space="preserve">- Offline-capable features are essential</w:t>
      </w:r>
    </w:p>
    <w:p>
      <w:r>
        <w:pict>
          <v:rect style="width:0;height:1.5pt" o:hralign="center" o:hrstd="t" o:hr="t"/>
        </w:pict>
      </w:r>
    </w:p>
    <w:bookmarkEnd w:id="36"/>
    <w:bookmarkEnd w:id="37"/>
    <w:bookmarkStart w:id="41" w:name="financial-analysis"/>
    <w:p>
      <w:pPr>
        <w:pStyle w:val="Heading2"/>
      </w:pPr>
      <w:r>
        <w:t xml:space="preserve">5. Financial Analysis</w:t>
      </w:r>
    </w:p>
    <w:bookmarkStart w:id="38" w:name="budget-allocation-review-250m-160k-usd"/>
    <w:p>
      <w:pPr>
        <w:pStyle w:val="Heading3"/>
      </w:pPr>
      <w:r>
        <w:t xml:space="preserve">Budget Allocation Review (₦250M / ~$160K USD)</w:t>
      </w:r>
    </w:p>
    <w:p>
      <w:pPr>
        <w:pStyle w:val="FirstParagraph"/>
      </w:pPr>
      <w:r>
        <w:t xml:space="preserve">This budget is tight for the scope described. Here’s my honest assessment:</w:t>
      </w:r>
    </w:p>
    <w:tbl>
      <w:tblPr>
        <w:tblStyle w:val="Table"/>
        <w:tblW w:type="pct" w:w="5000"/>
        <w:tblLook w:firstRow="1" w:lastRow="0" w:firstColumn="0" w:lastColumn="0" w:noHBand="0" w:noVBand="0" w:val="0020"/>
        <w:jc w:val="start"/>
      </w:tblPr>
      <w:tblGrid>
        <w:gridCol w:w="1931"/>
        <w:gridCol w:w="4056"/>
        <w:gridCol w:w="579"/>
        <w:gridCol w:w="1352"/>
      </w:tblGrid>
      <w:tr>
        <w:trPr>
          <w:tblHeader w:val="true"/>
        </w:trPr>
        <w:tc>
          <w:tcPr/>
          <w:p>
            <w:pPr>
              <w:pStyle w:val="Compact"/>
              <w:jc w:val="left"/>
            </w:pPr>
            <w:r>
              <w:t xml:space="preserve">Category</w:t>
            </w:r>
          </w:p>
        </w:tc>
        <w:tc>
          <w:tcPr/>
          <w:p>
            <w:pPr>
              <w:pStyle w:val="Compact"/>
              <w:jc w:val="left"/>
            </w:pPr>
            <w:r>
              <w:t xml:space="preserve">Suggested Allocation</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Core team salaries (12 months)</w:t>
            </w:r>
          </w:p>
        </w:tc>
        <w:tc>
          <w:tcPr/>
          <w:p>
            <w:pPr>
              <w:pStyle w:val="Compact"/>
              <w:jc w:val="left"/>
            </w:pPr>
            <w:r>
              <w:t xml:space="preserve">₦96M</w:t>
            </w:r>
          </w:p>
        </w:tc>
        <w:tc>
          <w:tcPr/>
          <w:p>
            <w:pPr>
              <w:pStyle w:val="Compact"/>
              <w:jc w:val="left"/>
            </w:pPr>
            <w:r>
              <w:t xml:space="preserve">38%</w:t>
            </w:r>
          </w:p>
        </w:tc>
        <w:tc>
          <w:tcPr/>
          <w:p>
            <w:pPr>
              <w:pStyle w:val="Compact"/>
              <w:jc w:val="left"/>
            </w:pPr>
            <w:r>
              <w:t xml:space="preserve">8 core engineers × ₦1M/month avg</w:t>
            </w:r>
          </w:p>
        </w:tc>
      </w:tr>
      <w:tr>
        <w:tc>
          <w:tcPr/>
          <w:p>
            <w:pPr>
              <w:pStyle w:val="Compact"/>
              <w:jc w:val="left"/>
            </w:pPr>
            <w:r>
              <w:t xml:space="preserve">Hardware &amp; infrastructure</w:t>
            </w:r>
          </w:p>
        </w:tc>
        <w:tc>
          <w:tcPr/>
          <w:p>
            <w:pPr>
              <w:pStyle w:val="Compact"/>
              <w:jc w:val="left"/>
            </w:pPr>
            <w:r>
              <w:t xml:space="preserve">₦35M</w:t>
            </w:r>
          </w:p>
        </w:tc>
        <w:tc>
          <w:tcPr/>
          <w:p>
            <w:pPr>
              <w:pStyle w:val="Compact"/>
              <w:jc w:val="left"/>
            </w:pPr>
            <w:r>
              <w:t xml:space="preserve">14%</w:t>
            </w:r>
          </w:p>
        </w:tc>
        <w:tc>
          <w:tcPr/>
          <w:p>
            <w:pPr>
              <w:pStyle w:val="Compact"/>
              <w:jc w:val="left"/>
            </w:pPr>
            <w:r>
              <w:t xml:space="preserve">TRX50 + GPUs + networking + power + import duties</w:t>
            </w:r>
          </w:p>
        </w:tc>
      </w:tr>
      <w:tr>
        <w:tc>
          <w:tcPr/>
          <w:p>
            <w:pPr>
              <w:pStyle w:val="Compact"/>
              <w:jc w:val="left"/>
            </w:pPr>
            <w:r>
              <w:t xml:space="preserve">Software &amp; cloud services</w:t>
            </w:r>
          </w:p>
        </w:tc>
        <w:tc>
          <w:tcPr/>
          <w:p>
            <w:pPr>
              <w:pStyle w:val="Compact"/>
              <w:jc w:val="left"/>
            </w:pPr>
            <w:r>
              <w:t xml:space="preserve">₦15M</w:t>
            </w:r>
          </w:p>
        </w:tc>
        <w:tc>
          <w:tcPr/>
          <w:p>
            <w:pPr>
              <w:pStyle w:val="Compact"/>
              <w:jc w:val="left"/>
            </w:pPr>
            <w:r>
              <w:t xml:space="preserve">6%</w:t>
            </w:r>
          </w:p>
        </w:tc>
        <w:tc>
          <w:tcPr/>
          <w:p>
            <w:pPr>
              <w:pStyle w:val="Compact"/>
              <w:jc w:val="left"/>
            </w:pPr>
            <w:r>
              <w:t xml:space="preserve">Domain, hosting backup, SaaS tools, API costs</w:t>
            </w:r>
          </w:p>
        </w:tc>
      </w:tr>
      <w:tr>
        <w:tc>
          <w:tcPr/>
          <w:p>
            <w:pPr>
              <w:pStyle w:val="Compact"/>
              <w:jc w:val="left"/>
            </w:pPr>
            <w:r>
              <w:t xml:space="preserve">Office &amp; operations</w:t>
            </w:r>
          </w:p>
        </w:tc>
        <w:tc>
          <w:tcPr/>
          <w:p>
            <w:pPr>
              <w:pStyle w:val="Compact"/>
              <w:jc w:val="left"/>
            </w:pPr>
            <w:r>
              <w:t xml:space="preserve">₦24M</w:t>
            </w:r>
          </w:p>
        </w:tc>
        <w:tc>
          <w:tcPr/>
          <w:p>
            <w:pPr>
              <w:pStyle w:val="Compact"/>
              <w:jc w:val="left"/>
            </w:pPr>
            <w:r>
              <w:t xml:space="preserve">10%</w:t>
            </w:r>
          </w:p>
        </w:tc>
        <w:tc>
          <w:tcPr/>
          <w:p>
            <w:pPr>
              <w:pStyle w:val="Compact"/>
              <w:jc w:val="left"/>
            </w:pPr>
            <w:r>
              <w:t xml:space="preserve">Lagos office, utilities, internet</w:t>
            </w:r>
          </w:p>
        </w:tc>
      </w:tr>
      <w:tr>
        <w:tc>
          <w:tcPr/>
          <w:p>
            <w:pPr>
              <w:pStyle w:val="Compact"/>
              <w:jc w:val="left"/>
            </w:pPr>
            <w:r>
              <w:t xml:space="preserve">Legal &amp; compliance</w:t>
            </w:r>
          </w:p>
        </w:tc>
        <w:tc>
          <w:tcPr/>
          <w:p>
            <w:pPr>
              <w:pStyle w:val="Compact"/>
              <w:jc w:val="left"/>
            </w:pPr>
            <w:r>
              <w:t xml:space="preserve">₦10M</w:t>
            </w:r>
          </w:p>
        </w:tc>
        <w:tc>
          <w:tcPr/>
          <w:p>
            <w:pPr>
              <w:pStyle w:val="Compact"/>
              <w:jc w:val="left"/>
            </w:pPr>
            <w:r>
              <w:t xml:space="preserve">4%</w:t>
            </w:r>
          </w:p>
        </w:tc>
        <w:tc>
          <w:tcPr/>
          <w:p>
            <w:pPr>
              <w:pStyle w:val="Compact"/>
              <w:jc w:val="left"/>
            </w:pPr>
            <w:r>
              <w:t xml:space="preserve">Registrations, legal counsel</w:t>
            </w:r>
          </w:p>
        </w:tc>
      </w:tr>
      <w:tr>
        <w:tc>
          <w:tcPr/>
          <w:p>
            <w:pPr>
              <w:pStyle w:val="Compact"/>
              <w:jc w:val="left"/>
            </w:pPr>
            <w:r>
              <w:t xml:space="preserve">Marketing &amp; customer acquisition</w:t>
            </w:r>
          </w:p>
        </w:tc>
        <w:tc>
          <w:tcPr/>
          <w:p>
            <w:pPr>
              <w:pStyle w:val="Compact"/>
              <w:jc w:val="left"/>
            </w:pPr>
            <w:r>
              <w:t xml:space="preserve">₦30M</w:t>
            </w:r>
          </w:p>
        </w:tc>
        <w:tc>
          <w:tcPr/>
          <w:p>
            <w:pPr>
              <w:pStyle w:val="Compact"/>
              <w:jc w:val="left"/>
            </w:pPr>
            <w:r>
              <w:t xml:space="preserve">12%</w:t>
            </w:r>
          </w:p>
        </w:tc>
        <w:tc>
          <w:tcPr/>
          <w:p>
            <w:pPr>
              <w:pStyle w:val="Compact"/>
              <w:jc w:val="left"/>
            </w:pPr>
            <w:r>
              <w:t xml:space="preserve">Digital marketing, events, partnerships</w:t>
            </w:r>
          </w:p>
        </w:tc>
      </w:tr>
      <w:tr>
        <w:tc>
          <w:tcPr/>
          <w:p>
            <w:pPr>
              <w:pStyle w:val="Compact"/>
              <w:jc w:val="left"/>
            </w:pPr>
            <w:r>
              <w:t xml:space="preserve">Working capital &amp; contingency</w:t>
            </w:r>
          </w:p>
        </w:tc>
        <w:tc>
          <w:tcPr/>
          <w:p>
            <w:pPr>
              <w:pStyle w:val="Compact"/>
              <w:jc w:val="left"/>
            </w:pPr>
            <w:r>
              <w:t xml:space="preserve">₦40M</w:t>
            </w:r>
          </w:p>
        </w:tc>
        <w:tc>
          <w:tcPr/>
          <w:p>
            <w:pPr>
              <w:pStyle w:val="Compact"/>
              <w:jc w:val="left"/>
            </w:pPr>
            <w:r>
              <w:t xml:space="preserve">16%</w:t>
            </w:r>
          </w:p>
        </w:tc>
        <w:tc>
          <w:tcPr/>
          <w:p>
            <w:pPr>
              <w:pStyle w:val="Compact"/>
              <w:jc w:val="left"/>
            </w:pPr>
            <w:r>
              <w:t xml:space="preserve">Buffer for unexpected costs</w:t>
            </w:r>
          </w:p>
        </w:tc>
      </w:tr>
      <w:tr>
        <w:tc>
          <w:tcPr/>
          <w:p>
            <w:pPr>
              <w:pStyle w:val="Compact"/>
              <w:jc w:val="left"/>
            </w:pPr>
            <w:r>
              <w:rPr>
                <w:bCs/>
                <w:b/>
              </w:rPr>
              <w:t xml:space="preserve">Total</w:t>
            </w:r>
          </w:p>
        </w:tc>
        <w:tc>
          <w:tcPr/>
          <w:p>
            <w:pPr>
              <w:pStyle w:val="Compact"/>
              <w:jc w:val="left"/>
            </w:pPr>
            <w:r>
              <w:rPr>
                <w:bCs/>
                <w:b/>
              </w:rPr>
              <w:t xml:space="preserve">₦250M</w:t>
            </w:r>
          </w:p>
        </w:tc>
        <w:tc>
          <w:tcPr/>
          <w:p>
            <w:pPr>
              <w:pStyle w:val="Compact"/>
              <w:jc w:val="left"/>
            </w:pPr>
            <w:r>
              <w:rPr>
                <w:bCs/>
                <w:b/>
              </w:rPr>
              <w:t xml:space="preserve">100%</w:t>
            </w:r>
          </w:p>
        </w:tc>
        <w:tc>
          <w:tcPr/>
          <w:p>
            <w:pPr>
              <w:pStyle w:val="Compact"/>
            </w:pPr>
          </w:p>
        </w:tc>
      </w:tr>
    </w:tbl>
    <w:bookmarkEnd w:id="38"/>
    <w:bookmarkStart w:id="39" w:name="cost-optimization-opportunities"/>
    <w:p>
      <w:pPr>
        <w:pStyle w:val="Heading3"/>
      </w:pPr>
      <w:r>
        <w:t xml:space="preserve">Cost Optimization Opportunities</w:t>
      </w:r>
    </w:p>
    <w:p>
      <w:pPr>
        <w:numPr>
          <w:ilvl w:val="0"/>
          <w:numId w:val="1004"/>
        </w:numPr>
        <w:pStyle w:val="Compact"/>
      </w:pPr>
      <w:r>
        <w:rPr>
          <w:bCs/>
          <w:b/>
        </w:rPr>
        <w:t xml:space="preserve">Remote-first team structure</w:t>
      </w:r>
      <w:r>
        <w:t xml:space="preserve"> </w:t>
      </w:r>
      <w:r>
        <w:t xml:space="preserve">— Save ₦12–18M/year on office costs by having a hybrid team with a smaller office</w:t>
      </w:r>
    </w:p>
    <w:p>
      <w:pPr>
        <w:numPr>
          <w:ilvl w:val="0"/>
          <w:numId w:val="1004"/>
        </w:numPr>
        <w:pStyle w:val="Compact"/>
      </w:pPr>
      <w:r>
        <w:rPr>
          <w:bCs/>
          <w:b/>
        </w:rPr>
        <w:t xml:space="preserve">Start with 2 RTX 4090s, not more</w:t>
      </w:r>
      <w:r>
        <w:t xml:space="preserve"> </w:t>
      </w:r>
      <w:r>
        <w:t xml:space="preserve">— Sufficient for Qwen2.5-7B and all support models. Add more only when load demands it</w:t>
      </w:r>
    </w:p>
    <w:p>
      <w:pPr>
        <w:numPr>
          <w:ilvl w:val="0"/>
          <w:numId w:val="1004"/>
        </w:numPr>
        <w:pStyle w:val="Compact"/>
      </w:pPr>
      <w:r>
        <w:rPr>
          <w:bCs/>
          <w:b/>
        </w:rPr>
        <w:t xml:space="preserve">Use Ollama exclusively in Phase 1</w:t>
      </w:r>
      <w:r>
        <w:t xml:space="preserve"> </w:t>
      </w:r>
      <w:r>
        <w:t xml:space="preserve">— Don’t invest in vLLM infrastructure until you have concurrent users justifying it</w:t>
      </w:r>
    </w:p>
    <w:p>
      <w:pPr>
        <w:numPr>
          <w:ilvl w:val="0"/>
          <w:numId w:val="1004"/>
        </w:numPr>
        <w:pStyle w:val="Compact"/>
      </w:pPr>
      <w:r>
        <w:rPr>
          <w:bCs/>
          <w:b/>
        </w:rPr>
        <w:t xml:space="preserve">Leverage Nigerian developer community</w:t>
      </w:r>
      <w:r>
        <w:t xml:space="preserve"> </w:t>
      </w:r>
      <w:r>
        <w:t xml:space="preserve">— NSBE, GDG Lagos, and university partnerships can provide interns at lower cost</w:t>
      </w:r>
    </w:p>
    <w:p>
      <w:pPr>
        <w:numPr>
          <w:ilvl w:val="0"/>
          <w:numId w:val="1004"/>
        </w:numPr>
        <w:pStyle w:val="Compact"/>
      </w:pPr>
      <w:r>
        <w:rPr>
          <w:bCs/>
          <w:b/>
        </w:rPr>
        <w:t xml:space="preserve">Hardware: consider refurbished enterprise GPUs</w:t>
      </w:r>
      <w:r>
        <w:t xml:space="preserve"> </w:t>
      </w:r>
      <w:r>
        <w:t xml:space="preserve">— Some vendors offer refurbished datacenter GPUs at 40–50% discount</w:t>
      </w:r>
    </w:p>
    <w:bookmarkEnd w:id="39"/>
    <w:bookmarkStart w:id="40" w:name="revenue-timeline-projections"/>
    <w:p>
      <w:pPr>
        <w:pStyle w:val="Heading3"/>
      </w:pPr>
      <w:r>
        <w:t xml:space="preserve">Revenue Timeline Projections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Month</w:t>
            </w:r>
          </w:p>
        </w:tc>
        <w:tc>
          <w:tcPr/>
          <w:p>
            <w:pPr>
              <w:pStyle w:val="Compact"/>
              <w:jc w:val="left"/>
            </w:pPr>
            <w:r>
              <w:t xml:space="preserve">Revenue Source</w:t>
            </w:r>
          </w:p>
        </w:tc>
        <w:tc>
          <w:tcPr/>
          <w:p>
            <w:pPr>
              <w:pStyle w:val="Compact"/>
              <w:jc w:val="left"/>
            </w:pPr>
            <w:r>
              <w:t xml:space="preserve">Monthly Estimate</w:t>
            </w:r>
          </w:p>
        </w:tc>
      </w:tr>
      <w:tr>
        <w:tc>
          <w:tcPr/>
          <w:p>
            <w:pPr>
              <w:pStyle w:val="Compact"/>
              <w:jc w:val="left"/>
            </w:pPr>
            <w:r>
              <w:t xml:space="preserve">3–6</w:t>
            </w:r>
          </w:p>
        </w:tc>
        <w:tc>
          <w:tcPr/>
          <w:p>
            <w:pPr>
              <w:pStyle w:val="Compact"/>
              <w:jc w:val="left"/>
            </w:pPr>
            <w:r>
              <w:t xml:space="preserve">Solar equipment e-commerce sales</w:t>
            </w:r>
          </w:p>
        </w:tc>
        <w:tc>
          <w:tcPr/>
          <w:p>
            <w:pPr>
              <w:pStyle w:val="Compact"/>
              <w:jc w:val="left"/>
            </w:pPr>
            <w:r>
              <w:t xml:space="preserve">₦2–5M</w:t>
            </w:r>
          </w:p>
        </w:tc>
      </w:tr>
      <w:tr>
        <w:tc>
          <w:tcPr/>
          <w:p>
            <w:pPr>
              <w:pStyle w:val="Compact"/>
              <w:jc w:val="left"/>
            </w:pPr>
            <w:r>
              <w:t xml:space="preserve">6–9</w:t>
            </w:r>
          </w:p>
        </w:tc>
        <w:tc>
          <w:tcPr/>
          <w:p>
            <w:pPr>
              <w:pStyle w:val="Compact"/>
              <w:jc w:val="left"/>
            </w:pPr>
            <w:r>
              <w:t xml:space="preserve">Installation service fees</w:t>
            </w:r>
          </w:p>
        </w:tc>
        <w:tc>
          <w:tcPr/>
          <w:p>
            <w:pPr>
              <w:pStyle w:val="Compact"/>
              <w:jc w:val="left"/>
            </w:pPr>
            <w:r>
              <w:t xml:space="preserve">₦1–3M</w:t>
            </w:r>
          </w:p>
        </w:tc>
      </w:tr>
      <w:tr>
        <w:tc>
          <w:tcPr/>
          <w:p>
            <w:pPr>
              <w:pStyle w:val="Compact"/>
              <w:jc w:val="left"/>
            </w:pPr>
            <w:r>
              <w:t xml:space="preserve">6–12</w:t>
            </w:r>
          </w:p>
        </w:tc>
        <w:tc>
          <w:tcPr/>
          <w:p>
            <w:pPr>
              <w:pStyle w:val="Compact"/>
              <w:jc w:val="left"/>
            </w:pPr>
            <w:r>
              <w:t xml:space="preserve">IoT platform subscriptions (early adopters)</w:t>
            </w:r>
          </w:p>
        </w:tc>
        <w:tc>
          <w:tcPr/>
          <w:p>
            <w:pPr>
              <w:pStyle w:val="Compact"/>
              <w:jc w:val="left"/>
            </w:pPr>
            <w:r>
              <w:t xml:space="preserve">₦500K–2M</w:t>
            </w:r>
          </w:p>
        </w:tc>
      </w:tr>
      <w:tr>
        <w:tc>
          <w:tcPr/>
          <w:p>
            <w:pPr>
              <w:pStyle w:val="Compact"/>
              <w:jc w:val="left"/>
            </w:pPr>
            <w:r>
              <w:t xml:space="preserve">9–12</w:t>
            </w:r>
          </w:p>
        </w:tc>
        <w:tc>
          <w:tcPr/>
          <w:p>
            <w:pPr>
              <w:pStyle w:val="Compact"/>
              <w:jc w:val="left"/>
            </w:pPr>
            <w:r>
              <w:t xml:space="preserve">Marketplace transaction fees</w:t>
            </w:r>
          </w:p>
        </w:tc>
        <w:tc>
          <w:tcPr/>
          <w:p>
            <w:pPr>
              <w:pStyle w:val="Compact"/>
              <w:jc w:val="left"/>
            </w:pPr>
            <w:r>
              <w:t xml:space="preserve">₦1–5M</w:t>
            </w:r>
          </w:p>
        </w:tc>
      </w:tr>
      <w:tr>
        <w:tc>
          <w:tcPr/>
          <w:p>
            <w:pPr>
              <w:pStyle w:val="Compact"/>
              <w:jc w:val="left"/>
            </w:pPr>
            <w:r>
              <w:t xml:space="preserve">12–18</w:t>
            </w:r>
          </w:p>
        </w:tc>
        <w:tc>
          <w:tcPr/>
          <w:p>
            <w:pPr>
              <w:pStyle w:val="Compact"/>
              <w:jc w:val="left"/>
            </w:pPr>
            <w:r>
              <w:t xml:space="preserve">Fintech transaction fees</w:t>
            </w:r>
          </w:p>
        </w:tc>
        <w:tc>
          <w:tcPr/>
          <w:p>
            <w:pPr>
              <w:pStyle w:val="Compact"/>
              <w:jc w:val="left"/>
            </w:pPr>
            <w:r>
              <w:t xml:space="preserve">₦2–8M</w:t>
            </w:r>
          </w:p>
        </w:tc>
      </w:tr>
      <w:tr>
        <w:tc>
          <w:tcPr/>
          <w:p>
            <w:pPr>
              <w:pStyle w:val="Compact"/>
              <w:jc w:val="left"/>
            </w:pPr>
            <w:r>
              <w:t xml:space="preserve">18–24</w:t>
            </w:r>
          </w:p>
        </w:tc>
        <w:tc>
          <w:tcPr/>
          <w:p>
            <w:pPr>
              <w:pStyle w:val="Compact"/>
              <w:jc w:val="left"/>
            </w:pPr>
            <w:r>
              <w:t xml:space="preserve">Platform licensing (white-label)</w:t>
            </w:r>
          </w:p>
        </w:tc>
        <w:tc>
          <w:tcPr/>
          <w:p>
            <w:pPr>
              <w:pStyle w:val="Compact"/>
              <w:jc w:val="left"/>
            </w:pPr>
            <w:r>
              <w:t xml:space="preserve">₦5–15M</w:t>
            </w:r>
          </w:p>
        </w:tc>
      </w:tr>
    </w:tbl>
    <w:p>
      <w:pPr>
        <w:pStyle w:val="BodyText"/>
      </w:pPr>
      <w:r>
        <w:rPr>
          <w:bCs/>
          <w:b/>
        </w:rPr>
        <w:t xml:space="preserve">Break-even estimate:</w:t>
      </w:r>
      <w:r>
        <w:t xml:space="preserve"> </w:t>
      </w:r>
      <w:r>
        <w:t xml:space="preserve">Month 14–18 at current budget levels (requires strong solar equipment sales from Month 3).</w:t>
      </w:r>
    </w:p>
    <w:p>
      <w:r>
        <w:pict>
          <v:rect style="width:0;height:1.5pt" o:hralign="center" o:hrstd="t" o:hr="t"/>
        </w:pict>
      </w:r>
    </w:p>
    <w:bookmarkEnd w:id="40"/>
    <w:bookmarkEnd w:id="41"/>
    <w:bookmarkStart w:id="45" w:name="risk-mitigation-strategies"/>
    <w:p>
      <w:pPr>
        <w:pStyle w:val="Heading2"/>
      </w:pPr>
      <w:r>
        <w:t xml:space="preserve">6. Risk Mitigation Strategies</w:t>
      </w:r>
    </w:p>
    <w:bookmarkStart w:id="42" w:name="technical-risks"/>
    <w:p>
      <w:pPr>
        <w:pStyle w:val="Heading3"/>
      </w:pPr>
      <w:r>
        <w:t xml:space="preserve">Technical Risks</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GPU hardware failure</w:t>
            </w:r>
          </w:p>
        </w:tc>
        <w:tc>
          <w:tcPr/>
          <w:p>
            <w:pPr>
              <w:pStyle w:val="Compact"/>
              <w:jc w:val="left"/>
            </w:pPr>
            <w:r>
              <w:t xml:space="preserve">Keep 20% budget reserve for replacement. Consider cloud GPU fallback (Lambda, RunPod) for critical inference during hardware downtime.</w:t>
            </w:r>
          </w:p>
        </w:tc>
      </w:tr>
      <w:tr>
        <w:tc>
          <w:tcPr/>
          <w:p>
            <w:pPr>
              <w:pStyle w:val="Compact"/>
              <w:jc w:val="left"/>
            </w:pPr>
            <w:r>
              <w:t xml:space="preserve">Model performance issues</w:t>
            </w:r>
          </w:p>
        </w:tc>
        <w:tc>
          <w:tcPr/>
          <w:p>
            <w:pPr>
              <w:pStyle w:val="Compact"/>
              <w:jc w:val="left"/>
            </w:pPr>
            <w:r>
              <w:t xml:space="preserve">Benchmark Qwen2.5-7B against Phi-4 on Nigerian English text. Fine-tune with Nigerian business data.</w:t>
            </w:r>
          </w:p>
        </w:tc>
      </w:tr>
      <w:tr>
        <w:tc>
          <w:tcPr/>
          <w:p>
            <w:pPr>
              <w:pStyle w:val="Compact"/>
              <w:jc w:val="left"/>
            </w:pPr>
            <w:r>
              <w:t xml:space="preserve">Database scaling</w:t>
            </w:r>
          </w:p>
        </w:tc>
        <w:tc>
          <w:tcPr/>
          <w:p>
            <w:pPr>
              <w:pStyle w:val="Compact"/>
              <w:jc w:val="left"/>
            </w:pPr>
            <w:r>
              <w:t xml:space="preserve">PostgreSQL handles millions of rows well. Add read replicas at 10K+ concurrent users.</w:t>
            </w:r>
          </w:p>
        </w:tc>
      </w:tr>
      <w:tr>
        <w:tc>
          <w:tcPr/>
          <w:p>
            <w:pPr>
              <w:pStyle w:val="Compact"/>
              <w:jc w:val="left"/>
            </w:pPr>
            <w:r>
              <w:t xml:space="preserve">Security breach</w:t>
            </w:r>
          </w:p>
        </w:tc>
        <w:tc>
          <w:tcPr/>
          <w:p>
            <w:pPr>
              <w:pStyle w:val="Compact"/>
              <w:jc w:val="left"/>
            </w:pPr>
            <w:r>
              <w:t xml:space="preserve">Implement Keycloak properly from Day 1. Regular penetration testing. NDPA compliance requires breach notification.</w:t>
            </w:r>
          </w:p>
        </w:tc>
      </w:tr>
    </w:tbl>
    <w:bookmarkEnd w:id="42"/>
    <w:bookmarkStart w:id="43" w:name="market-risks"/>
    <w:p>
      <w:pPr>
        <w:pStyle w:val="Heading3"/>
      </w:pPr>
      <w:r>
        <w:t xml:space="preserve">Market Risks</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Competition from Tuya</w:t>
            </w:r>
          </w:p>
        </w:tc>
        <w:tc>
          <w:tcPr/>
          <w:p>
            <w:pPr>
              <w:pStyle w:val="Compact"/>
              <w:jc w:val="left"/>
            </w:pPr>
            <w:r>
              <w:t xml:space="preserve">Differentiate on open-source, data sovereignty, and local support. Tuya has no Lagos team.</w:t>
            </w:r>
          </w:p>
        </w:tc>
      </w:tr>
      <w:tr>
        <w:tc>
          <w:tcPr/>
          <w:p>
            <w:pPr>
              <w:pStyle w:val="Compact"/>
              <w:jc w:val="left"/>
            </w:pPr>
            <w:r>
              <w:t xml:space="preserve">Low adoption</w:t>
            </w:r>
          </w:p>
        </w:tc>
        <w:tc>
          <w:tcPr/>
          <w:p>
            <w:pPr>
              <w:pStyle w:val="Compact"/>
              <w:jc w:val="left"/>
            </w:pPr>
            <w:r>
              <w:t xml:space="preserve">Start with existing solar customer base. Convert them to platform users first.</w:t>
            </w:r>
          </w:p>
        </w:tc>
      </w:tr>
      <w:tr>
        <w:tc>
          <w:tcPr/>
          <w:p>
            <w:pPr>
              <w:pStyle w:val="Compact"/>
              <w:jc w:val="left"/>
            </w:pPr>
            <w:r>
              <w:t xml:space="preserve">Fintech competition (Paystack, Flutterwave)</w:t>
            </w:r>
          </w:p>
        </w:tc>
        <w:tc>
          <w:tcPr/>
          <w:p>
            <w:pPr>
              <w:pStyle w:val="Compact"/>
              <w:jc w:val="left"/>
            </w:pPr>
            <w:r>
              <w:t xml:space="preserve">Don’t compete head-on. Use their payment rails, add value through solar-specific fintech features.</w:t>
            </w:r>
          </w:p>
        </w:tc>
      </w:tr>
      <w:tr>
        <w:tc>
          <w:tcPr/>
          <w:p>
            <w:pPr>
              <w:pStyle w:val="Compact"/>
              <w:jc w:val="left"/>
            </w:pPr>
            <w:r>
              <w:t xml:space="preserve">Economic downturn / Naira depreciation</w:t>
            </w:r>
          </w:p>
        </w:tc>
        <w:tc>
          <w:tcPr/>
          <w:p>
            <w:pPr>
              <w:pStyle w:val="Compact"/>
              <w:jc w:val="left"/>
            </w:pPr>
            <w:r>
              <w:t xml:space="preserve">Hardware costs (USD-denominated) will increase. Front-load hardware purchases.</w:t>
            </w:r>
          </w:p>
        </w:tc>
      </w:tr>
    </w:tbl>
    <w:bookmarkEnd w:id="43"/>
    <w:bookmarkStart w:id="44" w:name="operational-risks"/>
    <w:p>
      <w:pPr>
        <w:pStyle w:val="Heading3"/>
      </w:pPr>
      <w:r>
        <w:t xml:space="preserve">Operational Risks</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Key person dependency</w:t>
            </w:r>
          </w:p>
        </w:tc>
        <w:tc>
          <w:tcPr/>
          <w:p>
            <w:pPr>
              <w:pStyle w:val="Compact"/>
              <w:jc w:val="left"/>
            </w:pPr>
            <w:r>
              <w:t xml:space="preserve">Document everything. Cross-train team members. Use infrastructure-as-code.</w:t>
            </w:r>
          </w:p>
        </w:tc>
      </w:tr>
      <w:tr>
        <w:tc>
          <w:tcPr/>
          <w:p>
            <w:pPr>
              <w:pStyle w:val="Compact"/>
              <w:jc w:val="left"/>
            </w:pPr>
            <w:r>
              <w:t xml:space="preserve">Talent attrition</w:t>
            </w:r>
          </w:p>
        </w:tc>
        <w:tc>
          <w:tcPr/>
          <w:p>
            <w:pPr>
              <w:pStyle w:val="Compact"/>
              <w:jc w:val="left"/>
            </w:pPr>
            <w:r>
              <w:t xml:space="preserve">Competitive salaries for Lagos market. Equity/token incentives. Remote work flexibility.</w:t>
            </w:r>
          </w:p>
        </w:tc>
      </w:tr>
      <w:tr>
        <w:tc>
          <w:tcPr/>
          <w:p>
            <w:pPr>
              <w:pStyle w:val="Compact"/>
              <w:jc w:val="left"/>
            </w:pPr>
            <w:r>
              <w:t xml:space="preserve">Regulatory changes</w:t>
            </w:r>
          </w:p>
        </w:tc>
        <w:tc>
          <w:tcPr/>
          <w:p>
            <w:pPr>
              <w:pStyle w:val="Compact"/>
              <w:jc w:val="left"/>
            </w:pPr>
            <w:r>
              <w:t xml:space="preserve">Maintain relationships with NCC, CBN, NDPC. Join industry associations.</w:t>
            </w:r>
          </w:p>
        </w:tc>
      </w:tr>
    </w:tbl>
    <w:p>
      <w:r>
        <w:pict>
          <v:rect style="width:0;height:1.5pt" o:hralign="center" o:hrstd="t" o:hr="t"/>
        </w:pict>
      </w:r>
    </w:p>
    <w:bookmarkEnd w:id="44"/>
    <w:bookmarkEnd w:id="45"/>
    <w:bookmarkStart w:id="48" w:name="alternative-approaches-solutions"/>
    <w:p>
      <w:pPr>
        <w:pStyle w:val="Heading2"/>
      </w:pPr>
      <w:r>
        <w:t xml:space="preserve">7. Alternative Approaches &amp; Solutions</w:t>
      </w:r>
    </w:p>
    <w:bookmarkStart w:id="46" w:name="Xca48991004ce37d7930442de786c085665d681a"/>
    <w:p>
      <w:pPr>
        <w:pStyle w:val="Heading3"/>
      </w:pPr>
      <w:r>
        <w:t xml:space="preserve">Where Different Approaches Could Work Better</w:t>
      </w:r>
    </w:p>
    <w:p>
      <w:pPr>
        <w:numPr>
          <w:ilvl w:val="0"/>
          <w:numId w:val="1005"/>
        </w:numPr>
      </w:pPr>
      <w:r>
        <w:rPr>
          <w:bCs/>
          <w:b/>
        </w:rPr>
        <w:t xml:space="preserve">Marketplace: Consider Shopify-like approach first</w:t>
      </w:r>
      <w:r>
        <w:t xml:space="preserve"> </w:t>
      </w:r>
      <w:r>
        <w:t xml:space="preserve">Instead of building a full marketplace from scratch with Medusa, consider a simpler model: enable solar equipment vendors to create storefronts. This reduces engineering complexity while testing marketplace demand.</w:t>
      </w:r>
    </w:p>
    <w:p>
      <w:pPr>
        <w:numPr>
          <w:ilvl w:val="0"/>
          <w:numId w:val="1005"/>
        </w:numPr>
      </w:pPr>
      <w:r>
        <w:rPr>
          <w:bCs/>
          <w:b/>
        </w:rPr>
        <w:t xml:space="preserve">AI Infrastructure: Consider hybrid cloud + on-premise</w:t>
      </w:r>
      <w:r>
        <w:t xml:space="preserve"> </w:t>
      </w:r>
      <w:r>
        <w:t xml:space="preserve">While self-hosting is the long-term goal, using cloud GPU instances (Lambda Cloud at ~$1.10/hr for A100) during development prevents hardware procurement delays from blocking engineering progress.</w:t>
      </w:r>
    </w:p>
    <w:p>
      <w:pPr>
        <w:numPr>
          <w:ilvl w:val="0"/>
          <w:numId w:val="1005"/>
        </w:numPr>
      </w:pPr>
      <w:r>
        <w:rPr>
          <w:bCs/>
          <w:b/>
        </w:rPr>
        <w:t xml:space="preserve">Fintech: API-first integration</w:t>
      </w:r>
      <w:r>
        <w:t xml:space="preserve"> </w:t>
      </w:r>
      <w:r>
        <w:t xml:space="preserve">Rather than building Fineract-based banking infrastructure, start with Paystack/Flutterwave APIs + a simple wallet service. This gets you to market 6 months faster.</w:t>
      </w:r>
    </w:p>
    <w:p>
      <w:pPr>
        <w:numPr>
          <w:ilvl w:val="0"/>
          <w:numId w:val="1005"/>
        </w:numPr>
      </w:pPr>
      <w:r>
        <w:rPr>
          <w:bCs/>
          <w:b/>
        </w:rPr>
        <w:t xml:space="preserve">Real Estate: Partnership model</w:t>
      </w:r>
      <w:r>
        <w:t xml:space="preserve"> </w:t>
      </w:r>
      <w:r>
        <w:t xml:space="preserve">Instead of building a property platform, partner with existing Nigerian property platforms (PropertyPro, Nigeria Property Centre) and integrate their listings into your ecosystem.</w:t>
      </w:r>
    </w:p>
    <w:bookmarkEnd w:id="46"/>
    <w:bookmarkStart w:id="47" w:name="partnership-opportunities"/>
    <w:p>
      <w:pPr>
        <w:pStyle w:val="Heading3"/>
      </w:pPr>
      <w:r>
        <w:t xml:space="preserve">Partnership Opportunities</w:t>
      </w:r>
    </w:p>
    <w:tbl>
      <w:tblPr>
        <w:tblStyle w:val="Table"/>
        <w:tblW w:type="pct" w:w="5000"/>
        <w:tblLook w:firstRow="1" w:lastRow="0" w:firstColumn="0" w:lastColumn="0" w:noHBand="0" w:noVBand="0" w:val="0020"/>
        <w:jc w:val="start"/>
      </w:tblPr>
      <w:tblGrid>
        <w:gridCol w:w="3432"/>
        <w:gridCol w:w="2640"/>
        <w:gridCol w:w="1848"/>
      </w:tblGrid>
      <w:tr>
        <w:trPr>
          <w:tblHeader w:val="true"/>
        </w:trPr>
        <w:tc>
          <w:tcPr/>
          <w:p>
            <w:pPr>
              <w:pStyle w:val="Compact"/>
              <w:jc w:val="left"/>
            </w:pPr>
            <w:r>
              <w:t xml:space="preserve">Partner Type</w:t>
            </w:r>
          </w:p>
        </w:tc>
        <w:tc>
          <w:tcPr/>
          <w:p>
            <w:pPr>
              <w:pStyle w:val="Compact"/>
              <w:jc w:val="left"/>
            </w:pPr>
            <w:r>
              <w:t xml:space="preserve">Examples</w:t>
            </w:r>
          </w:p>
        </w:tc>
        <w:tc>
          <w:tcPr/>
          <w:p>
            <w:pPr>
              <w:pStyle w:val="Compact"/>
              <w:jc w:val="left"/>
            </w:pPr>
            <w:r>
              <w:t xml:space="preserve">Value</w:t>
            </w:r>
          </w:p>
        </w:tc>
      </w:tr>
      <w:tr>
        <w:tc>
          <w:tcPr/>
          <w:p>
            <w:pPr>
              <w:pStyle w:val="Compact"/>
              <w:jc w:val="left"/>
            </w:pPr>
            <w:r>
              <w:t xml:space="preserve">Payment processors</w:t>
            </w:r>
          </w:p>
        </w:tc>
        <w:tc>
          <w:tcPr/>
          <w:p>
            <w:pPr>
              <w:pStyle w:val="Compact"/>
              <w:jc w:val="left"/>
            </w:pPr>
            <w:r>
              <w:t xml:space="preserve">Paystack, Flutterwave</w:t>
            </w:r>
          </w:p>
        </w:tc>
        <w:tc>
          <w:tcPr/>
          <w:p>
            <w:pPr>
              <w:pStyle w:val="Compact"/>
              <w:jc w:val="left"/>
            </w:pPr>
            <w:r>
              <w:t xml:space="preserve">Instant payment capability</w:t>
            </w:r>
          </w:p>
        </w:tc>
      </w:tr>
      <w:tr>
        <w:tc>
          <w:tcPr/>
          <w:p>
            <w:pPr>
              <w:pStyle w:val="Compact"/>
              <w:jc w:val="left"/>
            </w:pPr>
            <w:r>
              <w:t xml:space="preserve">Solar equipment manufacturers</w:t>
            </w:r>
          </w:p>
        </w:tc>
        <w:tc>
          <w:tcPr/>
          <w:p>
            <w:pPr>
              <w:pStyle w:val="Compact"/>
              <w:jc w:val="left"/>
            </w:pPr>
            <w:r>
              <w:t xml:space="preserve">JA Solar, LONGi, Jinko</w:t>
            </w:r>
          </w:p>
        </w:tc>
        <w:tc>
          <w:tcPr/>
          <w:p>
            <w:pPr>
              <w:pStyle w:val="Compact"/>
              <w:jc w:val="left"/>
            </w:pPr>
            <w:r>
              <w:t xml:space="preserve">Supply chain + white-label</w:t>
            </w:r>
          </w:p>
        </w:tc>
      </w:tr>
      <w:tr>
        <w:tc>
          <w:tcPr/>
          <w:p>
            <w:pPr>
              <w:pStyle w:val="Compact"/>
              <w:jc w:val="left"/>
            </w:pPr>
            <w:r>
              <w:t xml:space="preserve">Telecom operators</w:t>
            </w:r>
          </w:p>
        </w:tc>
        <w:tc>
          <w:tcPr/>
          <w:p>
            <w:pPr>
              <w:pStyle w:val="Compact"/>
              <w:jc w:val="left"/>
            </w:pPr>
            <w:r>
              <w:t xml:space="preserve">MTN, Airtel, Glo</w:t>
            </w:r>
          </w:p>
        </w:tc>
        <w:tc>
          <w:tcPr/>
          <w:p>
            <w:pPr>
              <w:pStyle w:val="Compact"/>
              <w:jc w:val="left"/>
            </w:pPr>
            <w:r>
              <w:t xml:space="preserve">USSD channel, data partnerships</w:t>
            </w:r>
          </w:p>
        </w:tc>
      </w:tr>
      <w:tr>
        <w:tc>
          <w:tcPr/>
          <w:p>
            <w:pPr>
              <w:pStyle w:val="Compact"/>
              <w:jc w:val="left"/>
            </w:pPr>
            <w:r>
              <w:t xml:space="preserve">Cloud providers</w:t>
            </w:r>
          </w:p>
        </w:tc>
        <w:tc>
          <w:tcPr/>
          <w:p>
            <w:pPr>
              <w:pStyle w:val="Compact"/>
              <w:jc w:val="left"/>
            </w:pPr>
            <w:r>
              <w:t xml:space="preserve">MainOne, Rack Centre</w:t>
            </w:r>
          </w:p>
        </w:tc>
        <w:tc>
          <w:tcPr/>
          <w:p>
            <w:pPr>
              <w:pStyle w:val="Compact"/>
              <w:jc w:val="left"/>
            </w:pPr>
            <w:r>
              <w:t xml:space="preserve">Co-location and bandwidth</w:t>
            </w:r>
          </w:p>
        </w:tc>
      </w:tr>
      <w:tr>
        <w:tc>
          <w:tcPr/>
          <w:p>
            <w:pPr>
              <w:pStyle w:val="Compact"/>
              <w:jc w:val="left"/>
            </w:pPr>
            <w:r>
              <w:t xml:space="preserve">Universities</w:t>
            </w:r>
          </w:p>
        </w:tc>
        <w:tc>
          <w:tcPr/>
          <w:p>
            <w:pPr>
              <w:pStyle w:val="Compact"/>
              <w:jc w:val="left"/>
            </w:pPr>
            <w:r>
              <w:t xml:space="preserve">UNILAG, Covenant University</w:t>
            </w:r>
          </w:p>
        </w:tc>
        <w:tc>
          <w:tcPr/>
          <w:p>
            <w:pPr>
              <w:pStyle w:val="Compact"/>
              <w:jc w:val="left"/>
            </w:pPr>
            <w:r>
              <w:t xml:space="preserve">Talent pipeline, research</w:t>
            </w:r>
          </w:p>
        </w:tc>
      </w:tr>
      <w:tr>
        <w:tc>
          <w:tcPr/>
          <w:p>
            <w:pPr>
              <w:pStyle w:val="Compact"/>
              <w:jc w:val="left"/>
            </w:pPr>
            <w:r>
              <w:t xml:space="preserve">Development finance</w:t>
            </w:r>
          </w:p>
        </w:tc>
        <w:tc>
          <w:tcPr/>
          <w:p>
            <w:pPr>
              <w:pStyle w:val="Compact"/>
              <w:jc w:val="left"/>
            </w:pPr>
            <w:r>
              <w:t xml:space="preserve">AfDB, IFC, Heliogen</w:t>
            </w:r>
          </w:p>
        </w:tc>
        <w:tc>
          <w:tcPr/>
          <w:p>
            <w:pPr>
              <w:pStyle w:val="Compact"/>
              <w:jc w:val="left"/>
            </w:pPr>
            <w:r>
              <w:t xml:space="preserve">Growth capital for solar</w:t>
            </w:r>
          </w:p>
        </w:tc>
      </w:tr>
    </w:tbl>
    <w:p>
      <w:r>
        <w:pict>
          <v:rect style="width:0;height:1.5pt" o:hralign="center" o:hrstd="t" o:hr="t"/>
        </w:pict>
      </w:r>
    </w:p>
    <w:bookmarkEnd w:id="47"/>
    <w:bookmarkEnd w:id="48"/>
    <w:bookmarkStart w:id="56" w:name="implementation-roadmap"/>
    <w:p>
      <w:pPr>
        <w:pStyle w:val="Heading2"/>
      </w:pPr>
      <w:r>
        <w:t xml:space="preserve">8. Implementation Roadmap</w:t>
      </w:r>
    </w:p>
    <w:bookmarkStart w:id="53" w:name="suggested-12-month-timeline"/>
    <w:p>
      <w:pPr>
        <w:pStyle w:val="Heading3"/>
      </w:pPr>
      <w:r>
        <w:t xml:space="preserve">Suggested 12-Month Timeline</w:t>
      </w:r>
    </w:p>
    <w:bookmarkStart w:id="49" w:name="quarter-1-months-13-foundation"/>
    <w:p>
      <w:pPr>
        <w:pStyle w:val="Heading4"/>
      </w:pPr>
      <w:r>
        <w:t xml:space="preserve">Quarter 1 (Months 1–3): Foundation</w:t>
      </w:r>
    </w:p>
    <w:p>
      <w:pPr>
        <w:numPr>
          <w:ilvl w:val="0"/>
          <w:numId w:val="1006"/>
        </w:numPr>
        <w:pStyle w:val="Compact"/>
      </w:pPr>
      <w:r>
        <w:t xml:space="preserve">☐ Set up development environment (TRX50 + Docker Compose + basic services)</w:t>
      </w:r>
    </w:p>
    <w:p>
      <w:pPr>
        <w:numPr>
          <w:ilvl w:val="0"/>
          <w:numId w:val="1006"/>
        </w:numPr>
        <w:pStyle w:val="Compact"/>
      </w:pPr>
      <w:r>
        <w:t xml:space="preserve">☐ Deploy Keycloak for authentication</w:t>
      </w:r>
    </w:p>
    <w:p>
      <w:pPr>
        <w:numPr>
          <w:ilvl w:val="0"/>
          <w:numId w:val="1006"/>
        </w:numPr>
        <w:pStyle w:val="Compact"/>
      </w:pPr>
      <w:r>
        <w:t xml:space="preserve">☐ Set up ThingsBoard CE for IoT device management</w:t>
      </w:r>
    </w:p>
    <w:p>
      <w:pPr>
        <w:numPr>
          <w:ilvl w:val="0"/>
          <w:numId w:val="1006"/>
        </w:numPr>
        <w:pStyle w:val="Compact"/>
      </w:pPr>
      <w:r>
        <w:t xml:space="preserve">☐ Launch Medusa-based solar equipment online store</w:t>
      </w:r>
    </w:p>
    <w:p>
      <w:pPr>
        <w:numPr>
          <w:ilvl w:val="0"/>
          <w:numId w:val="1006"/>
        </w:numPr>
        <w:pStyle w:val="Compact"/>
      </w:pPr>
      <w:r>
        <w:t xml:space="preserve">☐ Hire core team (4 engineers, 1 designer, 1 ops)</w:t>
      </w:r>
    </w:p>
    <w:p>
      <w:pPr>
        <w:numPr>
          <w:ilvl w:val="0"/>
          <w:numId w:val="1006"/>
        </w:numPr>
        <w:pStyle w:val="Compact"/>
      </w:pPr>
      <w:r>
        <w:t xml:space="preserve">☐ Register NDPA compliance</w:t>
      </w:r>
    </w:p>
    <w:p>
      <w:pPr>
        <w:numPr>
          <w:ilvl w:val="0"/>
          <w:numId w:val="1006"/>
        </w:numPr>
        <w:pStyle w:val="Compact"/>
      </w:pPr>
      <w:r>
        <w:t xml:space="preserve">☐ Deploy Qwen2.5-7B via Ollama for internal AI assistant</w:t>
      </w:r>
    </w:p>
    <w:p>
      <w:pPr>
        <w:numPr>
          <w:ilvl w:val="0"/>
          <w:numId w:val="1006"/>
        </w:numPr>
        <w:pStyle w:val="Compact"/>
      </w:pPr>
      <w:r>
        <w:rPr>
          <w:bCs/>
          <w:b/>
        </w:rPr>
        <w:t xml:space="preserve">Milestone:</w:t>
      </w:r>
      <w:r>
        <w:t xml:space="preserve"> </w:t>
      </w:r>
      <w:r>
        <w:t xml:space="preserve">First online solar equipment sale</w:t>
      </w:r>
    </w:p>
    <w:bookmarkEnd w:id="49"/>
    <w:bookmarkStart w:id="50" w:name="quarter-2-months-46-revenue"/>
    <w:p>
      <w:pPr>
        <w:pStyle w:val="Heading4"/>
      </w:pPr>
      <w:r>
        <w:t xml:space="preserve">Quarter 2 (Months 4–6): Revenue</w:t>
      </w:r>
    </w:p>
    <w:p>
      <w:pPr>
        <w:numPr>
          <w:ilvl w:val="0"/>
          <w:numId w:val="1007"/>
        </w:numPr>
        <w:pStyle w:val="Compact"/>
      </w:pPr>
      <w:r>
        <w:t xml:space="preserve">☐ Launch installer certification portal</w:t>
      </w:r>
    </w:p>
    <w:p>
      <w:pPr>
        <w:numPr>
          <w:ilvl w:val="0"/>
          <w:numId w:val="1007"/>
        </w:numPr>
        <w:pStyle w:val="Compact"/>
      </w:pPr>
      <w:r>
        <w:t xml:space="preserve">☐ Integrate Paystack payments</w:t>
      </w:r>
    </w:p>
    <w:p>
      <w:pPr>
        <w:numPr>
          <w:ilvl w:val="0"/>
          <w:numId w:val="1007"/>
        </w:numPr>
        <w:pStyle w:val="Compact"/>
      </w:pPr>
      <w:r>
        <w:t xml:space="preserve">☐ Deploy customer support chatbot (Chatwoot + AI)</w:t>
      </w:r>
    </w:p>
    <w:p>
      <w:pPr>
        <w:numPr>
          <w:ilvl w:val="0"/>
          <w:numId w:val="1007"/>
        </w:numPr>
        <w:pStyle w:val="Compact"/>
      </w:pPr>
      <w:r>
        <w:t xml:space="preserve">☐ Build solar monitoring dashboard for installed systems</w:t>
      </w:r>
    </w:p>
    <w:p>
      <w:pPr>
        <w:numPr>
          <w:ilvl w:val="0"/>
          <w:numId w:val="1007"/>
        </w:numPr>
        <w:pStyle w:val="Compact"/>
      </w:pPr>
      <w:r>
        <w:t xml:space="preserve">☐ Begin USSD interface development</w:t>
      </w:r>
    </w:p>
    <w:p>
      <w:pPr>
        <w:numPr>
          <w:ilvl w:val="0"/>
          <w:numId w:val="1007"/>
        </w:numPr>
        <w:pStyle w:val="Compact"/>
      </w:pPr>
      <w:r>
        <w:t xml:space="preserve">☐ Hire 4 more team members</w:t>
      </w:r>
    </w:p>
    <w:p>
      <w:pPr>
        <w:numPr>
          <w:ilvl w:val="0"/>
          <w:numId w:val="1007"/>
        </w:numPr>
        <w:pStyle w:val="Compact"/>
      </w:pPr>
      <w:r>
        <w:rPr>
          <w:bCs/>
          <w:b/>
        </w:rPr>
        <w:t xml:space="preserve">Milestone:</w:t>
      </w:r>
      <w:r>
        <w:t xml:space="preserve"> </w:t>
      </w:r>
      <w:r>
        <w:t xml:space="preserve">50+ certified installers, 100+ IoT devices managed</w:t>
      </w:r>
    </w:p>
    <w:bookmarkEnd w:id="50"/>
    <w:bookmarkStart w:id="51" w:name="quarter-3-months-79-scale"/>
    <w:p>
      <w:pPr>
        <w:pStyle w:val="Heading4"/>
      </w:pPr>
      <w:r>
        <w:t xml:space="preserve">Quarter 3 (Months 7–9): Scale</w:t>
      </w:r>
    </w:p>
    <w:p>
      <w:pPr>
        <w:numPr>
          <w:ilvl w:val="0"/>
          <w:numId w:val="1008"/>
        </w:numPr>
        <w:pStyle w:val="Compact"/>
      </w:pPr>
      <w:r>
        <w:t xml:space="preserve">☐ Expand marketplace to third-party vendors</w:t>
      </w:r>
    </w:p>
    <w:p>
      <w:pPr>
        <w:numPr>
          <w:ilvl w:val="0"/>
          <w:numId w:val="1008"/>
        </w:numPr>
        <w:pStyle w:val="Compact"/>
      </w:pPr>
      <w:r>
        <w:t xml:space="preserve">☐ Launch basic fintech wallet (Paystack-backed)</w:t>
      </w:r>
    </w:p>
    <w:p>
      <w:pPr>
        <w:numPr>
          <w:ilvl w:val="0"/>
          <w:numId w:val="1008"/>
        </w:numPr>
        <w:pStyle w:val="Compact"/>
      </w:pPr>
      <w:r>
        <w:t xml:space="preserve">☐ Deploy recommendation system for product/installer matching</w:t>
      </w:r>
    </w:p>
    <w:p>
      <w:pPr>
        <w:numPr>
          <w:ilvl w:val="0"/>
          <w:numId w:val="1008"/>
        </w:numPr>
        <w:pStyle w:val="Compact"/>
      </w:pPr>
      <w:r>
        <w:t xml:space="preserve">☐ Begin K3s migration for critical services</w:t>
      </w:r>
    </w:p>
    <w:p>
      <w:pPr>
        <w:numPr>
          <w:ilvl w:val="0"/>
          <w:numId w:val="1008"/>
        </w:numPr>
        <w:pStyle w:val="Compact"/>
      </w:pPr>
      <w:r>
        <w:t xml:space="preserve">☐ Fine-tune AI models on Nigerian business data</w:t>
      </w:r>
    </w:p>
    <w:p>
      <w:pPr>
        <w:numPr>
          <w:ilvl w:val="0"/>
          <w:numId w:val="1008"/>
        </w:numPr>
        <w:pStyle w:val="Compact"/>
      </w:pPr>
      <w:r>
        <w:rPr>
          <w:bCs/>
          <w:b/>
        </w:rPr>
        <w:t xml:space="preserve">Milestone:</w:t>
      </w:r>
      <w:r>
        <w:t xml:space="preserve"> </w:t>
      </w:r>
      <w:r>
        <w:t xml:space="preserve">₦10M+ monthly GMV, 500+ managed devices</w:t>
      </w:r>
    </w:p>
    <w:bookmarkEnd w:id="51"/>
    <w:bookmarkStart w:id="52" w:name="quarter-4-months-1012-ecosystem"/>
    <w:p>
      <w:pPr>
        <w:pStyle w:val="Heading4"/>
      </w:pPr>
      <w:r>
        <w:t xml:space="preserve">Quarter 4 (Months 10–12): Ecosystem</w:t>
      </w:r>
    </w:p>
    <w:p>
      <w:pPr>
        <w:numPr>
          <w:ilvl w:val="0"/>
          <w:numId w:val="1009"/>
        </w:numPr>
        <w:pStyle w:val="Compact"/>
      </w:pPr>
      <w:r>
        <w:t xml:space="preserve">☐ Launch PMAP beta (market mapping for Lagos)</w:t>
      </w:r>
    </w:p>
    <w:p>
      <w:pPr>
        <w:numPr>
          <w:ilvl w:val="0"/>
          <w:numId w:val="1009"/>
        </w:numPr>
        <w:pStyle w:val="Compact"/>
      </w:pPr>
      <w:r>
        <w:t xml:space="preserve">☐ Deploy ERP modules (ERPNext) for internal operations</w:t>
      </w:r>
    </w:p>
    <w:p>
      <w:pPr>
        <w:numPr>
          <w:ilvl w:val="0"/>
          <w:numId w:val="1009"/>
        </w:numPr>
        <w:pStyle w:val="Compact"/>
      </w:pPr>
      <w:r>
        <w:t xml:space="preserve">☐ Begin logistics hub-and-spoke pilot (Lagos only)</w:t>
      </w:r>
    </w:p>
    <w:p>
      <w:pPr>
        <w:numPr>
          <w:ilvl w:val="0"/>
          <w:numId w:val="1009"/>
        </w:numPr>
        <w:pStyle w:val="Compact"/>
      </w:pPr>
      <w:r>
        <w:t xml:space="preserve">☐ Apply for additional regulatory licenses if needed</w:t>
      </w:r>
    </w:p>
    <w:p>
      <w:pPr>
        <w:numPr>
          <w:ilvl w:val="0"/>
          <w:numId w:val="1009"/>
        </w:numPr>
        <w:pStyle w:val="Compact"/>
      </w:pPr>
      <w:r>
        <w:t xml:space="preserve">☐ Open API for third-party developers</w:t>
      </w:r>
    </w:p>
    <w:p>
      <w:pPr>
        <w:numPr>
          <w:ilvl w:val="0"/>
          <w:numId w:val="1009"/>
        </w:numPr>
        <w:pStyle w:val="Compact"/>
      </w:pPr>
      <w:r>
        <w:rPr>
          <w:bCs/>
          <w:b/>
        </w:rPr>
        <w:t xml:space="preserve">Milestone:</w:t>
      </w:r>
      <w:r>
        <w:t xml:space="preserve"> </w:t>
      </w:r>
      <w:r>
        <w:t xml:space="preserve">1,000+ platform users, 3+ revenue streams active</w:t>
      </w:r>
    </w:p>
    <w:bookmarkEnd w:id="52"/>
    <w:bookmarkEnd w:id="53"/>
    <w:bookmarkStart w:id="54" w:name="key-milestones"/>
    <w:p>
      <w:pPr>
        <w:pStyle w:val="Heading3"/>
      </w:pPr>
      <w:r>
        <w:t xml:space="preserve">Key Milestones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Month</w:t>
            </w:r>
          </w:p>
        </w:tc>
        <w:tc>
          <w:tcPr/>
          <w:p>
            <w:pPr>
              <w:pStyle w:val="Compact"/>
              <w:jc w:val="left"/>
            </w:pPr>
            <w:r>
              <w:t xml:space="preserve">Milestone</w:t>
            </w:r>
          </w:p>
        </w:tc>
        <w:tc>
          <w:tcPr/>
          <w:p>
            <w:pPr>
              <w:pStyle w:val="Compact"/>
              <w:jc w:val="left"/>
            </w:pPr>
            <w:r>
              <w:t xml:space="preserve">Success Metric</w:t>
            </w:r>
          </w:p>
        </w:tc>
      </w:tr>
      <w:tr>
        <w:tc>
          <w:tcPr/>
          <w:p>
            <w:pPr>
              <w:pStyle w:val="Compact"/>
              <w:jc w:val="left"/>
            </w:pPr>
            <w:r>
              <w:t xml:space="preserve">3</w:t>
            </w:r>
          </w:p>
        </w:tc>
        <w:tc>
          <w:tcPr/>
          <w:p>
            <w:pPr>
              <w:pStyle w:val="Compact"/>
              <w:jc w:val="left"/>
            </w:pPr>
            <w:r>
              <w:t xml:space="preserve">First online sale</w:t>
            </w:r>
          </w:p>
        </w:tc>
        <w:tc>
          <w:tcPr/>
          <w:p>
            <w:pPr>
              <w:pStyle w:val="Compact"/>
              <w:jc w:val="left"/>
            </w:pPr>
            <w:r>
              <w:t xml:space="preserve">Revenue &gt; ₦0</w:t>
            </w:r>
          </w:p>
        </w:tc>
      </w:tr>
      <w:tr>
        <w:tc>
          <w:tcPr/>
          <w:p>
            <w:pPr>
              <w:pStyle w:val="Compact"/>
              <w:jc w:val="left"/>
            </w:pPr>
            <w:r>
              <w:t xml:space="preserve">6</w:t>
            </w:r>
          </w:p>
        </w:tc>
        <w:tc>
          <w:tcPr/>
          <w:p>
            <w:pPr>
              <w:pStyle w:val="Compact"/>
              <w:jc w:val="left"/>
            </w:pPr>
            <w:r>
              <w:t xml:space="preserve">50 certified installers</w:t>
            </w:r>
          </w:p>
        </w:tc>
        <w:tc>
          <w:tcPr/>
          <w:p>
            <w:pPr>
              <w:pStyle w:val="Compact"/>
              <w:jc w:val="left"/>
            </w:pPr>
            <w:r>
              <w:t xml:space="preserve">Network effect begins</w:t>
            </w:r>
          </w:p>
        </w:tc>
      </w:tr>
      <w:tr>
        <w:tc>
          <w:tcPr/>
          <w:p>
            <w:pPr>
              <w:pStyle w:val="Compact"/>
              <w:jc w:val="left"/>
            </w:pPr>
            <w:r>
              <w:t xml:space="preserve">9</w:t>
            </w:r>
          </w:p>
        </w:tc>
        <w:tc>
          <w:tcPr/>
          <w:p>
            <w:pPr>
              <w:pStyle w:val="Compact"/>
              <w:jc w:val="left"/>
            </w:pPr>
            <w:r>
              <w:t xml:space="preserve">₦10M monthly GMV</w:t>
            </w:r>
          </w:p>
        </w:tc>
        <w:tc>
          <w:tcPr/>
          <w:p>
            <w:pPr>
              <w:pStyle w:val="Compact"/>
              <w:jc w:val="left"/>
            </w:pPr>
            <w:r>
              <w:t xml:space="preserve">Commercial viability</w:t>
            </w:r>
          </w:p>
        </w:tc>
      </w:tr>
      <w:tr>
        <w:tc>
          <w:tcPr/>
          <w:p>
            <w:pPr>
              <w:pStyle w:val="Compact"/>
              <w:jc w:val="left"/>
            </w:pPr>
            <w:r>
              <w:t xml:space="preserve">12</w:t>
            </w:r>
          </w:p>
        </w:tc>
        <w:tc>
          <w:tcPr/>
          <w:p>
            <w:pPr>
              <w:pStyle w:val="Compact"/>
              <w:jc w:val="left"/>
            </w:pPr>
            <w:r>
              <w:t xml:space="preserve">3+ active revenue streams</w:t>
            </w:r>
          </w:p>
        </w:tc>
        <w:tc>
          <w:tcPr/>
          <w:p>
            <w:pPr>
              <w:pStyle w:val="Compact"/>
              <w:jc w:val="left"/>
            </w:pPr>
            <w:r>
              <w:t xml:space="preserve">Ecosystem flywheel</w:t>
            </w:r>
          </w:p>
        </w:tc>
      </w:tr>
      <w:tr>
        <w:tc>
          <w:tcPr/>
          <w:p>
            <w:pPr>
              <w:pStyle w:val="Compact"/>
              <w:jc w:val="left"/>
            </w:pPr>
            <w:r>
              <w:t xml:space="preserve">18</w:t>
            </w:r>
          </w:p>
        </w:tc>
        <w:tc>
          <w:tcPr/>
          <w:p>
            <w:pPr>
              <w:pStyle w:val="Compact"/>
              <w:jc w:val="left"/>
            </w:pPr>
            <w:r>
              <w:t xml:space="preserve">Break-even</w:t>
            </w:r>
          </w:p>
        </w:tc>
        <w:tc>
          <w:tcPr/>
          <w:p>
            <w:pPr>
              <w:pStyle w:val="Compact"/>
              <w:jc w:val="left"/>
            </w:pPr>
            <w:r>
              <w:t xml:space="preserve">Sustainability</w:t>
            </w:r>
          </w:p>
        </w:tc>
      </w:tr>
      <w:tr>
        <w:tc>
          <w:tcPr/>
          <w:p>
            <w:pPr>
              <w:pStyle w:val="Compact"/>
              <w:jc w:val="left"/>
            </w:pPr>
            <w:r>
              <w:t xml:space="preserve">24</w:t>
            </w:r>
          </w:p>
        </w:tc>
        <w:tc>
          <w:tcPr/>
          <w:p>
            <w:pPr>
              <w:pStyle w:val="Compact"/>
              <w:jc w:val="left"/>
            </w:pPr>
            <w:r>
              <w:t xml:space="preserve">Series A ready</w:t>
            </w:r>
          </w:p>
        </w:tc>
        <w:tc>
          <w:tcPr/>
          <w:p>
            <w:pPr>
              <w:pStyle w:val="Compact"/>
              <w:jc w:val="left"/>
            </w:pPr>
            <w:r>
              <w:t xml:space="preserve">₦500M+ annual run rate</w:t>
            </w:r>
          </w:p>
        </w:tc>
      </w:tr>
    </w:tbl>
    <w:bookmarkEnd w:id="54"/>
    <w:bookmarkStart w:id="55" w:name="success-metrics"/>
    <w:p>
      <w:pPr>
        <w:pStyle w:val="Heading3"/>
      </w:pPr>
      <w:r>
        <w:t xml:space="preserve">Success Metrics</w:t>
      </w:r>
    </w:p>
    <w:p>
      <w:pPr>
        <w:numPr>
          <w:ilvl w:val="0"/>
          <w:numId w:val="1010"/>
        </w:numPr>
        <w:pStyle w:val="Compact"/>
      </w:pPr>
      <w:r>
        <w:rPr>
          <w:bCs/>
          <w:b/>
        </w:rPr>
        <w:t xml:space="preserve">North Star Metric:</w:t>
      </w:r>
      <w:r>
        <w:t xml:space="preserve"> </w:t>
      </w:r>
      <w:r>
        <w:t xml:space="preserve">Monthly active platform users (customers + installers + vendors)</w:t>
      </w:r>
    </w:p>
    <w:p>
      <w:pPr>
        <w:numPr>
          <w:ilvl w:val="0"/>
          <w:numId w:val="1010"/>
        </w:numPr>
        <w:pStyle w:val="Compact"/>
      </w:pPr>
      <w:r>
        <w:rPr>
          <w:bCs/>
          <w:b/>
        </w:rPr>
        <w:t xml:space="preserve">Revenue metrics:</w:t>
      </w:r>
      <w:r>
        <w:t xml:space="preserve"> </w:t>
      </w:r>
      <w:r>
        <w:t xml:space="preserve">GMV, transaction volume, subscription MRR</w:t>
      </w:r>
    </w:p>
    <w:p>
      <w:pPr>
        <w:numPr>
          <w:ilvl w:val="0"/>
          <w:numId w:val="1010"/>
        </w:numPr>
        <w:pStyle w:val="Compact"/>
      </w:pPr>
      <w:r>
        <w:rPr>
          <w:bCs/>
          <w:b/>
        </w:rPr>
        <w:t xml:space="preserve">Technical metrics:</w:t>
      </w:r>
      <w:r>
        <w:t xml:space="preserve"> </w:t>
      </w:r>
      <w:r>
        <w:t xml:space="preserve">API uptime (target: 99.5%), AI inference latency (&lt;2s), device connectivity rate</w:t>
      </w:r>
    </w:p>
    <w:p>
      <w:pPr>
        <w:numPr>
          <w:ilvl w:val="0"/>
          <w:numId w:val="1010"/>
        </w:numPr>
        <w:pStyle w:val="Compact"/>
      </w:pPr>
      <w:r>
        <w:rPr>
          <w:bCs/>
          <w:b/>
        </w:rPr>
        <w:t xml:space="preserve">Network metrics:</w:t>
      </w:r>
      <w:r>
        <w:t xml:space="preserve"> </w:t>
      </w:r>
      <w:r>
        <w:t xml:space="preserve">Active installers, vendor count, geographic coverage (Nigerian states)</w:t>
      </w:r>
    </w:p>
    <w:p>
      <w:r>
        <w:pict>
          <v:rect style="width:0;height:1.5pt" o:hralign="center" o:hrstd="t" o:hr="t"/>
        </w:pict>
      </w:r>
    </w:p>
    <w:bookmarkEnd w:id="55"/>
    <w:bookmarkEnd w:id="56"/>
    <w:bookmarkStart w:id="60" w:name="conclusion"/>
    <w:p>
      <w:pPr>
        <w:pStyle w:val="Heading2"/>
      </w:pPr>
      <w:r>
        <w:t xml:space="preserve">9. Conclusion</w:t>
      </w:r>
    </w:p>
    <w:bookmarkStart w:id="57" w:name="overall-viability-assessment"/>
    <w:p>
      <w:pPr>
        <w:pStyle w:val="Heading3"/>
      </w:pPr>
      <w:r>
        <w:t xml:space="preserve">Overall Viability Assessment</w:t>
      </w:r>
    </w:p>
    <w:p>
      <w:pPr>
        <w:pStyle w:val="FirstParagraph"/>
      </w:pPr>
      <w:r>
        <w:t xml:space="preserve">PECH Group Holdings is building on a</w:t>
      </w:r>
      <w:r>
        <w:t xml:space="preserve"> </w:t>
      </w:r>
      <w:r>
        <w:rPr>
          <w:bCs/>
          <w:b/>
        </w:rPr>
        <w:t xml:space="preserve">viable foundation</w:t>
      </w:r>
      <w:r>
        <w:t xml:space="preserve"> </w:t>
      </w:r>
      <w:r>
        <w:t xml:space="preserve">with</w:t>
      </w:r>
      <w:r>
        <w:t xml:space="preserve"> </w:t>
      </w:r>
      <w:r>
        <w:rPr>
          <w:bCs/>
          <w:b/>
        </w:rPr>
        <w:t xml:space="preserve">sound strategic decisions</w:t>
      </w:r>
      <w:r>
        <w:t xml:space="preserve"> </w:t>
      </w:r>
      <w:r>
        <w:t xml:space="preserve">— particularly the open-source-only stack, license-safe AI models, and Africa-first positioning. The Alibaba-inspired ecosystem model makes sense for African markets where existing digital infrastructure is fragmented.</w:t>
      </w:r>
    </w:p>
    <w:p>
      <w:pPr>
        <w:pStyle w:val="BodyText"/>
      </w:pPr>
      <w:r>
        <w:rPr>
          <w:bCs/>
          <w:b/>
        </w:rPr>
        <w:t xml:space="preserve">However, viability depends on three critical factors:</w:t>
      </w:r>
    </w:p>
    <w:bookmarkEnd w:id="57"/>
    <w:bookmarkStart w:id="58" w:name="key-success-factors"/>
    <w:p>
      <w:pPr>
        <w:pStyle w:val="Heading3"/>
      </w:pPr>
      <w:r>
        <w:t xml:space="preserve">Key Success Factors</w:t>
      </w:r>
    </w:p>
    <w:p>
      <w:pPr>
        <w:numPr>
          <w:ilvl w:val="0"/>
          <w:numId w:val="1011"/>
        </w:numPr>
      </w:pPr>
      <w:r>
        <w:rPr>
          <w:bCs/>
          <w:b/>
        </w:rPr>
        <w:t xml:space="preserve">Ruthless prioritization.</w:t>
      </w:r>
      <w:r>
        <w:t xml:space="preserve"> </w:t>
      </w:r>
      <w:r>
        <w:t xml:space="preserve">Build 3 things well before building 10 things. Solar e-commerce + IoT monitoring + installer network should be the entire focus for Months 1–6. Everything else is a distraction until these generate revenue.</w:t>
      </w:r>
    </w:p>
    <w:p>
      <w:pPr>
        <w:numPr>
          <w:ilvl w:val="0"/>
          <w:numId w:val="1011"/>
        </w:numPr>
      </w:pPr>
      <w:r>
        <w:rPr>
          <w:bCs/>
          <w:b/>
        </w:rPr>
        <w:t xml:space="preserve">Revenue before infrastructure.</w:t>
      </w:r>
      <w:r>
        <w:t xml:space="preserve"> </w:t>
      </w:r>
      <w:r>
        <w:t xml:space="preserve">Don’t build the 78-microservice architecture before you have paying customers. Let customer demand drive technical decisions. A monolithic Django/FastAPI app serving 100 customers is infinitely better than a microservice architecture serving zero.</w:t>
      </w:r>
    </w:p>
    <w:p>
      <w:pPr>
        <w:numPr>
          <w:ilvl w:val="0"/>
          <w:numId w:val="1011"/>
        </w:numPr>
      </w:pPr>
      <w:r>
        <w:rPr>
          <w:bCs/>
          <w:b/>
        </w:rPr>
        <w:t xml:space="preserve">Nigerian execution speed.</w:t>
      </w:r>
      <w:r>
        <w:t xml:space="preserve"> </w:t>
      </w:r>
      <w:r>
        <w:t xml:space="preserve">The Lagos tech ecosystem moves fast. Competitors will emerge. Speed to market matters more than architectural perfection. Ship monthly. Iterate weekly. Fix daily.</w:t>
      </w:r>
    </w:p>
    <w:bookmarkEnd w:id="58"/>
    <w:bookmarkStart w:id="59" w:name="final-recommendations"/>
    <w:p>
      <w:pPr>
        <w:pStyle w:val="Heading3"/>
      </w:pPr>
      <w:r>
        <w:t xml:space="preserve">Final Recommendations</w:t>
      </w:r>
    </w:p>
    <w:p>
      <w:pPr>
        <w:numPr>
          <w:ilvl w:val="0"/>
          <w:numId w:val="1012"/>
        </w:numPr>
      </w:pPr>
      <w:r>
        <w:rPr>
          <w:bCs/>
          <w:b/>
        </w:rPr>
        <w:t xml:space="preserve">Reduce initial scope by 70%.</w:t>
      </w:r>
      <w:r>
        <w:t xml:space="preserve"> </w:t>
      </w:r>
      <w:r>
        <w:t xml:space="preserve">Focus on solar equipment sales, IoT device management, and installer network. Everything else waits.</w:t>
      </w:r>
    </w:p>
    <w:p>
      <w:pPr>
        <w:numPr>
          <w:ilvl w:val="0"/>
          <w:numId w:val="1012"/>
        </w:numPr>
      </w:pPr>
      <w:r>
        <w:rPr>
          <w:bCs/>
          <w:b/>
        </w:rPr>
        <w:t xml:space="preserve">Front-load hardware purchases.</w:t>
      </w:r>
      <w:r>
        <w:t xml:space="preserve"> </w:t>
      </w:r>
      <w:r>
        <w:t xml:space="preserve">Buy GPUs and server hardware in Q1 before Naira volatility increases costs. Import duties are unavoidable — budget them accurately.</w:t>
      </w:r>
    </w:p>
    <w:p>
      <w:pPr>
        <w:numPr>
          <w:ilvl w:val="0"/>
          <w:numId w:val="1012"/>
        </w:numPr>
      </w:pPr>
      <w:r>
        <w:rPr>
          <w:bCs/>
          <w:b/>
        </w:rPr>
        <w:t xml:space="preserve">Build the installer network aggressively.</w:t>
      </w:r>
      <w:r>
        <w:t xml:space="preserve"> </w:t>
      </w:r>
      <w:r>
        <w:t xml:space="preserve">This is PECH’s strongest competitive moat. No platform competitor can replicate a trusted network of certified technicians across Nigerian states.</w:t>
      </w:r>
    </w:p>
    <w:p>
      <w:pPr>
        <w:numPr>
          <w:ilvl w:val="0"/>
          <w:numId w:val="1012"/>
        </w:numPr>
      </w:pPr>
      <w:r>
        <w:rPr>
          <w:bCs/>
          <w:b/>
        </w:rPr>
        <w:t xml:space="preserve">Partner before building.</w:t>
      </w:r>
      <w:r>
        <w:t xml:space="preserve"> </w:t>
      </w:r>
      <w:r>
        <w:t xml:space="preserve">Use Paystack for payments, partner with property platforms for real estate, integrate with existing logistics providers. Build your own only when you’ve proven the model.</w:t>
      </w:r>
    </w:p>
    <w:p>
      <w:pPr>
        <w:numPr>
          <w:ilvl w:val="0"/>
          <w:numId w:val="1012"/>
        </w:numPr>
      </w:pPr>
      <w:r>
        <w:rPr>
          <w:bCs/>
          <w:b/>
        </w:rPr>
        <w:t xml:space="preserve">Invest in Nigerian language AI.</w:t>
      </w:r>
      <w:r>
        <w:t xml:space="preserve"> </w:t>
      </w:r>
      <w:r>
        <w:t xml:space="preserve">Fine-tuning Qwen2.5 on Yoruba, Igbo, Hausa, and Pidgin English would be a massive differentiator that no global competitor will bother with.</w:t>
      </w:r>
    </w:p>
    <w:p>
      <w:pPr>
        <w:numPr>
          <w:ilvl w:val="0"/>
          <w:numId w:val="1012"/>
        </w:numPr>
      </w:pPr>
      <w:r>
        <w:rPr>
          <w:bCs/>
          <w:b/>
        </w:rPr>
        <w:t xml:space="preserve">Plan for 18-month runway, not 24.</w:t>
      </w:r>
      <w:r>
        <w:t xml:space="preserve"> </w:t>
      </w:r>
      <w:r>
        <w:t xml:space="preserve">Buffer 25% of budget as contingency. African markets are unpredictable — currency fluctuations, regulatory changes, and infrastructure failures will happen.</w:t>
      </w:r>
    </w:p>
    <w:p>
      <w:r>
        <w:pict>
          <v:rect style="width:0;height:1.5pt" o:hralign="center" o:hrstd="t" o:hr="t"/>
        </w:pict>
      </w:r>
    </w:p>
    <w:p>
      <w:pPr>
        <w:pStyle w:val="FirstParagraph"/>
      </w:pPr>
      <w:r>
        <w:rPr>
          <w:iCs/>
          <w:i/>
        </w:rPr>
        <w:t xml:space="preserve">This analysis reflects Claude’s independent assessment based on available project documentation. It is intended as a strategic advisory input, not a definitive business plan. All financial projections are estimates and should be validated against current market conditions.</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2026-03-12T11:03:36Z</dcterms:created>
  <dcterms:modified xsi:type="dcterms:W3CDTF">2026-03-12T11:03:36Z</dcterms:modified>
</cp:coreProperties>
</file>

<file path=docProps/custom.xml><?xml version="1.0" encoding="utf-8"?>
<Properties xmlns="http://schemas.openxmlformats.org/officeDocument/2006/custom-properties" xmlns:vt="http://schemas.openxmlformats.org/officeDocument/2006/docPropsVTypes"/>
</file>