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3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PECH Executive Summary</w:t>
      </w:r>
    </w:p>
    <w:bookmarkStart w:id="44" w:name="pech-group-holdings-ltd"/>
    <w:p>
      <w:pPr>
        <w:pStyle w:val="Heading1"/>
      </w:pPr>
      <w:r>
        <w:t xml:space="preserve">PECH Group Holdings Ltd</w:t>
      </w:r>
    </w:p>
    <w:bookmarkStart w:id="20" w:name="X7340d5acabd5d790f151b6d90a762559738e130"/>
    <w:p>
      <w:pPr>
        <w:pStyle w:val="Heading2"/>
      </w:pPr>
      <w:r>
        <w:t xml:space="preserve">Executive Summary — ₦250M Capital Deployment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Secured Capital: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18 Months (March 2026 — August 2027)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our-mission"/>
    <w:p>
      <w:pPr>
        <w:pStyle w:val="Heading2"/>
      </w:pPr>
      <w: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platform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1"/>
    <w:bookmarkStart w:id="22" w:name="the-company"/>
    <w:p>
      <w:pPr>
        <w:pStyle w:val="Heading2"/>
      </w:pPr>
      <w: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2"/>
    <w:bookmarkStart w:id="26" w:name="secured-capital"/>
    <w:p>
      <w:pPr>
        <w:pStyle w:val="Heading2"/>
      </w:pPr>
      <w: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18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9351"/>
            <wp:effectExtent b="0" l="0" r="0" t="0"/>
            <wp:docPr descr="PECH Ecosystem" title="" id="24" name="Picture"/>
            <a:graphic>
              <a:graphicData uri="http://schemas.openxmlformats.org/drawingml/2006/picture">
                <pic:pic>
                  <pic:nvPicPr>
                    <pic:cNvPr descr="proposal_images/commerce_os_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PECH Ecosystem</w:t>
      </w:r>
    </w:p>
    <w:bookmarkEnd w:id="26"/>
    <w:bookmarkStart w:id="33" w:name="budget-allocation"/>
    <w:p>
      <w:pPr>
        <w:pStyle w:val="Heading2"/>
      </w:pPr>
      <w:r>
        <w:t xml:space="preserve">Budget Allocation</w:t>
      </w:r>
    </w:p>
    <w:p>
      <w:pPr>
        <w:pStyle w:val="CaptionedFigure"/>
      </w:pPr>
      <w:r>
        <w:drawing>
          <wp:inline>
            <wp:extent cx="5334000" cy="2643666"/>
            <wp:effectExtent b="0" l="0" r="0" t="0"/>
            <wp:docPr descr="Budget Allocation" title="" id="28" name="Picture"/>
            <a:graphic>
              <a:graphicData uri="http://schemas.openxmlformats.org/drawingml/2006/picture">
                <pic:pic>
                  <pic:nvPicPr>
                    <pic:cNvPr descr="proposal_images/budget_alloc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3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(23 SKUs from 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FX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Hardware (23 SKUs)██████████████████████████████░░  30.0%  ₦75M</w:t>
      </w:r>
      <w:r>
        <w:br/>
      </w:r>
      <w:r>
        <w:rPr>
          <w:rStyle w:val="VerbatimChar"/>
        </w:rPr>
        <w:t xml:space="preserve">  Human Capital     ████████████████████████████░░░░  28.0%  ₦70M</w:t>
      </w:r>
      <w:r>
        <w:br/>
      </w:r>
      <w:r>
        <w:rPr>
          <w:rStyle w:val="VerbatimChar"/>
        </w:rPr>
        <w:t xml:space="preserve">  Tech &amp; AI Tools   █████████░░░░░░░░░░░░░░░░░░░░░░   9.6%  ₦24M</w:t>
      </w:r>
      <w:r>
        <w:br/>
      </w:r>
      <w:r>
        <w:rPr>
          <w:rStyle w:val="VerbatimChar"/>
        </w:rPr>
        <w:t xml:space="preserve">  Marketing         ████████░░░░░░░░░░░░░░░░░░░░░░░   8.8%  ₦22M</w:t>
      </w:r>
      <w:r>
        <w:br/>
      </w:r>
      <w:r>
        <w:rPr>
          <w:rStyle w:val="VerbatimChar"/>
        </w:rPr>
        <w:t xml:space="preserve">  Contingency/FX    ████████░░░░░░░░░░░░░░░░░░░░░░░   8.4%  ₦21M</w:t>
      </w:r>
      <w:r>
        <w:br/>
      </w:r>
      <w:r>
        <w:rPr>
          <w:rStyle w:val="VerbatimChar"/>
        </w:rPr>
        <w:t xml:space="preserve">  Office &amp; Ops      ██████░░░░░░░░░░░░░░░░░░░░░░░░░   6.4%  ₦16M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rPr>
          <w:rStyle w:val="VerbatimChar"/>
        </w:rPr>
        <w:t xml:space="preserve">  Legal/Compliance  ████░░░░░░░░░░░░░░░░░░░░░░░░░░░   4.0%  ₦10M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180644"/>
            <wp:effectExtent b="0" l="0" r="0" t="0"/>
            <wp:docPr descr="Hardware Portfolio" title="" id="31" name="Picture"/>
            <a:graphic>
              <a:graphicData uri="http://schemas.openxmlformats.org/drawingml/2006/picture">
                <pic:pic>
                  <pic:nvPicPr>
                    <pic:cNvPr descr="proposal_images/product_portfol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Portfolio</w:t>
      </w:r>
    </w:p>
    <w:bookmarkEnd w:id="33"/>
    <w:bookmarkStart w:id="37" w:name="hardware-portfolio-23-skus"/>
    <w:p>
      <w:pPr>
        <w:pStyle w:val="Heading2"/>
      </w:pPr>
      <w:r>
        <w:t xml:space="preserve">Hardware Portfolio (23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Range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POS, POS Tablet, Self-Service Kiosk, Barcode/Receipt Kit, Logistics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₦28K–₦250K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&amp;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Controller, Smart Meter, Power Kit, Mini UPS, Home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₦20K–₦130K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Basic, Tier 2 Mid-Range, Tier 3 Smart IoT, Tier 4 Industrial/SCADA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₦15K–₦120K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Switch, Smart Socket, Smart Camera, IP Camera, Premium Switch/Socket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₦1.5K–₦30K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 &amp;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Tablet, Indoor LED Panel, Outdoor LED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₦45K–₦140K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405578"/>
            <wp:effectExtent b="0" l="0" r="0" t="0"/>
            <wp:docPr descr="Phase Roadmap" title="" id="35" name="Picture"/>
            <a:graphic>
              <a:graphicData uri="http://schemas.openxmlformats.org/drawingml/2006/picture">
                <pic:pic>
                  <pic:nvPicPr>
                    <pic:cNvPr descr="proposal_images/phase_road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Roadmap</w:t>
      </w:r>
    </w:p>
    <w:bookmarkEnd w:id="37"/>
    <w:bookmarkStart w:id="38" w:name="month-execution-roadmap"/>
    <w:p>
      <w:pPr>
        <w:pStyle w:val="Heading2"/>
      </w:pPr>
      <w:r>
        <w:t xml:space="preserve">18-Month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1: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team (5 people), architecture, first hardware order, legal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2: MVP &amp;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merchants, 30 IoT devices, 2 logistics stations, smart home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3: Market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merchants, 3 markets, water controllers launch, 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4: Revenue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merchants, 300 devices, credit scoring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5: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merchants, 800 devices, API launch, LED displays, West Africa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₦43,000,000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key-targets-18-months"/>
    <w:p>
      <w:pPr>
        <w:pStyle w:val="Heading2"/>
      </w:pPr>
      <w:r>
        <w:t xml:space="preserve">Key Targets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</w:tr>
    </w:tbl>
    <w:p>
      <w:pPr>
        <w:pStyle w:val="BodyText"/>
      </w:pPr>
      <w:r>
        <w:rPr>
          <w:bCs/>
          <w:b/>
        </w:rPr>
        <w:t xml:space="preserve">18-Month Cumulative Revenue:</w:t>
      </w:r>
      <w:r>
        <w:t xml:space="preserve"> </w:t>
      </w:r>
      <w:r>
        <w:t xml:space="preserve">₦103.6M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14–16</w:t>
      </w:r>
    </w:p>
    <w:p>
      <w:r>
        <w:pict>
          <v:rect style="width:0;height:1.5pt" o:hralign="center" o:hrstd="t" o:hr="t"/>
        </w:pict>
      </w:r>
    </w:p>
    <w:bookmarkEnd w:id="39"/>
    <w:bookmarkStart w:id="40" w:name="team-growth-lean"/>
    <w:p>
      <w:pPr>
        <w:pStyle w:val="Heading2"/>
      </w:pPr>
      <w: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Payroll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(Mo 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2 engineers, market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(Mo 4–6)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engineer, DevOps,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 (Mo 7–9)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₦4,310,000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PM, data analyst, 2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 (Mo 10–12)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₦5,320,000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Logistics lead, 2 jr engineers,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 (Mo 13–18)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₦6,690,000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engineer, BD lead, field coordinator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ayment-wallet-licenses-strategy"/>
    <w:p>
      <w:pPr>
        <w:pStyle w:val="Heading2"/>
      </w:pPr>
      <w:r>
        <w:t xml:space="preserve">Payment &amp; Wallet Licenses —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2589"/>
        <w:gridCol w:w="2436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Escrow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</w:t>
            </w:r>
            <w:r>
              <w:t xml:space="preserve"> </w:t>
            </w:r>
            <w:r>
              <w:t xml:space="preserve">(Payments)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~₦205M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— GET ASAP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</w:t>
            </w:r>
            <w:r>
              <w:t xml:space="preserve"> </w:t>
            </w:r>
            <w:r>
              <w:t xml:space="preserve">(POS Terminals)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~₦201M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— GET ASAP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MMO</w:t>
            </w:r>
            <w:r>
              <w:t xml:space="preserve"> </w:t>
            </w:r>
            <w:r>
              <w:t xml:space="preserve">(Wallets &amp; Escrow)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~₦4B (₦2B capital + ₦2B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— when justified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Now:</w:t>
      </w:r>
      <w:r>
        <w:t xml:space="preserve"> </w:t>
      </w:r>
      <w:r>
        <w:t xml:space="preserve">Partner with Paystack/Flutterwave for payments + white-label MMO for wallets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 (next tranche):</w:t>
      </w:r>
      <w:r>
        <w:t xml:space="preserve"> </w:t>
      </w:r>
      <w:r>
        <w:t xml:space="preserve">Apply for PSSP + PTSP licenses immediately when capital arrives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Future:</w:t>
      </w:r>
      <w:r>
        <w:t xml:space="preserve"> </w:t>
      </w:r>
      <w:r>
        <w:t xml:space="preserve">Own MMO license when transaction volume justifies the ₦4B capital requirement</w:t>
      </w:r>
    </w:p>
    <w:p>
      <w:pPr>
        <w:pStyle w:val="BlockText"/>
      </w:pPr>
      <w:r>
        <w:t xml:space="preserve">A PSSP license does NOT permit holding customer funds or issuing wallets — that requires an MMO license. PECH will use a white-label MMO partnership until own license is justified.</w:t>
      </w:r>
    </w:p>
    <w:p>
      <w:r>
        <w:pict>
          <v:rect style="width:0;height:1.5pt" o:hralign="center" o:hrstd="t" o:hr="t"/>
        </w:pict>
      </w:r>
    </w:p>
    <w:bookmarkEnd w:id="41"/>
    <w:bookmarkStart w:id="42" w:name="equity-structure"/>
    <w:p>
      <w:pPr>
        <w:pStyle w:val="Heading2"/>
      </w:pPr>
      <w: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etitive-edge"/>
    <w:p>
      <w:pPr>
        <w:pStyle w:val="Heading2"/>
      </w:pPr>
      <w: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hardware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Designed for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140–280V tolerance, offline-first, heat/dust resistant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+ good price for money — no bad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China sourcing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 Hardware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[Contact details to be inserted]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PECH Executive Summary</dc:title>
  <dc:creator/>
  <cp:keywords/>
  <dcterms:created xsi:type="dcterms:W3CDTF">2026-03-05T03:33:30Z</dcterms:created>
  <dcterms:modified xsi:type="dcterms:W3CDTF">2026-03-05T03:33:30Z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