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📦</w:t>
      </w:r>
    </w:p>
    <w:p>
      <w:pPr>
        <w:pStyle w:val="BodyText"/>
      </w:pPr>
      <w:r>
        <w:t xml:space="preserve">STOCK / MATERIAL REQUISITION FORM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requisitio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REQUISITION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Requisition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SRF-________-________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Priority: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Urgent [ ] Normal [ ] 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request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REQUESTER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 (Name):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Employee ID: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Position/Designation: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Project/Job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Cost Center / Budget Code: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Approved Budget Amount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items-request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REQUESTED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Code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Issued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purpose-just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PURPOSE / JUSTIFICATION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ore-remar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STORE REMARKS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Items Available in Stock: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— All items [ ] Partial [ ] No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Alternative Items Offered: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Expected Restock Date (if unavailable):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Store Remarks: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authorization-and-approval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AUTHORIZATION AND APPROVAL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Requested By: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 Head (Approved):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Store Manager (Issued By):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Received By (Requester):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All stock requisitions must be approved by the relevant Department Head before materials can be issued. Approval authority thresholds: Department Head up to ₦200,000; Finance Department required for items above ₦200,000; MD/CEO approval required above ₦500,000. This form must be submitted to the Store at least forty-eight (48) hours before the required date, except in cases of emergency. For urgent requests, provide written justification and obtain verbal approval from the Department Head before submission.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5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2026-03-11T09:36:06Z</dcterms:created>
  <dcterms:modified xsi:type="dcterms:W3CDTF">2026-03-11T09:36:06Z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