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Media and Public Communications Policy</w:t>
      </w:r>
    </w:p>
    <w:p>
      <w:pPr>
        <w:pStyle w:val="BodyText"/>
      </w:pPr>
      <w:r>
        <w:t xml:space="preserve"> </w:t>
      </w:r>
    </w:p>
    <w:p>
      <w:pPr>
        <w:pStyle w:val="BodyText"/>
      </w:pPr>
    </w:p>
    <w:p>
      <w:r>
        <w:pict>
          <v:rect style="width:0;height:1.5pt" o:hralign="center" o:hrstd="t" o:hr="t"/>
        </w:pict>
      </w:r>
    </w:p>
    <w:bookmarkStart w:id="20"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X4666c8db187a468bd7c4d1efd69e1ca31a62544">
        <w:r>
          <w:rPr>
            <w:rStyle w:val="Hyperlink"/>
          </w:rPr>
          <w:t xml:space="preserve">Purpose and Scope</w:t>
        </w:r>
      </w:hyperlink>
    </w:p>
    <w:p>
      <w:pPr>
        <w:numPr>
          <w:ilvl w:val="0"/>
          <w:numId w:val="1001"/>
        </w:numPr>
        <w:pStyle w:val="Compact"/>
      </w:pPr>
      <w:hyperlink w:anchor="Xd55d0ec060d01f4adae227e7fb9b0fddb093cf7">
        <w:r>
          <w:rPr>
            <w:rStyle w:val="Hyperlink"/>
          </w:rPr>
          <w:t xml:space="preserve">Authorized Spokespersons</w:t>
        </w:r>
      </w:hyperlink>
    </w:p>
    <w:p>
      <w:pPr>
        <w:numPr>
          <w:ilvl w:val="0"/>
          <w:numId w:val="1001"/>
        </w:numPr>
        <w:pStyle w:val="Compact"/>
      </w:pPr>
      <w:hyperlink w:anchor="X2e11eeba67f944f486e12d5cd1d08deb8ed1b69">
        <w:r>
          <w:rPr>
            <w:rStyle w:val="Hyperlink"/>
          </w:rPr>
          <w:t xml:space="preserve">Pre-Approval Requirement</w:t>
        </w:r>
      </w:hyperlink>
    </w:p>
    <w:p>
      <w:pPr>
        <w:numPr>
          <w:ilvl w:val="0"/>
          <w:numId w:val="1001"/>
        </w:numPr>
        <w:pStyle w:val="Compact"/>
      </w:pPr>
      <w:hyperlink w:anchor="X775480fd00ed70090c8c6479050caa663d1fd8d">
        <w:r>
          <w:rPr>
            <w:rStyle w:val="Hyperlink"/>
          </w:rPr>
          <w:t xml:space="preserve">Social Media Guidelines</w:t>
        </w:r>
      </w:hyperlink>
    </w:p>
    <w:p>
      <w:pPr>
        <w:numPr>
          <w:ilvl w:val="0"/>
          <w:numId w:val="1001"/>
        </w:numPr>
        <w:pStyle w:val="Compact"/>
      </w:pPr>
      <w:hyperlink w:anchor="X52625883e5d9d9329d770977dd64388031b26f1">
        <w:r>
          <w:rPr>
            <w:rStyle w:val="Hyperlink"/>
          </w:rPr>
          <w:t xml:space="preserve">Conference and Speaking Engagements</w:t>
        </w:r>
      </w:hyperlink>
    </w:p>
    <w:p>
      <w:pPr>
        <w:numPr>
          <w:ilvl w:val="0"/>
          <w:numId w:val="1001"/>
        </w:numPr>
        <w:pStyle w:val="Compact"/>
      </w:pPr>
      <w:hyperlink w:anchor="Xac7ed8f7045704e1d0a5eadd8547337e1f79083">
        <w:r>
          <w:rPr>
            <w:rStyle w:val="Hyperlink"/>
          </w:rPr>
          <w:t xml:space="preserve">Media Inquiries</w:t>
        </w:r>
      </w:hyperlink>
    </w:p>
    <w:p>
      <w:pPr>
        <w:numPr>
          <w:ilvl w:val="0"/>
          <w:numId w:val="1001"/>
        </w:numPr>
        <w:pStyle w:val="Compact"/>
      </w:pPr>
      <w:hyperlink w:anchor="X657fe0ff0679b51c9d5ad3294687865ad48d9f7">
        <w:r>
          <w:rPr>
            <w:rStyle w:val="Hyperlink"/>
          </w:rPr>
          <w:t xml:space="preserve">Permitted Statements</w:t>
        </w:r>
      </w:hyperlink>
    </w:p>
    <w:p>
      <w:pPr>
        <w:numPr>
          <w:ilvl w:val="0"/>
          <w:numId w:val="1001"/>
        </w:numPr>
        <w:pStyle w:val="Compact"/>
      </w:pPr>
      <w:hyperlink w:anchor="Xe41c6ff74ab3e504b309dbe16e7833d3d88023d">
        <w:r>
          <w:rPr>
            <w:rStyle w:val="Hyperlink"/>
          </w:rPr>
          <w:t xml:space="preserve">Prohibited Disclosures</w:t>
        </w:r>
      </w:hyperlink>
    </w:p>
    <w:p>
      <w:pPr>
        <w:numPr>
          <w:ilvl w:val="0"/>
          <w:numId w:val="1001"/>
        </w:numPr>
        <w:pStyle w:val="Compact"/>
      </w:pPr>
      <w:hyperlink w:anchor="Xeabfac2f9d754b9f4a3ad92eb72f181e2bc5423">
        <w:r>
          <w:rPr>
            <w:rStyle w:val="Hyperlink"/>
          </w:rPr>
          <w:t xml:space="preserve">Crisis Communications</w:t>
        </w:r>
      </w:hyperlink>
    </w:p>
    <w:p>
      <w:pPr>
        <w:numPr>
          <w:ilvl w:val="0"/>
          <w:numId w:val="1001"/>
        </w:numPr>
        <w:pStyle w:val="Compact"/>
      </w:pPr>
      <w:hyperlink w:anchor="X0b15e918faad476a93f22bdcdfc69575c777750">
        <w:r>
          <w:rPr>
            <w:rStyle w:val="Hyperlink"/>
          </w:rPr>
          <w:t xml:space="preserve">Whistleblower Protection</w:t>
        </w:r>
      </w:hyperlink>
    </w:p>
    <w:p>
      <w:pPr>
        <w:numPr>
          <w:ilvl w:val="0"/>
          <w:numId w:val="1001"/>
        </w:numPr>
        <w:pStyle w:val="Compact"/>
      </w:pPr>
      <w:hyperlink w:anchor="Xb02db83d430965a21858c6f739bf67346dc291c">
        <w:r>
          <w:rPr>
            <w:rStyle w:val="Hyperlink"/>
          </w:rPr>
          <w:t xml:space="preserve">Breach Consequences</w:t>
        </w:r>
      </w:hyperlink>
    </w:p>
    <w:p>
      <w:pPr>
        <w:numPr>
          <w:ilvl w:val="0"/>
          <w:numId w:val="1001"/>
        </w:numPr>
        <w:pStyle w:val="Compact"/>
      </w:pPr>
      <w:hyperlink w:anchor="Xd2c261448f4025eb2f4ecee0d9b610b4d379121">
        <w:r>
          <w:rPr>
            <w:rStyle w:val="Hyperlink"/>
          </w:rPr>
          <w:t xml:space="preserve">Post-Employment Obligations</w:t>
        </w:r>
      </w:hyperlink>
    </w:p>
    <w:p>
      <w:pPr>
        <w:numPr>
          <w:ilvl w:val="0"/>
          <w:numId w:val="1001"/>
        </w:numPr>
        <w:pStyle w:val="Compact"/>
      </w:pPr>
      <w:hyperlink w:anchor="X890d8e448f38ef089e8776df483ab3e21672726">
        <w:r>
          <w:rPr>
            <w:rStyle w:val="Hyperlink"/>
          </w:rPr>
          <w:t xml:space="preserve">Policy Review</w:t>
        </w:r>
      </w:hyperlink>
    </w:p>
    <w:p>
      <w:pPr>
        <w:numPr>
          <w:ilvl w:val="0"/>
          <w:numId w:val="1001"/>
        </w:numPr>
        <w:pStyle w:val="Compact"/>
      </w:pPr>
      <w:hyperlink w:anchor="X261edb7a303670cdf56d78002562240cc8f08f8">
        <w:r>
          <w:rPr>
            <w:rStyle w:val="Hyperlink"/>
          </w:rPr>
          <w:t xml:space="preserve">Acknowledgment and Agreement</w:t>
        </w:r>
      </w:hyperlink>
    </w:p>
    <w:p>
      <w:r>
        <w:pict>
          <v:rect style="width:0;height:1.5pt" o:hralign="center" o:hrstd="t" o:hr="t"/>
        </w:pict>
      </w:r>
    </w:p>
    <w:bookmarkEnd w:id="20"/>
    <w:bookmarkStart w:id="23" w:name="purpose-and-scop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Purpose and Scope</w:t>
      </w:r>
    </w:p>
    <w:bookmarkStart w:id="21" w:name="purpose"/>
    <w:p>
      <w:pPr>
        <w:pStyle w:val="Heading3"/>
        <w:rPr>
          <w:color w:val="E08A00"/>
        </w:rPr>
      </w:pPr>
      <w:r>
        <w:rPr>
          <w:b/>
          <w:color w:val="E08A00"/>
          <w:sz w:val="26"/>
        </w:rPr>
        <w:t xml:space="preserve">1.1 Purpose</w:t>
      </w:r>
    </w:p>
    <w:p>
      <w:pPr>
        <w:pStyle w:val="FirstParagraph"/>
      </w:pPr>
      <w:r>
        <w:t xml:space="preserve">This Media and Public Communications Policy (</w:t>
      </w:r>
      <w:r>
        <w:t xml:space="preserve">“</w:t>
      </w:r>
      <w:r>
        <w:t xml:space="preserve">Policy</w:t>
      </w:r>
      <w:r>
        <w:t xml:space="preserve">”</w:t>
      </w:r>
      <w:r>
        <w:t xml:space="preserve">) establishes the rules, procedures, and guidelines governing all external communications made on behalf of, or in connection with, PECH Group Holdings Ltd (</w:t>
      </w:r>
      <w:r>
        <w:t xml:space="preserve">“</w:t>
      </w:r>
      <w:r>
        <w:t xml:space="preserve">PECH</w:t>
      </w:r>
      <w:r>
        <w:t xml:space="preserve">”</w:t>
      </w:r>
      <w:r>
        <w:t xml:space="preserve">,</w:t>
      </w:r>
      <w:r>
        <w:t xml:space="preserve"> </w:t>
      </w:r>
      <w:r>
        <w:t xml:space="preserve">“</w:t>
      </w:r>
      <w:r>
        <w:t xml:space="preserve">the Company</w:t>
      </w:r>
      <w:r>
        <w:t xml:space="preserve">”</w:t>
      </w:r>
      <w:r>
        <w:t xml:space="preserve">). The purpose of this Policy is to:</w:t>
      </w:r>
    </w:p>
    <w:p>
      <w:pPr>
        <w:numPr>
          <w:ilvl w:val="0"/>
          <w:numId w:val="1002"/>
        </w:numPr>
        <w:pStyle w:val="Compact"/>
      </w:pPr>
      <w:r>
        <w:t xml:space="preserve">Protect the Company’s reputation, brand integrity, and public image;</w:t>
      </w:r>
    </w:p>
    <w:p>
      <w:pPr>
        <w:numPr>
          <w:ilvl w:val="0"/>
          <w:numId w:val="1002"/>
        </w:numPr>
        <w:pStyle w:val="Compact"/>
      </w:pPr>
      <w:r>
        <w:t xml:space="preserve">Ensure consistency, accuracy, and professionalism in all public-facing communications;</w:t>
      </w:r>
    </w:p>
    <w:p>
      <w:pPr>
        <w:numPr>
          <w:ilvl w:val="0"/>
          <w:numId w:val="1002"/>
        </w:numPr>
        <w:pStyle w:val="Compact"/>
      </w:pPr>
      <w:r>
        <w:t xml:space="preserve">Safeguard confidential business information, trade secrets, and proprietary data;</w:t>
      </w:r>
    </w:p>
    <w:p>
      <w:pPr>
        <w:numPr>
          <w:ilvl w:val="0"/>
          <w:numId w:val="1002"/>
        </w:numPr>
        <w:pStyle w:val="Compact"/>
      </w:pPr>
      <w:r>
        <w:t xml:space="preserve">Prevent unauthorized disclosure of sensitive information that could harm the Company, its clients, partners, or stakeholders;</w:t>
      </w:r>
    </w:p>
    <w:p>
      <w:pPr>
        <w:numPr>
          <w:ilvl w:val="0"/>
          <w:numId w:val="1002"/>
        </w:numPr>
        <w:pStyle w:val="Compact"/>
      </w:pPr>
      <w:r>
        <w:t xml:space="preserve">Establish clear lines of authority for public communications; and</w:t>
      </w:r>
    </w:p>
    <w:p>
      <w:pPr>
        <w:numPr>
          <w:ilvl w:val="0"/>
          <w:numId w:val="1002"/>
        </w:numPr>
        <w:pStyle w:val="Compact"/>
      </w:pPr>
      <w:r>
        <w:t xml:space="preserve">Ensure compliance with applicable Nigerian laws and regulations regarding public disclosure and data protection.</w:t>
      </w:r>
    </w:p>
    <w:bookmarkEnd w:id="21"/>
    <w:bookmarkStart w:id="22" w:name="scope"/>
    <w:p>
      <w:pPr>
        <w:pStyle w:val="Heading3"/>
        <w:rPr>
          <w:color w:val="E08A00"/>
        </w:rPr>
      </w:pPr>
      <w:r>
        <w:rPr>
          <w:b/>
          <w:color w:val="E08A00"/>
          <w:sz w:val="26"/>
        </w:rPr>
        <w:t xml:space="preserve">1.2 Scope</w:t>
      </w:r>
    </w:p>
    <w:p>
      <w:pPr>
        <w:pStyle w:val="FirstParagraph"/>
      </w:pPr>
      <w:r>
        <w:t xml:space="preserve">This Policy applies to</w:t>
      </w:r>
      <w:r>
        <w:t xml:space="preserve"> </w:t>
      </w:r>
      <w:r>
        <w:rPr>
          <w:bCs/>
          <w:b/>
        </w:rPr>
        <w:t xml:space="preserve">ALL</w:t>
      </w:r>
      <w:r>
        <w:t xml:space="preserve"> </w:t>
      </w:r>
      <w:r>
        <w:t xml:space="preserve">individuals who represent, work for, or are associated with PECH Group Holdings Ltd, including but not limited to:</w:t>
      </w:r>
    </w:p>
    <w:p>
      <w:pPr>
        <w:numPr>
          <w:ilvl w:val="0"/>
          <w:numId w:val="1003"/>
        </w:numPr>
        <w:pStyle w:val="Compact"/>
      </w:pPr>
      <w:r>
        <w:t xml:space="preserve">Full-time and part-time employees at all levels;</w:t>
      </w:r>
    </w:p>
    <w:p>
      <w:pPr>
        <w:numPr>
          <w:ilvl w:val="0"/>
          <w:numId w:val="1003"/>
        </w:numPr>
        <w:pStyle w:val="Compact"/>
      </w:pPr>
      <w:r>
        <w:t xml:space="preserve">Independent contractors, freelancers, and consultants;</w:t>
      </w:r>
    </w:p>
    <w:p>
      <w:pPr>
        <w:numPr>
          <w:ilvl w:val="0"/>
          <w:numId w:val="1003"/>
        </w:numPr>
        <w:pStyle w:val="Compact"/>
      </w:pPr>
      <w:r>
        <w:t xml:space="preserve">Interns and apprentices;</w:t>
      </w:r>
    </w:p>
    <w:p>
      <w:pPr>
        <w:numPr>
          <w:ilvl w:val="0"/>
          <w:numId w:val="1003"/>
        </w:numPr>
        <w:pStyle w:val="Compact"/>
      </w:pPr>
      <w:r>
        <w:t xml:space="preserve">Board members and directors;</w:t>
      </w:r>
    </w:p>
    <w:p>
      <w:pPr>
        <w:numPr>
          <w:ilvl w:val="0"/>
          <w:numId w:val="1003"/>
        </w:numPr>
        <w:pStyle w:val="Compact"/>
      </w:pPr>
      <w:r>
        <w:t xml:space="preserve">Advisors (formal and informal);</w:t>
      </w:r>
    </w:p>
    <w:p>
      <w:pPr>
        <w:numPr>
          <w:ilvl w:val="0"/>
          <w:numId w:val="1003"/>
        </w:numPr>
        <w:pStyle w:val="Compact"/>
      </w:pPr>
      <w:r>
        <w:t xml:space="preserve">Temporary staff and agency workers;</w:t>
      </w:r>
    </w:p>
    <w:p>
      <w:pPr>
        <w:numPr>
          <w:ilvl w:val="0"/>
          <w:numId w:val="1003"/>
        </w:numPr>
        <w:pStyle w:val="Compact"/>
      </w:pPr>
      <w:r>
        <w:t xml:space="preserve">Volunteers; and</w:t>
      </w:r>
    </w:p>
    <w:p>
      <w:pPr>
        <w:numPr>
          <w:ilvl w:val="0"/>
          <w:numId w:val="1003"/>
        </w:numPr>
        <w:pStyle w:val="Compact"/>
      </w:pPr>
      <w:r>
        <w:t xml:space="preserve">Any other person who acts on behalf of or is associated with the Company in any capacity.</w:t>
      </w:r>
    </w:p>
    <w:p>
      <w:pPr>
        <w:pStyle w:val="FirstParagraph"/>
      </w:pPr>
      <w:r>
        <w:t xml:space="preserve">This Policy applies to all forms of external communication, whether made during or outside working hours, and whether made using Company equipment or personal devices.</w:t>
      </w:r>
    </w:p>
    <w:p>
      <w:pPr>
        <w:pStyle w:val="BodyText"/>
      </w:pPr>
      <w:r>
        <w:t xml:space="preserve">This Policy is referenced by and incorporated into all employment contracts, contractor agreements, intern agreements, and any other engagement agreements with the Company.</w:t>
      </w:r>
    </w:p>
    <w:p>
      <w:r>
        <w:pict>
          <v:rect style="width:0;height:1.5pt" o:hralign="center" o:hrstd="t" o:hr="t"/>
        </w:pict>
      </w:r>
    </w:p>
    <w:bookmarkEnd w:id="22"/>
    <w:bookmarkEnd w:id="23"/>
    <w:bookmarkStart w:id="28" w:name="authorized-spokespers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Authorized Spokespersons</w:t>
      </w:r>
    </w:p>
    <w:bookmarkStart w:id="24" w:name="designated-spokespersons"/>
    <w:p>
      <w:pPr>
        <w:pStyle w:val="Heading3"/>
        <w:rPr>
          <w:color w:val="E08A00"/>
        </w:rPr>
      </w:pPr>
      <w:r>
        <w:rPr>
          <w:b/>
          <w:color w:val="E08A00"/>
          <w:sz w:val="26"/>
        </w:rPr>
        <w:t xml:space="preserve">2.1 Designated Spokespersons</w:t>
      </w:r>
    </w:p>
    <w:p>
      <w:pPr>
        <w:pStyle w:val="FirstParagraph"/>
      </w:pPr>
      <w:r>
        <w:t xml:space="preserve">The</w:t>
      </w:r>
      <w:r>
        <w:t xml:space="preserve"> </w:t>
      </w:r>
      <w:r>
        <w:rPr>
          <w:bCs/>
          <w:b/>
        </w:rPr>
        <w:t xml:space="preserve">ONLY</w:t>
      </w:r>
      <w:r>
        <w:t xml:space="preserve"> </w:t>
      </w:r>
      <w:r>
        <w:t xml:space="preserve">individuals authorized to speak publicly on behalf of PECH Group Holdings Ltd are:</w:t>
      </w:r>
    </w:p>
    <w:p>
      <w:pPr>
        <w:numPr>
          <w:ilvl w:val="0"/>
          <w:numId w:val="1004"/>
        </w:numPr>
        <w:pStyle w:val="Compact"/>
      </w:pPr>
      <w:r>
        <w:rPr>
          <w:bCs/>
          <w:b/>
        </w:rPr>
        <w:t xml:space="preserve">The Chief Executive Officer (CEO)</w:t>
      </w:r>
      <w:r>
        <w:t xml:space="preserve"> </w:t>
      </w:r>
      <w:r>
        <w:t xml:space="preserve">of PECH Group Holdings Ltd; and</w:t>
      </w:r>
    </w:p>
    <w:p>
      <w:pPr>
        <w:numPr>
          <w:ilvl w:val="0"/>
          <w:numId w:val="1004"/>
        </w:numPr>
        <w:pStyle w:val="Compact"/>
      </w:pPr>
      <w:r>
        <w:rPr>
          <w:bCs/>
          <w:b/>
        </w:rPr>
        <w:t xml:space="preserve">The designated Communications Officer</w:t>
      </w:r>
      <w:r>
        <w:t xml:space="preserve">, as appointed by the CEO from time to time.</w:t>
      </w:r>
    </w:p>
    <w:bookmarkEnd w:id="24"/>
    <w:bookmarkStart w:id="25" w:name="X90f8b7e1310cc6c1734c69f5aad79b9ef61388a"/>
    <w:p>
      <w:pPr>
        <w:pStyle w:val="Heading3"/>
        <w:rPr>
          <w:color w:val="E08A00"/>
        </w:rPr>
      </w:pPr>
      <w:r>
        <w:rPr>
          <w:b/>
          <w:color w:val="E08A00"/>
          <w:sz w:val="26"/>
        </w:rPr>
        <w:t xml:space="preserve">2.2 No Exceptions Without Written Pre-Approval</w:t>
      </w:r>
    </w:p>
    <w:p>
      <w:pPr>
        <w:pStyle w:val="FirstParagraph"/>
      </w:pPr>
      <w:r>
        <w:t xml:space="preserve">No other person, regardless of seniority, role, or position within the Company, is authorized to make any public statement on behalf of PECH without</w:t>
      </w:r>
      <w:r>
        <w:t xml:space="preserve"> </w:t>
      </w:r>
      <w:r>
        <w:rPr>
          <w:bCs/>
          <w:b/>
        </w:rPr>
        <w:t xml:space="preserve">express prior written approval</w:t>
      </w:r>
      <w:r>
        <w:t xml:space="preserve"> </w:t>
      </w:r>
      <w:r>
        <w:t xml:space="preserve">from the CEO or the Communications Officer.</w:t>
      </w:r>
    </w:p>
    <w:bookmarkEnd w:id="25"/>
    <w:bookmarkStart w:id="26" w:name="delegation-of-authority"/>
    <w:p>
      <w:pPr>
        <w:pStyle w:val="Heading3"/>
        <w:rPr>
          <w:color w:val="E08A00"/>
        </w:rPr>
      </w:pPr>
      <w:r>
        <w:rPr>
          <w:b/>
          <w:color w:val="E08A00"/>
          <w:sz w:val="26"/>
        </w:rPr>
        <w:t xml:space="preserve">2.3 Delegation of Authority</w:t>
      </w:r>
    </w:p>
    <w:p>
      <w:pPr>
        <w:pStyle w:val="FirstParagraph"/>
      </w:pPr>
      <w:r>
        <w:t xml:space="preserve">The CEO may, at their sole discretion, grant temporary or limited spokesperson authority to specific individuals for specific purposes. Any such delegation must be:</w:t>
      </w:r>
    </w:p>
    <w:p>
      <w:pPr>
        <w:numPr>
          <w:ilvl w:val="0"/>
          <w:numId w:val="1005"/>
        </w:numPr>
        <w:pStyle w:val="Compact"/>
      </w:pPr>
      <w:r>
        <w:t xml:space="preserve">In writing;</w:t>
      </w:r>
    </w:p>
    <w:p>
      <w:pPr>
        <w:numPr>
          <w:ilvl w:val="0"/>
          <w:numId w:val="1005"/>
        </w:numPr>
        <w:pStyle w:val="Compact"/>
      </w:pPr>
      <w:r>
        <w:t xml:space="preserve">Clearly defined in scope, topic, and duration;</w:t>
      </w:r>
    </w:p>
    <w:p>
      <w:pPr>
        <w:numPr>
          <w:ilvl w:val="0"/>
          <w:numId w:val="1005"/>
        </w:numPr>
        <w:pStyle w:val="Compact"/>
      </w:pPr>
      <w:r>
        <w:t xml:space="preserve">Approved and signed by the CEO or Communications Officer; and</w:t>
      </w:r>
    </w:p>
    <w:p>
      <w:pPr>
        <w:numPr>
          <w:ilvl w:val="0"/>
          <w:numId w:val="1005"/>
        </w:numPr>
        <w:pStyle w:val="Compact"/>
      </w:pPr>
      <w:r>
        <w:t xml:space="preserve">Revocable at any time without notice.</w:t>
      </w:r>
    </w:p>
    <w:bookmarkEnd w:id="26"/>
    <w:bookmarkStart w:id="27" w:name="unauthorized-statements"/>
    <w:p>
      <w:pPr>
        <w:pStyle w:val="Heading3"/>
        <w:rPr>
          <w:color w:val="E08A00"/>
        </w:rPr>
      </w:pPr>
      <w:r>
        <w:rPr>
          <w:b/>
          <w:color w:val="E08A00"/>
          <w:sz w:val="26"/>
        </w:rPr>
        <w:t xml:space="preserve">2.4 Unauthorized Statements</w:t>
      </w:r>
    </w:p>
    <w:p>
      <w:pPr>
        <w:pStyle w:val="FirstParagraph"/>
      </w:pPr>
      <w:r>
        <w:t xml:space="preserve">Any public statement made by an unauthorized person purporting to represent the views, positions, or information of PECH Group Holdings Ltd shall be deemed a breach of this Policy and may result in disciplinary action, up to and including summary dismissal and legal proceedings.</w:t>
      </w:r>
    </w:p>
    <w:p>
      <w:r>
        <w:pict>
          <v:rect style="width:0;height:1.5pt" o:hralign="center" o:hrstd="t" o:hr="t"/>
        </w:pict>
      </w:r>
    </w:p>
    <w:bookmarkEnd w:id="27"/>
    <w:bookmarkEnd w:id="28"/>
    <w:bookmarkStart w:id="33" w:name="pre-approval-require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Pre-Approval Requirement</w:t>
      </w:r>
    </w:p>
    <w:bookmarkStart w:id="29" w:name="mandatory-prior-written-approval"/>
    <w:p>
      <w:pPr>
        <w:pStyle w:val="Heading3"/>
        <w:rPr>
          <w:color w:val="E08A00"/>
        </w:rPr>
      </w:pPr>
      <w:r>
        <w:rPr>
          <w:b/>
          <w:color w:val="E08A00"/>
          <w:sz w:val="26"/>
        </w:rPr>
        <w:t xml:space="preserve">3.1 Mandatory Prior Written Approval</w:t>
      </w:r>
    </w:p>
    <w:p>
      <w:pPr>
        <w:pStyle w:val="FirstParagraph"/>
      </w:pPr>
      <w:r>
        <w:rPr>
          <w:bCs/>
          <w:b/>
        </w:rPr>
        <w:t xml:space="preserve">ALL</w:t>
      </w:r>
      <w:r>
        <w:t xml:space="preserve"> </w:t>
      </w:r>
      <w:r>
        <w:t xml:space="preserve">external communications about PECH Group Holdings Ltd, its business, operations, clients, technology, products, services, strategy, or any related matter require</w:t>
      </w:r>
      <w:r>
        <w:t xml:space="preserve"> </w:t>
      </w:r>
      <w:r>
        <w:rPr>
          <w:bCs/>
          <w:b/>
        </w:rPr>
        <w:t xml:space="preserve">prior written approval</w:t>
      </w:r>
      <w:r>
        <w:t xml:space="preserve"> </w:t>
      </w:r>
      <w:r>
        <w:t xml:space="preserve">from the CEO or the Communications Officer before publication, broadcast, or delivery.</w:t>
      </w:r>
    </w:p>
    <w:bookmarkEnd w:id="29"/>
    <w:bookmarkStart w:id="30" w:name="covered-communications"/>
    <w:p>
      <w:pPr>
        <w:pStyle w:val="Heading3"/>
        <w:rPr>
          <w:color w:val="E08A00"/>
        </w:rPr>
      </w:pPr>
      <w:r>
        <w:rPr>
          <w:b/>
          <w:color w:val="E08A00"/>
          <w:sz w:val="26"/>
        </w:rPr>
        <w:t xml:space="preserve">3.2 Covered Communications</w:t>
      </w:r>
    </w:p>
    <w:p>
      <w:pPr>
        <w:pStyle w:val="FirstParagraph"/>
      </w:pPr>
      <w:r>
        <w:t xml:space="preserve">This pre-approval requirement applies to, but is not limited to, the following types of communications:</w:t>
      </w:r>
    </w:p>
    <w:p>
      <w:pPr>
        <w:numPr>
          <w:ilvl w:val="0"/>
          <w:numId w:val="1006"/>
        </w:numPr>
        <w:pStyle w:val="Compact"/>
      </w:pPr>
      <w:r>
        <w:t xml:space="preserve">Media interviews (print, broadcast, online, podcast);</w:t>
      </w:r>
    </w:p>
    <w:p>
      <w:pPr>
        <w:numPr>
          <w:ilvl w:val="0"/>
          <w:numId w:val="1006"/>
        </w:numPr>
        <w:pStyle w:val="Compact"/>
      </w:pPr>
      <w:r>
        <w:t xml:space="preserve">Articles, op-eds, blog posts, and written publications;</w:t>
      </w:r>
    </w:p>
    <w:p>
      <w:pPr>
        <w:numPr>
          <w:ilvl w:val="0"/>
          <w:numId w:val="1006"/>
        </w:numPr>
        <w:pStyle w:val="Compact"/>
      </w:pPr>
      <w:r>
        <w:t xml:space="preserve">Social media posts, comments, shares, and reposts;</w:t>
      </w:r>
    </w:p>
    <w:p>
      <w:pPr>
        <w:numPr>
          <w:ilvl w:val="0"/>
          <w:numId w:val="1006"/>
        </w:numPr>
        <w:pStyle w:val="Compact"/>
      </w:pPr>
      <w:r>
        <w:t xml:space="preserve">Podcasts and audio recordings;</w:t>
      </w:r>
    </w:p>
    <w:p>
      <w:pPr>
        <w:numPr>
          <w:ilvl w:val="0"/>
          <w:numId w:val="1006"/>
        </w:numPr>
        <w:pStyle w:val="Compact"/>
      </w:pPr>
      <w:r>
        <w:t xml:space="preserve">Conference presentations, keynote speeches, and panel discussions;</w:t>
      </w:r>
    </w:p>
    <w:p>
      <w:pPr>
        <w:numPr>
          <w:ilvl w:val="0"/>
          <w:numId w:val="1006"/>
        </w:numPr>
        <w:pStyle w:val="Compact"/>
      </w:pPr>
      <w:r>
        <w:t xml:space="preserve">Webinars, online seminars, and virtual events;</w:t>
      </w:r>
    </w:p>
    <w:p>
      <w:pPr>
        <w:numPr>
          <w:ilvl w:val="0"/>
          <w:numId w:val="1006"/>
        </w:numPr>
        <w:pStyle w:val="Compact"/>
      </w:pPr>
      <w:r>
        <w:t xml:space="preserve">Academic papers, research publications, and case studies;</w:t>
      </w:r>
    </w:p>
    <w:p>
      <w:pPr>
        <w:numPr>
          <w:ilvl w:val="0"/>
          <w:numId w:val="1006"/>
        </w:numPr>
        <w:pStyle w:val="Compact"/>
      </w:pPr>
      <w:r>
        <w:t xml:space="preserve">Books, book chapters, and e-books;</w:t>
      </w:r>
    </w:p>
    <w:p>
      <w:pPr>
        <w:numPr>
          <w:ilvl w:val="0"/>
          <w:numId w:val="1006"/>
        </w:numPr>
        <w:pStyle w:val="Compact"/>
      </w:pPr>
      <w:r>
        <w:t xml:space="preserve">Video content, including YouTube, TikTok, Instagram Reels, and similar platforms;</w:t>
      </w:r>
    </w:p>
    <w:p>
      <w:pPr>
        <w:numPr>
          <w:ilvl w:val="0"/>
          <w:numId w:val="1006"/>
        </w:numPr>
        <w:pStyle w:val="Compact"/>
      </w:pPr>
      <w:r>
        <w:t xml:space="preserve">Responses to online forums, Q&amp;A platforms, or community boards;</w:t>
      </w:r>
    </w:p>
    <w:p>
      <w:pPr>
        <w:numPr>
          <w:ilvl w:val="0"/>
          <w:numId w:val="1006"/>
        </w:numPr>
        <w:pStyle w:val="Compact"/>
      </w:pPr>
      <w:r>
        <w:t xml:space="preserve">Testimonials and endorsements;</w:t>
      </w:r>
    </w:p>
    <w:p>
      <w:pPr>
        <w:numPr>
          <w:ilvl w:val="0"/>
          <w:numId w:val="1006"/>
        </w:numPr>
        <w:pStyle w:val="Compact"/>
      </w:pPr>
      <w:r>
        <w:t xml:space="preserve">Press releases and public announcements; and</w:t>
      </w:r>
    </w:p>
    <w:p>
      <w:pPr>
        <w:numPr>
          <w:ilvl w:val="0"/>
          <w:numId w:val="1006"/>
        </w:numPr>
        <w:pStyle w:val="Compact"/>
      </w:pPr>
      <w:r>
        <w:t xml:space="preserve">Any other form of communication intended for external audiences.</w:t>
      </w:r>
    </w:p>
    <w:bookmarkEnd w:id="30"/>
    <w:bookmarkStart w:id="31" w:name="approval-process"/>
    <w:p>
      <w:pPr>
        <w:pStyle w:val="Heading3"/>
        <w:rPr>
          <w:color w:val="E08A00"/>
        </w:rPr>
      </w:pPr>
      <w:r>
        <w:rPr>
          <w:b/>
          <w:color w:val="E08A00"/>
          <w:sz w:val="26"/>
        </w:rPr>
        <w:t xml:space="preserve">3.3 Approval Process</w:t>
      </w:r>
    </w:p>
    <w:p>
      <w:pPr>
        <w:pStyle w:val="FirstParagraph"/>
      </w:pPr>
      <w:r>
        <w:t xml:space="preserve">To obtain approval for any external communication:</w:t>
      </w:r>
    </w:p>
    <w:p>
      <w:pPr>
        <w:numPr>
          <w:ilvl w:val="0"/>
          <w:numId w:val="1007"/>
        </w:numPr>
        <w:pStyle w:val="Compact"/>
      </w:pPr>
      <w:r>
        <w:t xml:space="preserve">Submit a written request to the Communications Officer at least</w:t>
      </w:r>
      <w:r>
        <w:t xml:space="preserve"> </w:t>
      </w:r>
      <w:r>
        <w:rPr>
          <w:bCs/>
          <w:b/>
        </w:rPr>
        <w:t xml:space="preserve">five (5) business days</w:t>
      </w:r>
      <w:r>
        <w:t xml:space="preserve"> </w:t>
      </w:r>
      <w:r>
        <w:t xml:space="preserve">before the intended publication or communication date;</w:t>
      </w:r>
    </w:p>
    <w:p>
      <w:pPr>
        <w:numPr>
          <w:ilvl w:val="0"/>
          <w:numId w:val="1007"/>
        </w:numPr>
        <w:pStyle w:val="Compact"/>
      </w:pPr>
      <w:r>
        <w:t xml:space="preserve">Include the full text, script, slide deck, or detailed summary of the proposed communication;</w:t>
      </w:r>
    </w:p>
    <w:p>
      <w:pPr>
        <w:numPr>
          <w:ilvl w:val="0"/>
          <w:numId w:val="1007"/>
        </w:numPr>
        <w:pStyle w:val="Compact"/>
      </w:pPr>
      <w:r>
        <w:t xml:space="preserve">Identify the target audience, platform, and format;</w:t>
      </w:r>
    </w:p>
    <w:p>
      <w:pPr>
        <w:numPr>
          <w:ilvl w:val="0"/>
          <w:numId w:val="1007"/>
        </w:numPr>
        <w:pStyle w:val="Compact"/>
      </w:pPr>
      <w:r>
        <w:t xml:space="preserve">State the purpose and context of the communication;</w:t>
      </w:r>
    </w:p>
    <w:p>
      <w:pPr>
        <w:numPr>
          <w:ilvl w:val="0"/>
          <w:numId w:val="1007"/>
        </w:numPr>
        <w:pStyle w:val="Compact"/>
      </w:pPr>
      <w:r>
        <w:t xml:space="preserve">Await written confirmation of approval before proceeding; and</w:t>
      </w:r>
    </w:p>
    <w:p>
      <w:pPr>
        <w:numPr>
          <w:ilvl w:val="0"/>
          <w:numId w:val="1007"/>
        </w:numPr>
        <w:pStyle w:val="Compact"/>
      </w:pPr>
      <w:r>
        <w:t xml:space="preserve">Incorporate any revisions or conditions required by the approving authority.</w:t>
      </w:r>
    </w:p>
    <w:bookmarkEnd w:id="31"/>
    <w:bookmarkStart w:id="32" w:name="no-implied-approval"/>
    <w:p>
      <w:pPr>
        <w:pStyle w:val="Heading3"/>
        <w:rPr>
          <w:color w:val="E08A00"/>
        </w:rPr>
      </w:pPr>
      <w:r>
        <w:rPr>
          <w:b/>
          <w:color w:val="E08A00"/>
          <w:sz w:val="26"/>
        </w:rPr>
        <w:t xml:space="preserve">3.4 No Implied Approval</w:t>
      </w:r>
    </w:p>
    <w:p>
      <w:pPr>
        <w:pStyle w:val="FirstParagraph"/>
      </w:pPr>
      <w:r>
        <w:t xml:space="preserve">The absence of a response to an approval request does</w:t>
      </w:r>
      <w:r>
        <w:t xml:space="preserve"> </w:t>
      </w:r>
      <w:r>
        <w:rPr>
          <w:bCs/>
          <w:b/>
        </w:rPr>
        <w:t xml:space="preserve">not</w:t>
      </w:r>
      <w:r>
        <w:t xml:space="preserve"> </w:t>
      </w:r>
      <w:r>
        <w:t xml:space="preserve">constitute approval. Only an explicit written confirmation constitutes valid approval under this Policy.</w:t>
      </w:r>
    </w:p>
    <w:p>
      <w:r>
        <w:pict>
          <v:rect style="width:0;height:1.5pt" o:hralign="center" o:hrstd="t" o:hr="t"/>
        </w:pict>
      </w:r>
    </w:p>
    <w:bookmarkEnd w:id="32"/>
    <w:bookmarkEnd w:id="33"/>
    <w:bookmarkStart w:id="38" w:name="social-media-guidelin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Social Media Guidelines</w:t>
      </w:r>
    </w:p>
    <w:bookmarkStart w:id="34" w:name="general-prohibition"/>
    <w:p>
      <w:pPr>
        <w:pStyle w:val="Heading3"/>
        <w:rPr>
          <w:color w:val="E08A00"/>
        </w:rPr>
      </w:pPr>
      <w:r>
        <w:rPr>
          <w:b/>
          <w:color w:val="E08A00"/>
          <w:sz w:val="26"/>
        </w:rPr>
        <w:t xml:space="preserve">4.1 General Prohibition</w:t>
      </w:r>
    </w:p>
    <w:p>
      <w:pPr>
        <w:pStyle w:val="FirstParagraph"/>
      </w:pPr>
      <w:r>
        <w:t xml:space="preserve">No person covered by this Policy shall post, share, comment on, or otherwise publish any content on social media that relates to PECH Group Holdings Ltd’s work, projects, clients, technology, strategy, operations, or internal affairs without prior written approval from the CEO or Communications Officer.</w:t>
      </w:r>
    </w:p>
    <w:bookmarkEnd w:id="34"/>
    <w:bookmarkStart w:id="35" w:name="personal-social-media-accounts"/>
    <w:p>
      <w:pPr>
        <w:pStyle w:val="Heading3"/>
        <w:rPr>
          <w:color w:val="E08A00"/>
        </w:rPr>
      </w:pPr>
      <w:r>
        <w:rPr>
          <w:b/>
          <w:color w:val="E08A00"/>
          <w:sz w:val="26"/>
        </w:rPr>
        <w:t xml:space="preserve">4.2 Personal Social Media Accounts</w:t>
      </w:r>
    </w:p>
    <w:p>
      <w:pPr>
        <w:pStyle w:val="FirstParagraph"/>
      </w:pPr>
      <w:r>
        <w:t xml:space="preserve">Where any person covered by this Policy mentions PECH Group Holdings Ltd on their personal social media accounts (including but not limited to LinkedIn, X/Twitter, Facebook, Instagram, TikTok, Threads, and any other platform), they</w:t>
      </w:r>
      <w:r>
        <w:t xml:space="preserve"> </w:t>
      </w:r>
      <w:r>
        <w:rPr>
          <w:bCs/>
          <w:b/>
        </w:rPr>
        <w:t xml:space="preserve">must</w:t>
      </w:r>
      <w:r>
        <w:t xml:space="preserve"> </w:t>
      </w:r>
      <w:r>
        <w:t xml:space="preserve">include the following disclaimer prominently on their profile or in the relevant post:</w:t>
      </w:r>
    </w:p>
    <w:p>
      <w:pPr>
        <w:pStyle w:val="BlockText"/>
        <w:pBdr>
          <w:left w:val="single" w:sz="24" w:space="6" w:color="F5A623"/>
        </w:pBdr>
        <w:shd w:fill="FFF8E1" w:val="clear"/>
      </w:pPr>
      <w:r>
        <w:rPr>
          <w:bCs/>
          <w:b/>
        </w:rPr>
        <w:t xml:space="preserve">“</w:t>
      </w:r>
      <w:r>
        <w:rPr>
          <w:bCs/>
          <w:b/>
        </w:rPr>
        <w:t xml:space="preserve">Views are my own and do not represent the positions or opinions of PECH Group Holdings Ltd.</w:t>
      </w:r>
      <w:r>
        <w:rPr>
          <w:bCs/>
          <w:b/>
        </w:rPr>
        <w:t xml:space="preserve">”</w:t>
      </w:r>
    </w:p>
    <w:bookmarkEnd w:id="35"/>
    <w:bookmarkStart w:id="36" w:name="prohibited-social-media-activities"/>
    <w:p>
      <w:pPr>
        <w:pStyle w:val="Heading3"/>
        <w:rPr>
          <w:color w:val="E08A00"/>
        </w:rPr>
      </w:pPr>
      <w:r>
        <w:rPr>
          <w:b/>
          <w:color w:val="E08A00"/>
          <w:sz w:val="26"/>
        </w:rPr>
        <w:t xml:space="preserve">4.3 Prohibited Social Media Activities</w:t>
      </w:r>
    </w:p>
    <w:p>
      <w:pPr>
        <w:pStyle w:val="FirstParagraph"/>
      </w:pPr>
      <w:r>
        <w:t xml:space="preserve">The following activities are strictly prohibited on all social media platforms:</w:t>
      </w:r>
    </w:p>
    <w:p>
      <w:pPr>
        <w:numPr>
          <w:ilvl w:val="0"/>
          <w:numId w:val="1008"/>
        </w:numPr>
        <w:pStyle w:val="Compact"/>
      </w:pPr>
      <w:r>
        <w:t xml:space="preserve">Posting photographs, videos, or screenshots of PECH offices, workspaces, equipment, computer screens, documents, whiteboards, or meetings;</w:t>
      </w:r>
    </w:p>
    <w:p>
      <w:pPr>
        <w:numPr>
          <w:ilvl w:val="0"/>
          <w:numId w:val="1008"/>
        </w:numPr>
        <w:pStyle w:val="Compact"/>
      </w:pPr>
      <w:r>
        <w:t xml:space="preserve">Checking in at PECH offices, facilities, or client sites using location tagging or geotagging features;</w:t>
      </w:r>
    </w:p>
    <w:p>
      <w:pPr>
        <w:numPr>
          <w:ilvl w:val="0"/>
          <w:numId w:val="1008"/>
        </w:numPr>
        <w:pStyle w:val="Compact"/>
      </w:pPr>
      <w:r>
        <w:t xml:space="preserve">Sharing, forwarding, screenshotting, or otherwise reproducing internal communications, including but not limited to Slack messages, Microsoft Teams messages, WhatsApp group messages, emails, memos, meeting notes, or minutes;</w:t>
      </w:r>
    </w:p>
    <w:p>
      <w:pPr>
        <w:numPr>
          <w:ilvl w:val="0"/>
          <w:numId w:val="1008"/>
        </w:numPr>
        <w:pStyle w:val="Compact"/>
      </w:pPr>
      <w:r>
        <w:t xml:space="preserve">Posting about ongoing projects, product development, client work, or any non-public Company activities;</w:t>
      </w:r>
    </w:p>
    <w:p>
      <w:pPr>
        <w:numPr>
          <w:ilvl w:val="0"/>
          <w:numId w:val="1008"/>
        </w:numPr>
        <w:pStyle w:val="Compact"/>
      </w:pPr>
      <w:r>
        <w:t xml:space="preserve">Commenting on, liking, or sharing posts that disclose or could disclose confidential Company information;</w:t>
      </w:r>
    </w:p>
    <w:p>
      <w:pPr>
        <w:numPr>
          <w:ilvl w:val="0"/>
          <w:numId w:val="1008"/>
        </w:numPr>
        <w:pStyle w:val="Compact"/>
      </w:pPr>
      <w:r>
        <w:t xml:space="preserve">Identifying or tagging clients, partners, or stakeholders without their written consent and prior Company approval;</w:t>
      </w:r>
    </w:p>
    <w:p>
      <w:pPr>
        <w:numPr>
          <w:ilvl w:val="0"/>
          <w:numId w:val="1008"/>
        </w:numPr>
        <w:pStyle w:val="Compact"/>
      </w:pPr>
      <w:r>
        <w:t xml:space="preserve">Creating or participating in unofficial social media groups or accounts that use the PECH name, logo, or branding; and</w:t>
      </w:r>
    </w:p>
    <w:p>
      <w:pPr>
        <w:numPr>
          <w:ilvl w:val="0"/>
          <w:numId w:val="1008"/>
        </w:numPr>
        <w:pStyle w:val="Compact"/>
      </w:pPr>
      <w:r>
        <w:t xml:space="preserve">Engaging in online discussions or arguments about the Company, its competitors, or industry matters in a manner that could be attributed to PECH.</w:t>
      </w:r>
    </w:p>
    <w:bookmarkEnd w:id="36"/>
    <w:bookmarkStart w:id="37" w:name="official-company-accounts"/>
    <w:p>
      <w:pPr>
        <w:pStyle w:val="Heading3"/>
        <w:rPr>
          <w:color w:val="E08A00"/>
        </w:rPr>
      </w:pPr>
      <w:r>
        <w:rPr>
          <w:b/>
          <w:color w:val="E08A00"/>
          <w:sz w:val="26"/>
        </w:rPr>
        <w:t xml:space="preserve">4.4 Official Company Accounts</w:t>
      </w:r>
    </w:p>
    <w:p>
      <w:pPr>
        <w:pStyle w:val="FirstParagraph"/>
      </w:pPr>
      <w:r>
        <w:t xml:space="preserve">Only the Communications Officer or persons expressly authorized in writing by the CEO shall create, manage, or post content to official PECH Group Holdings Ltd social media accounts.</w:t>
      </w:r>
    </w:p>
    <w:p>
      <w:r>
        <w:pict>
          <v:rect style="width:0;height:1.5pt" o:hralign="center" o:hrstd="t" o:hr="t"/>
        </w:pict>
      </w:r>
    </w:p>
    <w:bookmarkEnd w:id="37"/>
    <w:bookmarkEnd w:id="38"/>
    <w:bookmarkStart w:id="43" w:name="conference-and-speaking-engagem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Conference and Speaking Engagements</w:t>
      </w:r>
    </w:p>
    <w:bookmarkStart w:id="39" w:name="advance-approval-required"/>
    <w:p>
      <w:pPr>
        <w:pStyle w:val="Heading3"/>
        <w:rPr>
          <w:color w:val="E08A00"/>
        </w:rPr>
      </w:pPr>
      <w:r>
        <w:rPr>
          <w:b/>
          <w:color w:val="E08A00"/>
          <w:sz w:val="26"/>
        </w:rPr>
        <w:t xml:space="preserve">5.1 Advance Approval Required</w:t>
      </w:r>
    </w:p>
    <w:p>
      <w:pPr>
        <w:pStyle w:val="FirstParagraph"/>
      </w:pPr>
      <w:r>
        <w:t xml:space="preserve">Any person covered by this Policy who is invited to speak at, present at, moderate, or participate in any conference, seminar, workshop, panel discussion, webinar, podcast, or similar event in a capacity that relates to or could be associated with PECH Group Holdings Ltd must obtain</w:t>
      </w:r>
      <w:r>
        <w:t xml:space="preserve"> </w:t>
      </w:r>
      <w:r>
        <w:rPr>
          <w:bCs/>
          <w:b/>
        </w:rPr>
        <w:t xml:space="preserve">prior written approval</w:t>
      </w:r>
      <w:r>
        <w:t xml:space="preserve"> </w:t>
      </w:r>
      <w:r>
        <w:t xml:space="preserve">from the CEO or Communications Officer before accepting the invitation.</w:t>
      </w:r>
    </w:p>
    <w:bookmarkEnd w:id="39"/>
    <w:bookmarkStart w:id="40" w:name="content-review-and-approval"/>
    <w:p>
      <w:pPr>
        <w:pStyle w:val="Heading3"/>
        <w:rPr>
          <w:color w:val="E08A00"/>
        </w:rPr>
      </w:pPr>
      <w:r>
        <w:rPr>
          <w:b/>
          <w:color w:val="E08A00"/>
          <w:sz w:val="26"/>
        </w:rPr>
        <w:t xml:space="preserve">5.2 Content Review and Approval</w:t>
      </w:r>
    </w:p>
    <w:p>
      <w:pPr>
        <w:pStyle w:val="FirstParagraph"/>
      </w:pPr>
      <w:r>
        <w:t xml:space="preserve">All presentation materials, slide decks, scripts, talking points, handouts, abstracts, and any other content to be presented or distributed at such events must be:</w:t>
      </w:r>
    </w:p>
    <w:p>
      <w:pPr>
        <w:numPr>
          <w:ilvl w:val="0"/>
          <w:numId w:val="1009"/>
        </w:numPr>
        <w:pStyle w:val="Compact"/>
      </w:pPr>
      <w:r>
        <w:t xml:space="preserve">Submitted to the Communications Officer for review at least</w:t>
      </w:r>
      <w:r>
        <w:t xml:space="preserve"> </w:t>
      </w:r>
      <w:r>
        <w:rPr>
          <w:bCs/>
          <w:b/>
        </w:rPr>
        <w:t xml:space="preserve">ten (10) business days</w:t>
      </w:r>
      <w:r>
        <w:t xml:space="preserve"> </w:t>
      </w:r>
      <w:r>
        <w:t xml:space="preserve">before the event;</w:t>
      </w:r>
    </w:p>
    <w:p>
      <w:pPr>
        <w:numPr>
          <w:ilvl w:val="0"/>
          <w:numId w:val="1009"/>
        </w:numPr>
        <w:pStyle w:val="Compact"/>
      </w:pPr>
      <w:r>
        <w:t xml:space="preserve">Revised in accordance with any feedback or conditions from the Communications Officer or CEO; and</w:t>
      </w:r>
    </w:p>
    <w:p>
      <w:pPr>
        <w:numPr>
          <w:ilvl w:val="0"/>
          <w:numId w:val="1009"/>
        </w:numPr>
        <w:pStyle w:val="Compact"/>
      </w:pPr>
      <w:r>
        <w:t xml:space="preserve">Approved in writing before delivery at the event.</w:t>
      </w:r>
    </w:p>
    <w:bookmarkEnd w:id="40"/>
    <w:bookmarkStart w:id="41" w:name="post-presentation-obligations"/>
    <w:p>
      <w:pPr>
        <w:pStyle w:val="Heading3"/>
        <w:rPr>
          <w:color w:val="E08A00"/>
        </w:rPr>
      </w:pPr>
      <w:r>
        <w:rPr>
          <w:b/>
          <w:color w:val="E08A00"/>
          <w:sz w:val="26"/>
        </w:rPr>
        <w:t xml:space="preserve">5.3 Post-Presentation Obligations</w:t>
      </w:r>
    </w:p>
    <w:p>
      <w:pPr>
        <w:pStyle w:val="FirstParagraph"/>
      </w:pPr>
      <w:r>
        <w:t xml:space="preserve">Following any approved speaking engagement:</w:t>
      </w:r>
    </w:p>
    <w:p>
      <w:pPr>
        <w:numPr>
          <w:ilvl w:val="0"/>
          <w:numId w:val="1010"/>
        </w:numPr>
        <w:pStyle w:val="Compact"/>
      </w:pPr>
      <w:r>
        <w:t xml:space="preserve">All materials distributed or presented must be submitted to the Communications Officer within</w:t>
      </w:r>
      <w:r>
        <w:t xml:space="preserve"> </w:t>
      </w:r>
      <w:r>
        <w:rPr>
          <w:bCs/>
          <w:b/>
        </w:rPr>
        <w:t xml:space="preserve">two (2) business days</w:t>
      </w:r>
      <w:r>
        <w:t xml:space="preserve"> </w:t>
      </w:r>
      <w:r>
        <w:t xml:space="preserve">of the event;</w:t>
      </w:r>
    </w:p>
    <w:p>
      <w:pPr>
        <w:numPr>
          <w:ilvl w:val="0"/>
          <w:numId w:val="1010"/>
        </w:numPr>
        <w:pStyle w:val="Compact"/>
      </w:pPr>
      <w:r>
        <w:t xml:space="preserve">Recordings, transcripts, or summaries of the presentation must be provided if available;</w:t>
      </w:r>
    </w:p>
    <w:p>
      <w:pPr>
        <w:numPr>
          <w:ilvl w:val="0"/>
          <w:numId w:val="1010"/>
        </w:numPr>
        <w:pStyle w:val="Compact"/>
      </w:pPr>
      <w:r>
        <w:t xml:space="preserve">Any follow-up media inquiries resulting from the event must be handled in accordance with Section 6 of this Policy; and</w:t>
      </w:r>
    </w:p>
    <w:p>
      <w:pPr>
        <w:numPr>
          <w:ilvl w:val="0"/>
          <w:numId w:val="1010"/>
        </w:numPr>
        <w:pStyle w:val="Compact"/>
      </w:pPr>
      <w:r>
        <w:t xml:space="preserve">The speaker must report any questions or discussions that touched on sensitive or confidential Company matters.</w:t>
      </w:r>
    </w:p>
    <w:bookmarkEnd w:id="41"/>
    <w:bookmarkStart w:id="42" w:name="restrictions-during-engagements"/>
    <w:p>
      <w:pPr>
        <w:pStyle w:val="Heading3"/>
        <w:rPr>
          <w:color w:val="E08A00"/>
        </w:rPr>
      </w:pPr>
      <w:r>
        <w:rPr>
          <w:b/>
          <w:color w:val="E08A00"/>
          <w:sz w:val="26"/>
        </w:rPr>
        <w:t xml:space="preserve">5.4 Restrictions During Engagements</w:t>
      </w:r>
    </w:p>
    <w:p>
      <w:pPr>
        <w:pStyle w:val="FirstParagraph"/>
      </w:pPr>
      <w:r>
        <w:t xml:space="preserve">Even with approval, speakers and participants must:</w:t>
      </w:r>
    </w:p>
    <w:p>
      <w:pPr>
        <w:numPr>
          <w:ilvl w:val="0"/>
          <w:numId w:val="1011"/>
        </w:numPr>
        <w:pStyle w:val="Compact"/>
      </w:pPr>
      <w:r>
        <w:t xml:space="preserve">Adhere strictly to the approved content and talking points;</w:t>
      </w:r>
    </w:p>
    <w:p>
      <w:pPr>
        <w:numPr>
          <w:ilvl w:val="0"/>
          <w:numId w:val="1011"/>
        </w:numPr>
        <w:pStyle w:val="Compact"/>
      </w:pPr>
      <w:r>
        <w:t xml:space="preserve">Not deviate into topics or disclosures not covered by the approved materials;</w:t>
      </w:r>
    </w:p>
    <w:p>
      <w:pPr>
        <w:numPr>
          <w:ilvl w:val="0"/>
          <w:numId w:val="1011"/>
        </w:numPr>
        <w:pStyle w:val="Compact"/>
      </w:pPr>
      <w:r>
        <w:t xml:space="preserve">Not make commitments, promises, or announcements on behalf of the Company beyond the scope of the approval; and</w:t>
      </w:r>
    </w:p>
    <w:p>
      <w:pPr>
        <w:numPr>
          <w:ilvl w:val="0"/>
          <w:numId w:val="1011"/>
        </w:numPr>
        <w:pStyle w:val="Compact"/>
      </w:pPr>
      <w:r>
        <w:t xml:space="preserve">Decline to answer questions that venture into confidential or unapproved territory, using the following response:</w:t>
      </w:r>
      <w:r>
        <w:t xml:space="preserve"> </w:t>
      </w:r>
      <w:r>
        <w:rPr>
          <w:iCs/>
          <w:i/>
        </w:rPr>
        <w:t xml:space="preserve">“</w:t>
      </w:r>
      <w:r>
        <w:rPr>
          <w:iCs/>
          <w:i/>
        </w:rPr>
        <w:t xml:space="preserve">I’m not in a position to comment on that. Please direct your inquiry to our Communications Officer.</w:t>
      </w:r>
      <w:r>
        <w:rPr>
          <w:iCs/>
          <w:i/>
        </w:rPr>
        <w:t xml:space="preserve">”</w:t>
      </w:r>
    </w:p>
    <w:p>
      <w:r>
        <w:pict>
          <v:rect style="width:0;height:1.5pt" o:hralign="center" o:hrstd="t" o:hr="t"/>
        </w:pict>
      </w:r>
    </w:p>
    <w:bookmarkEnd w:id="42"/>
    <w:bookmarkEnd w:id="43"/>
    <w:bookmarkStart w:id="48" w:name="media-inquiri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Media Inquiries</w:t>
      </w:r>
    </w:p>
    <w:bookmarkStart w:id="44" w:name="immediate-redirection"/>
    <w:p>
      <w:pPr>
        <w:pStyle w:val="Heading3"/>
        <w:rPr>
          <w:color w:val="E08A00"/>
        </w:rPr>
      </w:pPr>
      <w:r>
        <w:rPr>
          <w:b/>
          <w:color w:val="E08A00"/>
          <w:sz w:val="26"/>
        </w:rPr>
        <w:t xml:space="preserve">6.1 Immediate Redirection</w:t>
      </w:r>
    </w:p>
    <w:p>
      <w:pPr>
        <w:pStyle w:val="FirstParagraph"/>
      </w:pPr>
      <w:r>
        <w:rPr>
          <w:bCs/>
          <w:b/>
        </w:rPr>
        <w:t xml:space="preserve">ALL</w:t>
      </w:r>
      <w:r>
        <w:t xml:space="preserve"> </w:t>
      </w:r>
      <w:r>
        <w:t xml:space="preserve">inquiries from media representatives, journalists, bloggers, podcasters, researchers, analysts, or any person seeking information about PECH Group Holdings Ltd for public dissemination must be redirected</w:t>
      </w:r>
      <w:r>
        <w:t xml:space="preserve"> </w:t>
      </w:r>
      <w:r>
        <w:rPr>
          <w:bCs/>
          <w:b/>
        </w:rPr>
        <w:t xml:space="preserve">IMMEDIATELY</w:t>
      </w:r>
      <w:r>
        <w:t xml:space="preserve"> </w:t>
      </w:r>
      <w:r>
        <w:t xml:space="preserve">to the Communications Officer.</w:t>
      </w:r>
    </w:p>
    <w:bookmarkEnd w:id="44"/>
    <w:bookmarkStart w:id="45" w:name="no-engagement"/>
    <w:p>
      <w:pPr>
        <w:pStyle w:val="Heading3"/>
        <w:rPr>
          <w:color w:val="E08A00"/>
        </w:rPr>
      </w:pPr>
      <w:r>
        <w:rPr>
          <w:b/>
          <w:color w:val="E08A00"/>
          <w:sz w:val="26"/>
        </w:rPr>
        <w:t xml:space="preserve">6.2 No Engagement</w:t>
      </w:r>
    </w:p>
    <w:p>
      <w:pPr>
        <w:pStyle w:val="FirstParagraph"/>
      </w:pPr>
      <w:r>
        <w:t xml:space="preserve">Under no circumstances shall any person covered by this Policy:</w:t>
      </w:r>
    </w:p>
    <w:p>
      <w:pPr>
        <w:numPr>
          <w:ilvl w:val="0"/>
          <w:numId w:val="1012"/>
        </w:numPr>
        <w:pStyle w:val="Compact"/>
      </w:pPr>
      <w:r>
        <w:t xml:space="preserve">Confirm or deny any information, rumor, or allegation about the Company;</w:t>
      </w:r>
    </w:p>
    <w:p>
      <w:pPr>
        <w:numPr>
          <w:ilvl w:val="0"/>
          <w:numId w:val="1012"/>
        </w:numPr>
        <w:pStyle w:val="Compact"/>
      </w:pPr>
      <w:r>
        <w:t xml:space="preserve">Provide</w:t>
      </w:r>
      <w:r>
        <w:t xml:space="preserve"> </w:t>
      </w:r>
      <w:r>
        <w:t xml:space="preserve">“</w:t>
      </w:r>
      <w:r>
        <w:t xml:space="preserve">off the record,</w:t>
      </w:r>
      <w:r>
        <w:t xml:space="preserve">”</w:t>
      </w:r>
      <w:r>
        <w:t xml:space="preserve"> </w:t>
      </w:r>
      <w:r>
        <w:t xml:space="preserve">“</w:t>
      </w:r>
      <w:r>
        <w:t xml:space="preserve">background,</w:t>
      </w:r>
      <w:r>
        <w:t xml:space="preserve">”</w:t>
      </w:r>
      <w:r>
        <w:t xml:space="preserve"> </w:t>
      </w:r>
      <w:r>
        <w:t xml:space="preserve">or</w:t>
      </w:r>
      <w:r>
        <w:t xml:space="preserve"> </w:t>
      </w:r>
      <w:r>
        <w:t xml:space="preserve">“</w:t>
      </w:r>
      <w:r>
        <w:t xml:space="preserve">not for attribution</w:t>
      </w:r>
      <w:r>
        <w:t xml:space="preserve">”</w:t>
      </w:r>
      <w:r>
        <w:t xml:space="preserve"> </w:t>
      </w:r>
      <w:r>
        <w:t xml:space="preserve">comments;</w:t>
      </w:r>
    </w:p>
    <w:p>
      <w:pPr>
        <w:numPr>
          <w:ilvl w:val="0"/>
          <w:numId w:val="1012"/>
        </w:numPr>
        <w:pStyle w:val="Compact"/>
      </w:pPr>
      <w:r>
        <w:t xml:space="preserve">Speculate about Company matters;</w:t>
      </w:r>
    </w:p>
    <w:p>
      <w:pPr>
        <w:numPr>
          <w:ilvl w:val="0"/>
          <w:numId w:val="1012"/>
        </w:numPr>
        <w:pStyle w:val="Compact"/>
      </w:pPr>
      <w:r>
        <w:t xml:space="preserve">Share personal opinions that could be perceived as representing the Company’s position;</w:t>
      </w:r>
    </w:p>
    <w:p>
      <w:pPr>
        <w:numPr>
          <w:ilvl w:val="0"/>
          <w:numId w:val="1012"/>
        </w:numPr>
        <w:pStyle w:val="Compact"/>
      </w:pPr>
      <w:r>
        <w:t xml:space="preserve">Agree to follow-up interviews, calls, or meetings; or</w:t>
      </w:r>
    </w:p>
    <w:p>
      <w:pPr>
        <w:numPr>
          <w:ilvl w:val="0"/>
          <w:numId w:val="1012"/>
        </w:numPr>
        <w:pStyle w:val="Compact"/>
      </w:pPr>
      <w:r>
        <w:t xml:space="preserve">Provide any documentation, data, or materials to media representatives.</w:t>
      </w:r>
    </w:p>
    <w:bookmarkEnd w:id="45"/>
    <w:bookmarkStart w:id="46" w:name="required-response"/>
    <w:p>
      <w:pPr>
        <w:pStyle w:val="Heading3"/>
        <w:rPr>
          <w:color w:val="E08A00"/>
        </w:rPr>
      </w:pPr>
      <w:r>
        <w:rPr>
          <w:b/>
          <w:color w:val="E08A00"/>
          <w:sz w:val="26"/>
        </w:rPr>
        <w:t xml:space="preserve">6.3 Required Response</w:t>
      </w:r>
    </w:p>
    <w:p>
      <w:pPr>
        <w:pStyle w:val="FirstParagraph"/>
      </w:pPr>
      <w:r>
        <w:t xml:space="preserve">When approached by any media representative, the</w:t>
      </w:r>
      <w:r>
        <w:t xml:space="preserve"> </w:t>
      </w:r>
      <w:r>
        <w:rPr>
          <w:bCs/>
          <w:b/>
        </w:rPr>
        <w:t xml:space="preserve">only</w:t>
      </w:r>
      <w:r>
        <w:t xml:space="preserve"> </w:t>
      </w:r>
      <w:r>
        <w:t xml:space="preserve">appropriate response is:</w:t>
      </w:r>
    </w:p>
    <w:p>
      <w:pPr>
        <w:pStyle w:val="BlockText"/>
        <w:pBdr>
          <w:left w:val="single" w:sz="24" w:space="6" w:color="F5A623"/>
        </w:pBdr>
        <w:shd w:fill="FFF8E1" w:val="clear"/>
      </w:pPr>
      <w:r>
        <w:rPr>
          <w:iCs/>
          <w:i/>
        </w:rPr>
        <w:t xml:space="preserve">“</w:t>
      </w:r>
      <w:r>
        <w:rPr>
          <w:iCs/>
          <w:i/>
        </w:rPr>
        <w:t xml:space="preserve">Thank you for your interest. I am not authorized to comment on behalf of PECH Group Holdings Ltd. Please direct your inquiry to our Communications Officer at the Company’s official contact channels.</w:t>
      </w:r>
      <w:r>
        <w:rPr>
          <w:iCs/>
          <w:i/>
        </w:rPr>
        <w:t xml:space="preserve">”</w:t>
      </w:r>
    </w:p>
    <w:bookmarkEnd w:id="46"/>
    <w:bookmarkStart w:id="47" w:name="information-recording"/>
    <w:p>
      <w:pPr>
        <w:pStyle w:val="Heading3"/>
        <w:rPr>
          <w:color w:val="E08A00"/>
        </w:rPr>
      </w:pPr>
      <w:r>
        <w:rPr>
          <w:b/>
          <w:color w:val="E08A00"/>
          <w:sz w:val="26"/>
        </w:rPr>
        <w:t xml:space="preserve">6.4 Information Recording</w:t>
      </w:r>
    </w:p>
    <w:p>
      <w:pPr>
        <w:pStyle w:val="FirstParagraph"/>
      </w:pPr>
      <w:r>
        <w:t xml:space="preserve">Upon receiving a media inquiry, the person contacted must immediately record and forward the following information to the Communications Officer:</w:t>
      </w:r>
    </w:p>
    <w:p>
      <w:pPr>
        <w:numPr>
          <w:ilvl w:val="0"/>
          <w:numId w:val="1013"/>
        </w:numPr>
        <w:pStyle w:val="Compact"/>
      </w:pPr>
      <w:r>
        <w:rPr>
          <w:bCs/>
          <w:b/>
        </w:rPr>
        <w:t xml:space="preserve">Journalist’s full name</w:t>
      </w:r>
      <w:r>
        <w:t xml:space="preserve"> </w:t>
      </w:r>
      <w:r>
        <w:t xml:space="preserve">and title;</w:t>
      </w:r>
    </w:p>
    <w:p>
      <w:pPr>
        <w:numPr>
          <w:ilvl w:val="0"/>
          <w:numId w:val="1013"/>
        </w:numPr>
        <w:pStyle w:val="Compact"/>
      </w:pPr>
      <w:r>
        <w:rPr>
          <w:bCs/>
          <w:b/>
        </w:rPr>
        <w:t xml:space="preserve">Media outlet or publication</w:t>
      </w:r>
      <w:r>
        <w:t xml:space="preserve"> </w:t>
      </w:r>
      <w:r>
        <w:t xml:space="preserve">name;</w:t>
      </w:r>
    </w:p>
    <w:p>
      <w:pPr>
        <w:numPr>
          <w:ilvl w:val="0"/>
          <w:numId w:val="1013"/>
        </w:numPr>
        <w:pStyle w:val="Compact"/>
      </w:pPr>
      <w:r>
        <w:rPr>
          <w:bCs/>
          <w:b/>
        </w:rPr>
        <w:t xml:space="preserve">Topic</w:t>
      </w:r>
      <w:r>
        <w:t xml:space="preserve"> </w:t>
      </w:r>
      <w:r>
        <w:t xml:space="preserve">of the inquiry;</w:t>
      </w:r>
    </w:p>
    <w:p>
      <w:pPr>
        <w:numPr>
          <w:ilvl w:val="0"/>
          <w:numId w:val="1013"/>
        </w:numPr>
        <w:pStyle w:val="Compact"/>
      </w:pPr>
      <w:r>
        <w:rPr>
          <w:bCs/>
          <w:b/>
        </w:rPr>
        <w:t xml:space="preserve">Specific questions</w:t>
      </w:r>
      <w:r>
        <w:t xml:space="preserve"> </w:t>
      </w:r>
      <w:r>
        <w:t xml:space="preserve">asked (if any);</w:t>
      </w:r>
    </w:p>
    <w:p>
      <w:pPr>
        <w:numPr>
          <w:ilvl w:val="0"/>
          <w:numId w:val="1013"/>
        </w:numPr>
        <w:pStyle w:val="Compact"/>
      </w:pPr>
      <w:r>
        <w:rPr>
          <w:bCs/>
          <w:b/>
        </w:rPr>
        <w:t xml:space="preserve">Deadline</w:t>
      </w:r>
      <w:r>
        <w:t xml:space="preserve"> </w:t>
      </w:r>
      <w:r>
        <w:t xml:space="preserve">for the story or publication;</w:t>
      </w:r>
    </w:p>
    <w:p>
      <w:pPr>
        <w:numPr>
          <w:ilvl w:val="0"/>
          <w:numId w:val="1013"/>
        </w:numPr>
        <w:pStyle w:val="Compact"/>
      </w:pPr>
      <w:r>
        <w:rPr>
          <w:bCs/>
          <w:b/>
        </w:rPr>
        <w:t xml:space="preserve">Contact details</w:t>
      </w:r>
      <w:r>
        <w:t xml:space="preserve"> </w:t>
      </w:r>
      <w:r>
        <w:t xml:space="preserve">of the journalist (phone, email); and</w:t>
      </w:r>
    </w:p>
    <w:p>
      <w:pPr>
        <w:numPr>
          <w:ilvl w:val="0"/>
          <w:numId w:val="1013"/>
        </w:numPr>
        <w:pStyle w:val="Compact"/>
      </w:pPr>
      <w:r>
        <w:rPr>
          <w:bCs/>
          <w:b/>
        </w:rPr>
        <w:t xml:space="preserve">Date and time</w:t>
      </w:r>
      <w:r>
        <w:t xml:space="preserve"> </w:t>
      </w:r>
      <w:r>
        <w:t xml:space="preserve">of the inquiry.</w:t>
      </w:r>
    </w:p>
    <w:p>
      <w:pPr>
        <w:pStyle w:val="FirstParagraph"/>
      </w:pPr>
      <w:r>
        <w:t xml:space="preserve">This information must be forwarded to the Communications Officer within</w:t>
      </w:r>
      <w:r>
        <w:t xml:space="preserve"> </w:t>
      </w:r>
      <w:r>
        <w:rPr>
          <w:bCs/>
          <w:b/>
        </w:rPr>
        <w:t xml:space="preserve">one (1) hour</w:t>
      </w:r>
      <w:r>
        <w:t xml:space="preserve"> </w:t>
      </w:r>
      <w:r>
        <w:t xml:space="preserve">of receipt of the inquiry.</w:t>
      </w:r>
    </w:p>
    <w:p>
      <w:r>
        <w:pict>
          <v:rect style="width:0;height:1.5pt" o:hralign="center" o:hrstd="t" o:hr="t"/>
        </w:pict>
      </w:r>
    </w:p>
    <w:bookmarkEnd w:id="47"/>
    <w:bookmarkEnd w:id="48"/>
    <w:bookmarkStart w:id="51" w:name="permitted-statem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Permitted Statements</w:t>
      </w:r>
    </w:p>
    <w:bookmarkStart w:id="49" w:name="authorized-general-statements"/>
    <w:p>
      <w:pPr>
        <w:pStyle w:val="Heading3"/>
        <w:rPr>
          <w:color w:val="E08A00"/>
        </w:rPr>
      </w:pPr>
      <w:r>
        <w:rPr>
          <w:b/>
          <w:color w:val="E08A00"/>
          <w:sz w:val="26"/>
        </w:rPr>
        <w:t xml:space="preserve">7.1 Authorized General Statements</w:t>
      </w:r>
    </w:p>
    <w:p>
      <w:pPr>
        <w:pStyle w:val="FirstParagraph"/>
      </w:pPr>
      <w:r>
        <w:t xml:space="preserve">Without requiring prior approval, individuals covered by this Policy are permitted to make the following limited statements:</w:t>
      </w:r>
    </w:p>
    <w:p>
      <w:pPr>
        <w:numPr>
          <w:ilvl w:val="0"/>
          <w:numId w:val="1014"/>
        </w:numPr>
        <w:pStyle w:val="Compact"/>
      </w:pPr>
      <w:r>
        <w:t xml:space="preserve">Their</w:t>
      </w:r>
      <w:r>
        <w:t xml:space="preserve"> </w:t>
      </w:r>
      <w:r>
        <w:rPr>
          <w:bCs/>
          <w:b/>
        </w:rPr>
        <w:t xml:space="preserve">job title and general role description</w:t>
      </w:r>
      <w:r>
        <w:t xml:space="preserve">, for example on LinkedIn profiles or professional networking platforms (e.g.,</w:t>
      </w:r>
      <w:r>
        <w:t xml:space="preserve"> </w:t>
      </w:r>
      <w:r>
        <w:t xml:space="preserve">“</w:t>
      </w:r>
      <w:r>
        <w:t xml:space="preserve">Software Engineer at PECH Group Holdings Ltd</w:t>
      </w:r>
      <w:r>
        <w:t xml:space="preserve">”</w:t>
      </w:r>
      <w:r>
        <w:t xml:space="preserve">);</w:t>
      </w:r>
    </w:p>
    <w:p>
      <w:pPr>
        <w:numPr>
          <w:ilvl w:val="0"/>
          <w:numId w:val="1014"/>
        </w:numPr>
        <w:pStyle w:val="Compact"/>
      </w:pPr>
      <w:r>
        <w:t xml:space="preserve">The following</w:t>
      </w:r>
      <w:r>
        <w:t xml:space="preserve"> </w:t>
      </w:r>
      <w:r>
        <w:rPr>
          <w:bCs/>
          <w:b/>
        </w:rPr>
        <w:t xml:space="preserve">general statement</w:t>
      </w:r>
      <w:r>
        <w:t xml:space="preserve"> </w:t>
      </w:r>
      <w:r>
        <w:t xml:space="preserve">about the Company:</w:t>
      </w:r>
    </w:p>
    <w:p>
      <w:pPr>
        <w:pStyle w:val="BlockText"/>
        <w:pBdr>
          <w:left w:val="single" w:sz="24" w:space="6" w:color="F5A623"/>
        </w:pBdr>
        <w:shd w:fill="FFF8E1" w:val="clear"/>
      </w:pPr>
      <w:r>
        <w:rPr>
          <w:iCs/>
          <w:i/>
        </w:rPr>
        <w:t xml:space="preserve">“</w:t>
      </w:r>
      <w:r>
        <w:rPr>
          <w:iCs/>
          <w:i/>
        </w:rPr>
        <w:t xml:space="preserve">I work at PECH Group Holdings Ltd, a technology company based in Lagos, Nigeria.</w:t>
      </w:r>
      <w:r>
        <w:rPr>
          <w:iCs/>
          <w:i/>
        </w:rPr>
        <w:t xml:space="preserve">”</w:t>
      </w:r>
    </w:p>
    <w:bookmarkEnd w:id="49"/>
    <w:bookmarkStart w:id="50" w:name="limitations"/>
    <w:p>
      <w:pPr>
        <w:pStyle w:val="Heading3"/>
        <w:rPr>
          <w:color w:val="E08A00"/>
        </w:rPr>
      </w:pPr>
      <w:r>
        <w:rPr>
          <w:b/>
          <w:color w:val="E08A00"/>
          <w:sz w:val="26"/>
        </w:rPr>
        <w:t xml:space="preserve">7.2 Limitations</w:t>
      </w:r>
    </w:p>
    <w:p>
      <w:pPr>
        <w:pStyle w:val="FirstParagraph"/>
      </w:pPr>
      <w:r>
        <w:t xml:space="preserve">Beyond the statements expressly permitted in Section 7.1:</w:t>
      </w:r>
    </w:p>
    <w:p>
      <w:pPr>
        <w:numPr>
          <w:ilvl w:val="0"/>
          <w:numId w:val="1015"/>
        </w:numPr>
        <w:pStyle w:val="Compact"/>
      </w:pPr>
      <w:r>
        <w:t xml:space="preserve">No additional details about the Company’s operations, projects, technology, clients, strategy, culture, internal practices, or any other matter may be shared without prior written approval;</w:t>
      </w:r>
    </w:p>
    <w:p>
      <w:pPr>
        <w:numPr>
          <w:ilvl w:val="0"/>
          <w:numId w:val="1015"/>
        </w:numPr>
        <w:pStyle w:val="Compact"/>
      </w:pPr>
      <w:r>
        <w:t xml:space="preserve">Individuals may not elaborate on their role, responsibilities, or achievements in a manner that discloses confidential information or non-public Company activities; and</w:t>
      </w:r>
    </w:p>
    <w:p>
      <w:pPr>
        <w:numPr>
          <w:ilvl w:val="0"/>
          <w:numId w:val="1015"/>
        </w:numPr>
        <w:pStyle w:val="Compact"/>
      </w:pPr>
      <w:r>
        <w:t xml:space="preserve">Individuals may not describe the Company’s products, services, or capabilities beyond what is publicly available on the Company’s official website at</w:t>
      </w:r>
      <w:r>
        <w:t xml:space="preserve"> </w:t>
      </w:r>
      <w:r>
        <w:rPr>
          <w:bCs/>
          <w:b/>
        </w:rPr>
        <w:t xml:space="preserve">pechgroupholdings.tech</w:t>
      </w:r>
      <w:r>
        <w:t xml:space="preserve">.</w:t>
      </w:r>
    </w:p>
    <w:p>
      <w:r>
        <w:pict>
          <v:rect style="width:0;height:1.5pt" o:hralign="center" o:hrstd="t" o:hr="t"/>
        </w:pict>
      </w:r>
    </w:p>
    <w:bookmarkEnd w:id="50"/>
    <w:bookmarkEnd w:id="51"/>
    <w:bookmarkStart w:id="54" w:name="prohibited-disclosur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Prohibited Disclosures</w:t>
      </w:r>
    </w:p>
    <w:bookmarkStart w:id="52" w:name="strictly-prohibited-information"/>
    <w:p>
      <w:pPr>
        <w:pStyle w:val="Heading3"/>
        <w:rPr>
          <w:color w:val="E08A00"/>
        </w:rPr>
      </w:pPr>
      <w:r>
        <w:rPr>
          <w:b/>
          <w:color w:val="E08A00"/>
          <w:sz w:val="26"/>
        </w:rPr>
        <w:t xml:space="preserve">8.1 Strictly Prohibited Information</w:t>
      </w:r>
    </w:p>
    <w:p>
      <w:pPr>
        <w:pStyle w:val="FirstParagraph"/>
      </w:pPr>
      <w:r>
        <w:t xml:space="preserve">The following categories of information are strictly prohibited from disclosure to any external party, media representative, or public forum without the express prior written authorization of the CEO:</w:t>
      </w:r>
    </w:p>
    <w:p>
      <w:pPr>
        <w:numPr>
          <w:ilvl w:val="0"/>
          <w:numId w:val="1016"/>
        </w:numPr>
      </w:pPr>
      <w:r>
        <w:rPr>
          <w:bCs/>
          <w:b/>
        </w:rPr>
        <w:t xml:space="preserve">Client and Customer Information</w:t>
      </w:r>
      <w:r>
        <w:t xml:space="preserve"> </w:t>
      </w:r>
      <w:r>
        <w:t xml:space="preserve">— names, identities, contract details, project scope, service agreements, and any information relating to current, former, or prospective clients or customers;</w:t>
      </w:r>
    </w:p>
    <w:p>
      <w:pPr>
        <w:numPr>
          <w:ilvl w:val="0"/>
          <w:numId w:val="1016"/>
        </w:numPr>
      </w:pPr>
      <w:r>
        <w:rPr>
          <w:bCs/>
          <w:b/>
        </w:rPr>
        <w:t xml:space="preserve">Financial Information</w:t>
      </w:r>
      <w:r>
        <w:t xml:space="preserve"> </w:t>
      </w:r>
      <w:r>
        <w:t xml:space="preserve">— revenue, profit, loss, funding, investment, valuation, financial projections, budgets, pricing models, billing arrangements, and any other financial data;</w:t>
      </w:r>
    </w:p>
    <w:p>
      <w:pPr>
        <w:numPr>
          <w:ilvl w:val="0"/>
          <w:numId w:val="1016"/>
        </w:numPr>
      </w:pPr>
      <w:r>
        <w:rPr>
          <w:bCs/>
          <w:b/>
        </w:rPr>
        <w:t xml:space="preserve">Technical Information</w:t>
      </w:r>
      <w:r>
        <w:t xml:space="preserve"> </w:t>
      </w:r>
      <w:r>
        <w:t xml:space="preserve">— system architecture, source code, algorithms, API specifications, database structures, technical infrastructure, development methodologies, security protocols, and any proprietary technology;</w:t>
      </w:r>
    </w:p>
    <w:p>
      <w:pPr>
        <w:numPr>
          <w:ilvl w:val="0"/>
          <w:numId w:val="1016"/>
        </w:numPr>
      </w:pPr>
      <w:r>
        <w:rPr>
          <w:bCs/>
          <w:b/>
        </w:rPr>
        <w:t xml:space="preserve">Business Strategy</w:t>
      </w:r>
      <w:r>
        <w:t xml:space="preserve"> </w:t>
      </w:r>
      <w:r>
        <w:t xml:space="preserve">— product roadmaps, go-to-market strategies, expansion plans, competitive analysis, market research, strategic partnerships, and business development activities;</w:t>
      </w:r>
    </w:p>
    <w:p>
      <w:pPr>
        <w:numPr>
          <w:ilvl w:val="0"/>
          <w:numId w:val="1016"/>
        </w:numPr>
      </w:pPr>
      <w:r>
        <w:rPr>
          <w:bCs/>
          <w:b/>
        </w:rPr>
        <w:t xml:space="preserve">Employee Information</w:t>
      </w:r>
      <w:r>
        <w:t xml:space="preserve"> </w:t>
      </w:r>
      <w:r>
        <w:t xml:space="preserve">— names and roles of employees (beyond publicly available information), salary and compensation data, performance reviews, disciplinary matters, headcount, organizational structure, and recruitment activities;</w:t>
      </w:r>
    </w:p>
    <w:p>
      <w:pPr>
        <w:numPr>
          <w:ilvl w:val="0"/>
          <w:numId w:val="1016"/>
        </w:numPr>
      </w:pPr>
      <w:r>
        <w:rPr>
          <w:bCs/>
          <w:b/>
        </w:rPr>
        <w:t xml:space="preserve">Internal Processes</w:t>
      </w:r>
      <w:r>
        <w:t xml:space="preserve"> </w:t>
      </w:r>
      <w:r>
        <w:t xml:space="preserve">— operational workflows, internal tools and platforms, project management methodologies, vendor relationships, supply chain details, and procurement processes;</w:t>
      </w:r>
    </w:p>
    <w:p>
      <w:pPr>
        <w:numPr>
          <w:ilvl w:val="0"/>
          <w:numId w:val="1016"/>
        </w:numPr>
      </w:pPr>
      <w:r>
        <w:rPr>
          <w:bCs/>
          <w:b/>
        </w:rPr>
        <w:t xml:space="preserve">Negotiations and Deals</w:t>
      </w:r>
      <w:r>
        <w:t xml:space="preserve"> </w:t>
      </w:r>
      <w:r>
        <w:t xml:space="preserve">— ongoing or prospective negotiations, partnerships, acquisitions, mergers, joint ventures, licensing agreements, and any pre-contractual discussions;</w:t>
      </w:r>
    </w:p>
    <w:p>
      <w:pPr>
        <w:numPr>
          <w:ilvl w:val="0"/>
          <w:numId w:val="1016"/>
        </w:numPr>
      </w:pPr>
      <w:r>
        <w:rPr>
          <w:bCs/>
          <w:b/>
        </w:rPr>
        <w:t xml:space="preserve">Legal Matters</w:t>
      </w:r>
      <w:r>
        <w:t xml:space="preserve"> </w:t>
      </w:r>
      <w:r>
        <w:t xml:space="preserve">— pending or threatened litigation, regulatory investigations, compliance matters, legal opinions, and dispute resolution proceedings;</w:t>
      </w:r>
    </w:p>
    <w:p>
      <w:pPr>
        <w:numPr>
          <w:ilvl w:val="0"/>
          <w:numId w:val="1016"/>
        </w:numPr>
      </w:pPr>
      <w:r>
        <w:rPr>
          <w:bCs/>
          <w:b/>
        </w:rPr>
        <w:t xml:space="preserve">Marked Confidential Information</w:t>
      </w:r>
      <w:r>
        <w:t xml:space="preserve"> </w:t>
      </w:r>
      <w:r>
        <w:t xml:space="preserve">— any document, communication, data, or material that is marked, labeled, or designated as confidential, proprietary, restricted, or internal; and</w:t>
      </w:r>
    </w:p>
    <w:p>
      <w:pPr>
        <w:numPr>
          <w:ilvl w:val="0"/>
          <w:numId w:val="1016"/>
        </w:numPr>
      </w:pPr>
      <w:r>
        <w:rPr>
          <w:bCs/>
          <w:b/>
        </w:rPr>
        <w:t xml:space="preserve">Any Other Non-Public Information</w:t>
      </w:r>
      <w:r>
        <w:t xml:space="preserve"> </w:t>
      </w:r>
      <w:r>
        <w:t xml:space="preserve">— any information that has not been officially and publicly released by the Company through authorized channels.</w:t>
      </w:r>
    </w:p>
    <w:bookmarkEnd w:id="52"/>
    <w:bookmarkStart w:id="53" w:name="presumption-of-confidentiality"/>
    <w:p>
      <w:pPr>
        <w:pStyle w:val="Heading3"/>
        <w:rPr>
          <w:color w:val="E08A00"/>
        </w:rPr>
      </w:pPr>
      <w:r>
        <w:rPr>
          <w:b/>
          <w:color w:val="E08A00"/>
          <w:sz w:val="26"/>
        </w:rPr>
        <w:t xml:space="preserve">8.2 Presumption of Confidentiality</w:t>
      </w:r>
    </w:p>
    <w:p>
      <w:pPr>
        <w:pStyle w:val="FirstParagraph"/>
      </w:pPr>
      <w:r>
        <w:t xml:space="preserve">If there is any doubt as to whether specific information falls within the prohibited categories above, it shall be</w:t>
      </w:r>
      <w:r>
        <w:t xml:space="preserve"> </w:t>
      </w:r>
      <w:r>
        <w:rPr>
          <w:bCs/>
          <w:b/>
        </w:rPr>
        <w:t xml:space="preserve">presumed confidential</w:t>
      </w:r>
      <w:r>
        <w:t xml:space="preserve"> </w:t>
      </w:r>
      <w:r>
        <w:t xml:space="preserve">and must not be disclosed. Individuals must consult the Communications Officer or CEO before making any disclosure.</w:t>
      </w:r>
    </w:p>
    <w:p>
      <w:r>
        <w:pict>
          <v:rect style="width:0;height:1.5pt" o:hralign="center" o:hrstd="t" o:hr="t"/>
        </w:pict>
      </w:r>
    </w:p>
    <w:bookmarkEnd w:id="53"/>
    <w:bookmarkEnd w:id="54"/>
    <w:bookmarkStart w:id="59" w:name="crisis-communic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Crisis Communications</w:t>
      </w:r>
    </w:p>
    <w:bookmarkStart w:id="55" w:name="definition-of-crisis"/>
    <w:p>
      <w:pPr>
        <w:pStyle w:val="Heading3"/>
        <w:rPr>
          <w:color w:val="E08A00"/>
        </w:rPr>
      </w:pPr>
      <w:r>
        <w:rPr>
          <w:b/>
          <w:color w:val="E08A00"/>
          <w:sz w:val="26"/>
        </w:rPr>
        <w:t xml:space="preserve">9.1 Definition of Crisis</w:t>
      </w:r>
    </w:p>
    <w:p>
      <w:pPr>
        <w:pStyle w:val="FirstParagraph"/>
      </w:pPr>
      <w:r>
        <w:t xml:space="preserve">A crisis, for the purposes of this Policy, includes but is not limited to:</w:t>
      </w:r>
    </w:p>
    <w:p>
      <w:pPr>
        <w:numPr>
          <w:ilvl w:val="0"/>
          <w:numId w:val="1017"/>
        </w:numPr>
        <w:pStyle w:val="Compact"/>
      </w:pPr>
      <w:r>
        <w:t xml:space="preserve">Data breaches or cybersecurity incidents;</w:t>
      </w:r>
    </w:p>
    <w:p>
      <w:pPr>
        <w:numPr>
          <w:ilvl w:val="0"/>
          <w:numId w:val="1017"/>
        </w:numPr>
        <w:pStyle w:val="Compact"/>
      </w:pPr>
      <w:r>
        <w:t xml:space="preserve">Legal proceedings, lawsuits, or regulatory actions;</w:t>
      </w:r>
    </w:p>
    <w:p>
      <w:pPr>
        <w:numPr>
          <w:ilvl w:val="0"/>
          <w:numId w:val="1017"/>
        </w:numPr>
        <w:pStyle w:val="Compact"/>
      </w:pPr>
      <w:r>
        <w:t xml:space="preserve">Public controversy, negative media coverage, or reputational threats;</w:t>
      </w:r>
    </w:p>
    <w:p>
      <w:pPr>
        <w:numPr>
          <w:ilvl w:val="0"/>
          <w:numId w:val="1017"/>
        </w:numPr>
        <w:pStyle w:val="Compact"/>
      </w:pPr>
      <w:r>
        <w:t xml:space="preserve">Significant operational disruptions or service failures;</w:t>
      </w:r>
    </w:p>
    <w:p>
      <w:pPr>
        <w:numPr>
          <w:ilvl w:val="0"/>
          <w:numId w:val="1017"/>
        </w:numPr>
        <w:pStyle w:val="Compact"/>
      </w:pPr>
      <w:r>
        <w:t xml:space="preserve">Employee misconduct becoming public;</w:t>
      </w:r>
    </w:p>
    <w:p>
      <w:pPr>
        <w:numPr>
          <w:ilvl w:val="0"/>
          <w:numId w:val="1017"/>
        </w:numPr>
        <w:pStyle w:val="Compact"/>
      </w:pPr>
      <w:r>
        <w:t xml:space="preserve">Government investigations or enforcement actions;</w:t>
      </w:r>
    </w:p>
    <w:p>
      <w:pPr>
        <w:numPr>
          <w:ilvl w:val="0"/>
          <w:numId w:val="1017"/>
        </w:numPr>
        <w:pStyle w:val="Compact"/>
      </w:pPr>
      <w:r>
        <w:t xml:space="preserve">Financial difficulties or restructuring; and</w:t>
      </w:r>
    </w:p>
    <w:p>
      <w:pPr>
        <w:numPr>
          <w:ilvl w:val="0"/>
          <w:numId w:val="1017"/>
        </w:numPr>
        <w:pStyle w:val="Compact"/>
      </w:pPr>
      <w:r>
        <w:t xml:space="preserve">Any event that could materially affect the Company’s reputation or operations.</w:t>
      </w:r>
    </w:p>
    <w:bookmarkEnd w:id="55"/>
    <w:bookmarkStart w:id="56" w:name="sole-spokesperson"/>
    <w:p>
      <w:pPr>
        <w:pStyle w:val="Heading3"/>
        <w:rPr>
          <w:color w:val="E08A00"/>
        </w:rPr>
      </w:pPr>
      <w:r>
        <w:rPr>
          <w:b/>
          <w:color w:val="E08A00"/>
          <w:sz w:val="26"/>
        </w:rPr>
        <w:t xml:space="preserve">9.2 Sole Spokesperson</w:t>
      </w:r>
    </w:p>
    <w:p>
      <w:pPr>
        <w:pStyle w:val="FirstParagraph"/>
      </w:pPr>
      <w:r>
        <w:t xml:space="preserve">In the event of any crisis, the</w:t>
      </w:r>
      <w:r>
        <w:t xml:space="preserve"> </w:t>
      </w:r>
      <w:r>
        <w:rPr>
          <w:bCs/>
          <w:b/>
        </w:rPr>
        <w:t xml:space="preserve">CEO is the sole authorized spokesperson</w:t>
      </w:r>
      <w:r>
        <w:t xml:space="preserve"> </w:t>
      </w:r>
      <w:r>
        <w:t xml:space="preserve">for PECH Group Holdings Ltd. No other individual, regardless of their role or authority, is permitted to make any public statement, comment, or response relating to the crisis.</w:t>
      </w:r>
    </w:p>
    <w:bookmarkEnd w:id="56"/>
    <w:bookmarkStart w:id="57" w:name="X5ad8777102f41949504e077b0dc5e7217e9e9a7"/>
    <w:p>
      <w:pPr>
        <w:pStyle w:val="Heading3"/>
        <w:rPr>
          <w:color w:val="E08A00"/>
        </w:rPr>
      </w:pPr>
      <w:r>
        <w:rPr>
          <w:b/>
          <w:color w:val="E08A00"/>
          <w:sz w:val="26"/>
        </w:rPr>
        <w:t xml:space="preserve">9.3 Absolute Prohibition on Personal Comments</w:t>
      </w:r>
    </w:p>
    <w:p>
      <w:pPr>
        <w:pStyle w:val="FirstParagraph"/>
      </w:pPr>
      <w:r>
        <w:t xml:space="preserve">During a crisis:</w:t>
      </w:r>
    </w:p>
    <w:p>
      <w:pPr>
        <w:numPr>
          <w:ilvl w:val="0"/>
          <w:numId w:val="1018"/>
        </w:numPr>
        <w:pStyle w:val="Compact"/>
      </w:pPr>
      <w:r>
        <w:t xml:space="preserve">No person covered by this Policy shall make any personal comments, posts, statements, or communications — whether public or private — about the crisis or related matters;</w:t>
      </w:r>
    </w:p>
    <w:p>
      <w:pPr>
        <w:numPr>
          <w:ilvl w:val="0"/>
          <w:numId w:val="1018"/>
        </w:numPr>
        <w:pStyle w:val="Compact"/>
      </w:pPr>
      <w:r>
        <w:t xml:space="preserve">All social media activity relating to or that could be connected to the crisis is strictly prohibited;</w:t>
      </w:r>
    </w:p>
    <w:p>
      <w:pPr>
        <w:numPr>
          <w:ilvl w:val="0"/>
          <w:numId w:val="1018"/>
        </w:numPr>
        <w:pStyle w:val="Compact"/>
      </w:pPr>
      <w:r>
        <w:t xml:space="preserve">No communications with media, analysts, regulators, or any external party about the crisis are permitted except through the CEO; and</w:t>
      </w:r>
    </w:p>
    <w:p>
      <w:pPr>
        <w:numPr>
          <w:ilvl w:val="0"/>
          <w:numId w:val="1018"/>
        </w:numPr>
        <w:pStyle w:val="Compact"/>
      </w:pPr>
      <w:r>
        <w:t xml:space="preserve">Internal speculation, rumor-sharing, or discussion of the crisis on personal devices or platforms is prohibited.</w:t>
      </w:r>
    </w:p>
    <w:bookmarkEnd w:id="57"/>
    <w:bookmarkStart w:id="58" w:name="redirection-during-crisis"/>
    <w:p>
      <w:pPr>
        <w:pStyle w:val="Heading3"/>
        <w:rPr>
          <w:color w:val="E08A00"/>
        </w:rPr>
      </w:pPr>
      <w:r>
        <w:rPr>
          <w:b/>
          <w:color w:val="E08A00"/>
          <w:sz w:val="26"/>
        </w:rPr>
        <w:t xml:space="preserve">9.4 Redirection During Crisis</w:t>
      </w:r>
    </w:p>
    <w:p>
      <w:pPr>
        <w:pStyle w:val="FirstParagraph"/>
      </w:pPr>
      <w:r>
        <w:t xml:space="preserve">All inquiries received during a crisis period must be redirected using the following statement:</w:t>
      </w:r>
    </w:p>
    <w:p>
      <w:pPr>
        <w:pStyle w:val="BlockText"/>
        <w:pBdr>
          <w:left w:val="single" w:sz="24" w:space="6" w:color="F5A623"/>
        </w:pBdr>
        <w:shd w:fill="FFF8E1" w:val="clear"/>
      </w:pPr>
      <w:r>
        <w:rPr>
          <w:iCs/>
          <w:i/>
        </w:rPr>
        <w:t xml:space="preserve">“</w:t>
      </w:r>
      <w:r>
        <w:rPr>
          <w:iCs/>
          <w:i/>
        </w:rPr>
        <w:t xml:space="preserve">I am not authorized to comment on this matter. Please direct all inquiries to the CEO of PECH Group Holdings Ltd through the Company’s official contact channels.</w:t>
      </w:r>
      <w:r>
        <w:rPr>
          <w:iCs/>
          <w:i/>
        </w:rPr>
        <w:t xml:space="preserve">”</w:t>
      </w:r>
    </w:p>
    <w:p>
      <w:r>
        <w:pict>
          <v:rect style="width:0;height:1.5pt" o:hralign="center" o:hrstd="t" o:hr="t"/>
        </w:pict>
      </w:r>
    </w:p>
    <w:bookmarkEnd w:id="58"/>
    <w:bookmarkEnd w:id="59"/>
    <w:bookmarkStart w:id="62" w:name="whistleblower-protec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Whistleblower Protection</w:t>
      </w:r>
    </w:p>
    <w:bookmarkStart w:id="60" w:name="regulatory-reporting-preserved"/>
    <w:p>
      <w:pPr>
        <w:pStyle w:val="Heading3"/>
        <w:rPr>
          <w:color w:val="E08A00"/>
        </w:rPr>
      </w:pPr>
      <w:r>
        <w:rPr>
          <w:b/>
          <w:color w:val="E08A00"/>
          <w:sz w:val="26"/>
        </w:rPr>
        <w:t xml:space="preserve">10.1 Regulatory Reporting Preserved</w:t>
      </w:r>
    </w:p>
    <w:p>
      <w:pPr>
        <w:pStyle w:val="FirstParagraph"/>
      </w:pPr>
      <w:r>
        <w:t xml:space="preserve">Nothing in this Policy shall be construed as preventing, discouraging, or prohibiting any person from:</w:t>
      </w:r>
    </w:p>
    <w:p>
      <w:pPr>
        <w:numPr>
          <w:ilvl w:val="0"/>
          <w:numId w:val="1019"/>
        </w:numPr>
      </w:pPr>
      <w:r>
        <w:t xml:space="preserve">Reporting suspected violations of law, regulation, or policy to the relevant regulatory authorities in Nigeria, including but not limited to:</w:t>
      </w:r>
    </w:p>
    <w:p>
      <w:pPr>
        <w:numPr>
          <w:ilvl w:val="1"/>
          <w:numId w:val="1020"/>
        </w:numPr>
        <w:pStyle w:val="Compact"/>
      </w:pPr>
      <w:r>
        <w:t xml:space="preserve">The</w:t>
      </w:r>
      <w:r>
        <w:t xml:space="preserve"> </w:t>
      </w:r>
      <w:r>
        <w:rPr>
          <w:bCs/>
          <w:b/>
        </w:rPr>
        <w:t xml:space="preserve">Nigeria Data Protection Commission (NDPC)</w:t>
      </w:r>
      <w:r>
        <w:t xml:space="preserve">;</w:t>
      </w:r>
    </w:p>
    <w:p>
      <w:pPr>
        <w:numPr>
          <w:ilvl w:val="1"/>
          <w:numId w:val="1020"/>
        </w:numPr>
        <w:pStyle w:val="Compact"/>
      </w:pPr>
      <w:r>
        <w:t xml:space="preserve">The</w:t>
      </w:r>
      <w:r>
        <w:t xml:space="preserve"> </w:t>
      </w:r>
      <w:r>
        <w:rPr>
          <w:bCs/>
          <w:b/>
        </w:rPr>
        <w:t xml:space="preserve">Securities and Exchange Commission (SEC)</w:t>
      </w:r>
      <w:r>
        <w:t xml:space="preserve">;</w:t>
      </w:r>
    </w:p>
    <w:p>
      <w:pPr>
        <w:numPr>
          <w:ilvl w:val="1"/>
          <w:numId w:val="1020"/>
        </w:numPr>
        <w:pStyle w:val="Compact"/>
      </w:pPr>
      <w:r>
        <w:t xml:space="preserve">The</w:t>
      </w:r>
      <w:r>
        <w:t xml:space="preserve"> </w:t>
      </w:r>
      <w:r>
        <w:rPr>
          <w:bCs/>
          <w:b/>
        </w:rPr>
        <w:t xml:space="preserve">Central Bank of Nigeria (CBN)</w:t>
      </w:r>
      <w:r>
        <w:t xml:space="preserve">;</w:t>
      </w:r>
    </w:p>
    <w:p>
      <w:pPr>
        <w:numPr>
          <w:ilvl w:val="1"/>
          <w:numId w:val="1020"/>
        </w:numPr>
        <w:pStyle w:val="Compact"/>
      </w:pPr>
      <w:r>
        <w:t xml:space="preserve">The</w:t>
      </w:r>
      <w:r>
        <w:t xml:space="preserve"> </w:t>
      </w:r>
      <w:r>
        <w:rPr>
          <w:bCs/>
          <w:b/>
        </w:rPr>
        <w:t xml:space="preserve">Economic and Financial Crimes Commission (EFCC)</w:t>
      </w:r>
      <w:r>
        <w:t xml:space="preserve">;</w:t>
      </w:r>
    </w:p>
    <w:p>
      <w:pPr>
        <w:numPr>
          <w:ilvl w:val="1"/>
          <w:numId w:val="1020"/>
        </w:numPr>
        <w:pStyle w:val="Compact"/>
      </w:pPr>
      <w:r>
        <w:t xml:space="preserve">The</w:t>
      </w:r>
      <w:r>
        <w:t xml:space="preserve"> </w:t>
      </w:r>
      <w:r>
        <w:rPr>
          <w:bCs/>
          <w:b/>
        </w:rPr>
        <w:t xml:space="preserve">Independent Corrupt Practices and Other Related Offences Commission (ICPC)</w:t>
      </w:r>
      <w:r>
        <w:t xml:space="preserve">;</w:t>
      </w:r>
    </w:p>
    <w:p>
      <w:pPr>
        <w:numPr>
          <w:ilvl w:val="1"/>
          <w:numId w:val="1020"/>
        </w:numPr>
        <w:pStyle w:val="Compact"/>
      </w:pPr>
      <w:r>
        <w:t xml:space="preserve">The</w:t>
      </w:r>
      <w:r>
        <w:t xml:space="preserve"> </w:t>
      </w:r>
      <w:r>
        <w:rPr>
          <w:bCs/>
          <w:b/>
        </w:rPr>
        <w:t xml:space="preserve">Federal Competition and Consumer Protection Commission (FCCPC)</w:t>
      </w:r>
      <w:r>
        <w:t xml:space="preserve">;</w:t>
      </w:r>
    </w:p>
    <w:p>
      <w:pPr>
        <w:numPr>
          <w:ilvl w:val="1"/>
          <w:numId w:val="1020"/>
        </w:numPr>
        <w:pStyle w:val="Compact"/>
      </w:pPr>
      <w:r>
        <w:t xml:space="preserve">The</w:t>
      </w:r>
      <w:r>
        <w:t xml:space="preserve"> </w:t>
      </w:r>
      <w:r>
        <w:rPr>
          <w:bCs/>
          <w:b/>
        </w:rPr>
        <w:t xml:space="preserve">National Information Technology Development Agency (NITDA)</w:t>
      </w:r>
      <w:r>
        <w:t xml:space="preserve">; and</w:t>
      </w:r>
    </w:p>
    <w:p>
      <w:pPr>
        <w:numPr>
          <w:ilvl w:val="1"/>
          <w:numId w:val="1020"/>
        </w:numPr>
        <w:pStyle w:val="Compact"/>
      </w:pPr>
      <w:r>
        <w:t xml:space="preserve">Any other relevant regulatory, law enforcement, or governmental authority.</w:t>
      </w:r>
    </w:p>
    <w:p>
      <w:pPr>
        <w:numPr>
          <w:ilvl w:val="0"/>
          <w:numId w:val="1019"/>
        </w:numPr>
      </w:pPr>
      <w:r>
        <w:t xml:space="preserve">Participating in, cooperating with, or providing information to any governmental or regulatory investigation, inquiry, or proceeding;</w:t>
      </w:r>
    </w:p>
    <w:p>
      <w:pPr>
        <w:numPr>
          <w:ilvl w:val="0"/>
          <w:numId w:val="1019"/>
        </w:numPr>
      </w:pPr>
      <w:r>
        <w:t xml:space="preserve">Filing a charge or complaint with any governmental agency or authority;</w:t>
      </w:r>
    </w:p>
    <w:p>
      <w:pPr>
        <w:numPr>
          <w:ilvl w:val="0"/>
          <w:numId w:val="1019"/>
        </w:numPr>
      </w:pPr>
      <w:r>
        <w:t xml:space="preserve">Giving truthful testimony or evidence in legal, arbitral, or regulatory proceedings; or</w:t>
      </w:r>
    </w:p>
    <w:p>
      <w:pPr>
        <w:numPr>
          <w:ilvl w:val="0"/>
          <w:numId w:val="1019"/>
        </w:numPr>
      </w:pPr>
      <w:r>
        <w:t xml:space="preserve">Making disclosures that are protected under Nigerian law, including but not limited to the provisions of applicable whistleblower protection legislation.</w:t>
      </w:r>
    </w:p>
    <w:bookmarkEnd w:id="60"/>
    <w:bookmarkStart w:id="61" w:name="no-retaliation"/>
    <w:p>
      <w:pPr>
        <w:pStyle w:val="Heading3"/>
        <w:rPr>
          <w:color w:val="E08A00"/>
        </w:rPr>
      </w:pPr>
      <w:r>
        <w:rPr>
          <w:b/>
          <w:color w:val="E08A00"/>
          <w:sz w:val="26"/>
        </w:rPr>
        <w:t xml:space="preserve">10.2 No Retaliation</w:t>
      </w:r>
    </w:p>
    <w:p>
      <w:pPr>
        <w:pStyle w:val="FirstParagraph"/>
      </w:pPr>
      <w:r>
        <w:t xml:space="preserve">PECH Group Holdings Ltd shall not retaliate against, threaten, intimidate, or take adverse action against any individual who, in good faith, exercises their rights under this Section 10.</w:t>
      </w:r>
    </w:p>
    <w:p>
      <w:r>
        <w:pict>
          <v:rect style="width:0;height:1.5pt" o:hralign="center" o:hrstd="t" o:hr="t"/>
        </w:pict>
      </w:r>
    </w:p>
    <w:bookmarkEnd w:id="61"/>
    <w:bookmarkEnd w:id="62"/>
    <w:bookmarkStart w:id="70" w:name="breach-consequenc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Breach Consequences</w:t>
      </w:r>
    </w:p>
    <w:bookmarkStart w:id="66" w:name="disciplinary-framework"/>
    <w:p>
      <w:pPr>
        <w:pStyle w:val="Heading3"/>
        <w:rPr>
          <w:color w:val="E08A00"/>
        </w:rPr>
      </w:pPr>
      <w:r>
        <w:rPr>
          <w:b/>
          <w:color w:val="E08A00"/>
          <w:sz w:val="26"/>
        </w:rPr>
        <w:t xml:space="preserve">11.1 Disciplinary Framework</w:t>
      </w:r>
    </w:p>
    <w:p>
      <w:pPr>
        <w:pStyle w:val="FirstParagraph"/>
      </w:pPr>
      <w:r>
        <w:t xml:space="preserve">Breaches of this Policy shall be treated as serious matters and will be addressed through the following progressive disciplinary framework:</w:t>
      </w:r>
    </w:p>
    <w:bookmarkStart w:id="63" w:name="first-offense"/>
    <w:p>
      <w:pPr>
        <w:pStyle w:val="Heading4"/>
        <w:rPr>
          <w:color w:val="00BFFF"/>
        </w:rPr>
      </w:pPr>
      <w:r>
        <w:rPr>
          <w:b/>
          <w:color w:val="00BFFF"/>
          <w:sz w:val="22"/>
        </w:rPr>
        <w:t xml:space="preserve">First Offense</w:t>
      </w:r>
    </w:p>
    <w:p>
      <w:pPr>
        <w:numPr>
          <w:ilvl w:val="0"/>
          <w:numId w:val="1021"/>
        </w:numPr>
        <w:pStyle w:val="Compact"/>
      </w:pPr>
      <w:r>
        <w:rPr>
          <w:bCs/>
          <w:b/>
        </w:rPr>
        <w:t xml:space="preserve">Written warning</w:t>
      </w:r>
      <w:r>
        <w:t xml:space="preserve"> </w:t>
      </w:r>
      <w:r>
        <w:t xml:space="preserve">issued by the individual’s line manager in consultation with the CEO or Communications Officer;</w:t>
      </w:r>
    </w:p>
    <w:p>
      <w:pPr>
        <w:numPr>
          <w:ilvl w:val="0"/>
          <w:numId w:val="1021"/>
        </w:numPr>
        <w:pStyle w:val="Compact"/>
      </w:pPr>
      <w:r>
        <w:rPr>
          <w:bCs/>
          <w:b/>
        </w:rPr>
        <w:t xml:space="preserve">Mandatory retraining</w:t>
      </w:r>
      <w:r>
        <w:t xml:space="preserve"> </w:t>
      </w:r>
      <w:r>
        <w:t xml:space="preserve">on this Policy, to be completed within</w:t>
      </w:r>
      <w:r>
        <w:t xml:space="preserve"> </w:t>
      </w:r>
      <w:r>
        <w:rPr>
          <w:bCs/>
          <w:b/>
        </w:rPr>
        <w:t xml:space="preserve">seven (7) business days</w:t>
      </w:r>
      <w:r>
        <w:t xml:space="preserve"> </w:t>
      </w:r>
      <w:r>
        <w:t xml:space="preserve">of the warning; and</w:t>
      </w:r>
    </w:p>
    <w:p>
      <w:pPr>
        <w:numPr>
          <w:ilvl w:val="0"/>
          <w:numId w:val="1021"/>
        </w:numPr>
        <w:pStyle w:val="Compact"/>
      </w:pPr>
      <w:r>
        <w:t xml:space="preserve">A formal note placed on the individual’s personnel file.</w:t>
      </w:r>
    </w:p>
    <w:bookmarkEnd w:id="63"/>
    <w:bookmarkStart w:id="64" w:name="second-offense"/>
    <w:p>
      <w:pPr>
        <w:pStyle w:val="Heading4"/>
        <w:rPr>
          <w:color w:val="00BFFF"/>
        </w:rPr>
      </w:pPr>
      <w:r>
        <w:rPr>
          <w:b/>
          <w:color w:val="00BFFF"/>
          <w:sz w:val="22"/>
        </w:rPr>
        <w:t xml:space="preserve">Second Offense</w:t>
      </w:r>
    </w:p>
    <w:p>
      <w:pPr>
        <w:numPr>
          <w:ilvl w:val="0"/>
          <w:numId w:val="1022"/>
        </w:numPr>
        <w:pStyle w:val="Compact"/>
      </w:pPr>
      <w:r>
        <w:rPr>
          <w:bCs/>
          <w:b/>
        </w:rPr>
        <w:t xml:space="preserve">Final written warning</w:t>
      </w:r>
      <w:r>
        <w:t xml:space="preserve"> </w:t>
      </w:r>
      <w:r>
        <w:t xml:space="preserve">issued by the CEO;</w:t>
      </w:r>
    </w:p>
    <w:p>
      <w:pPr>
        <w:numPr>
          <w:ilvl w:val="0"/>
          <w:numId w:val="1022"/>
        </w:numPr>
        <w:pStyle w:val="Compact"/>
      </w:pPr>
      <w:r>
        <w:rPr>
          <w:bCs/>
          <w:b/>
        </w:rPr>
        <w:t xml:space="preserve">Suspension without pay</w:t>
      </w:r>
      <w:r>
        <w:t xml:space="preserve"> </w:t>
      </w:r>
      <w:r>
        <w:t xml:space="preserve">for a period determined by the CEO, up to a maximum of</w:t>
      </w:r>
      <w:r>
        <w:t xml:space="preserve"> </w:t>
      </w:r>
      <w:r>
        <w:rPr>
          <w:bCs/>
          <w:b/>
        </w:rPr>
        <w:t xml:space="preserve">thirty (30) calendar days</w:t>
      </w:r>
      <w:r>
        <w:t xml:space="preserve">; and</w:t>
      </w:r>
    </w:p>
    <w:p>
      <w:pPr>
        <w:numPr>
          <w:ilvl w:val="0"/>
          <w:numId w:val="1022"/>
        </w:numPr>
        <w:pStyle w:val="Compact"/>
      </w:pPr>
      <w:r>
        <w:t xml:space="preserve">A formal review of the individual’s continued engagement with the Company.</w:t>
      </w:r>
    </w:p>
    <w:bookmarkEnd w:id="64"/>
    <w:bookmarkStart w:id="65" w:name="third-offense-or-serious-breach"/>
    <w:p>
      <w:pPr>
        <w:pStyle w:val="Heading4"/>
        <w:rPr>
          <w:color w:val="00BFFF"/>
        </w:rPr>
      </w:pPr>
      <w:r>
        <w:rPr>
          <w:b/>
          <w:color w:val="00BFFF"/>
          <w:sz w:val="22"/>
        </w:rPr>
        <w:t xml:space="preserve">Third Offense or Serious Breach</w:t>
      </w:r>
    </w:p>
    <w:p>
      <w:pPr>
        <w:numPr>
          <w:ilvl w:val="0"/>
          <w:numId w:val="1023"/>
        </w:numPr>
        <w:pStyle w:val="Compact"/>
      </w:pPr>
      <w:r>
        <w:rPr>
          <w:bCs/>
          <w:b/>
        </w:rPr>
        <w:t xml:space="preserve">Summary dismissal for gross misconduct</w:t>
      </w:r>
      <w:r>
        <w:t xml:space="preserve">, effective immediately, without notice or payment in lieu of notice; and</w:t>
      </w:r>
    </w:p>
    <w:p>
      <w:pPr>
        <w:numPr>
          <w:ilvl w:val="0"/>
          <w:numId w:val="1023"/>
        </w:numPr>
        <w:pStyle w:val="Compact"/>
      </w:pPr>
      <w:r>
        <w:t xml:space="preserve">Forfeiture of any outstanding benefits, bonuses, or entitlements to the extent permitted by law.</w:t>
      </w:r>
    </w:p>
    <w:bookmarkEnd w:id="65"/>
    <w:bookmarkEnd w:id="66"/>
    <w:bookmarkStart w:id="67" w:name="serious-breach"/>
    <w:p>
      <w:pPr>
        <w:pStyle w:val="Heading3"/>
        <w:rPr>
          <w:color w:val="E08A00"/>
        </w:rPr>
      </w:pPr>
      <w:r>
        <w:rPr>
          <w:b/>
          <w:color w:val="E08A00"/>
          <w:sz w:val="26"/>
        </w:rPr>
        <w:t xml:space="preserve">11.2 Serious Breach</w:t>
      </w:r>
    </w:p>
    <w:p>
      <w:pPr>
        <w:pStyle w:val="FirstParagraph"/>
      </w:pPr>
      <w:r>
        <w:t xml:space="preserve">A single incident may constitute a serious breach warranting immediate progression to third offense consequences, including but not limited to cases where:</w:t>
      </w:r>
    </w:p>
    <w:p>
      <w:pPr>
        <w:numPr>
          <w:ilvl w:val="0"/>
          <w:numId w:val="1024"/>
        </w:numPr>
        <w:pStyle w:val="Compact"/>
      </w:pPr>
      <w:r>
        <w:t xml:space="preserve">The disclosure results in material harm to the Company, its clients, or its stakeholders;</w:t>
      </w:r>
    </w:p>
    <w:p>
      <w:pPr>
        <w:numPr>
          <w:ilvl w:val="0"/>
          <w:numId w:val="1024"/>
        </w:numPr>
        <w:pStyle w:val="Compact"/>
      </w:pPr>
      <w:r>
        <w:t xml:space="preserve">The disclosure involves intentional malice or bad faith;</w:t>
      </w:r>
    </w:p>
    <w:p>
      <w:pPr>
        <w:numPr>
          <w:ilvl w:val="0"/>
          <w:numId w:val="1024"/>
        </w:numPr>
        <w:pStyle w:val="Compact"/>
      </w:pPr>
      <w:r>
        <w:t xml:space="preserve">The disclosure relates to highly sensitive confidential information;</w:t>
      </w:r>
    </w:p>
    <w:p>
      <w:pPr>
        <w:numPr>
          <w:ilvl w:val="0"/>
          <w:numId w:val="1024"/>
        </w:numPr>
        <w:pStyle w:val="Compact"/>
      </w:pPr>
      <w:r>
        <w:t xml:space="preserve">The disclosure results in legal liability for the Company; or</w:t>
      </w:r>
    </w:p>
    <w:p>
      <w:pPr>
        <w:numPr>
          <w:ilvl w:val="0"/>
          <w:numId w:val="1024"/>
        </w:numPr>
        <w:pStyle w:val="Compact"/>
      </w:pPr>
      <w:r>
        <w:t xml:space="preserve">The disclosure occurs during a crisis period.</w:t>
      </w:r>
    </w:p>
    <w:bookmarkEnd w:id="67"/>
    <w:bookmarkStart w:id="68" w:name="legal-action"/>
    <w:p>
      <w:pPr>
        <w:pStyle w:val="Heading3"/>
        <w:rPr>
          <w:color w:val="E08A00"/>
        </w:rPr>
      </w:pPr>
      <w:r>
        <w:rPr>
          <w:b/>
          <w:color w:val="E08A00"/>
          <w:sz w:val="26"/>
        </w:rPr>
        <w:t xml:space="preserve">11.3 Legal Action</w:t>
      </w:r>
    </w:p>
    <w:p>
      <w:pPr>
        <w:pStyle w:val="FirstParagraph"/>
      </w:pPr>
      <w:r>
        <w:t xml:space="preserve">PECH Group Holdings Ltd reserves the right to pursue</w:t>
      </w:r>
      <w:r>
        <w:t xml:space="preserve"> </w:t>
      </w:r>
      <w:r>
        <w:rPr>
          <w:bCs/>
          <w:b/>
        </w:rPr>
        <w:t xml:space="preserve">legal action for damages</w:t>
      </w:r>
      <w:r>
        <w:t xml:space="preserve"> </w:t>
      </w:r>
      <w:r>
        <w:t xml:space="preserve">against any individual who breaches this Policy, regardless of:</w:t>
      </w:r>
    </w:p>
    <w:p>
      <w:pPr>
        <w:numPr>
          <w:ilvl w:val="0"/>
          <w:numId w:val="1025"/>
        </w:numPr>
        <w:pStyle w:val="Compact"/>
      </w:pPr>
      <w:r>
        <w:t xml:space="preserve">Whether the individual is currently employed by or engaged with the Company;</w:t>
      </w:r>
    </w:p>
    <w:p>
      <w:pPr>
        <w:numPr>
          <w:ilvl w:val="0"/>
          <w:numId w:val="1025"/>
        </w:numPr>
        <w:pStyle w:val="Compact"/>
      </w:pPr>
      <w:r>
        <w:t xml:space="preserve">Whether disciplinary action has already been taken;</w:t>
      </w:r>
    </w:p>
    <w:p>
      <w:pPr>
        <w:numPr>
          <w:ilvl w:val="0"/>
          <w:numId w:val="1025"/>
        </w:numPr>
        <w:pStyle w:val="Compact"/>
      </w:pPr>
      <w:r>
        <w:t xml:space="preserve">The individual’s role, seniority, or length of engagement; and</w:t>
      </w:r>
    </w:p>
    <w:p>
      <w:pPr>
        <w:numPr>
          <w:ilvl w:val="0"/>
          <w:numId w:val="1025"/>
        </w:numPr>
        <w:pStyle w:val="Compact"/>
      </w:pPr>
      <w:r>
        <w:t xml:space="preserve">Whether the breach was intentional or negligent.</w:t>
      </w:r>
    </w:p>
    <w:p>
      <w:pPr>
        <w:pStyle w:val="FirstParagraph"/>
      </w:pPr>
      <w:r>
        <w:t xml:space="preserve">Such legal action may include claims for damages, injunctive relief, and any other remedy available under Nigerian law or the law of any other applicable jurisdiction.</w:t>
      </w:r>
    </w:p>
    <w:bookmarkEnd w:id="68"/>
    <w:bookmarkStart w:id="69" w:name="contractors-interns-and-consultants"/>
    <w:p>
      <w:pPr>
        <w:pStyle w:val="Heading3"/>
        <w:rPr>
          <w:color w:val="E08A00"/>
        </w:rPr>
      </w:pPr>
      <w:r>
        <w:rPr>
          <w:b/>
          <w:color w:val="E08A00"/>
          <w:sz w:val="26"/>
        </w:rPr>
        <w:t xml:space="preserve">11.4 Contractors, Interns, and Consultants</w:t>
      </w:r>
    </w:p>
    <w:p>
      <w:pPr>
        <w:pStyle w:val="FirstParagraph"/>
      </w:pPr>
      <w:r>
        <w:t xml:space="preserve">For individuals engaged under contractor, intern, or consultant agreements, breaches of this Policy may result in:</w:t>
      </w:r>
    </w:p>
    <w:p>
      <w:pPr>
        <w:numPr>
          <w:ilvl w:val="0"/>
          <w:numId w:val="1026"/>
        </w:numPr>
        <w:pStyle w:val="Compact"/>
      </w:pPr>
      <w:r>
        <w:t xml:space="preserve">Immediate termination of the engagement agreement;</w:t>
      </w:r>
    </w:p>
    <w:p>
      <w:pPr>
        <w:numPr>
          <w:ilvl w:val="0"/>
          <w:numId w:val="1026"/>
        </w:numPr>
        <w:pStyle w:val="Compact"/>
      </w:pPr>
      <w:r>
        <w:t xml:space="preserve">Withholding of any outstanding payments;</w:t>
      </w:r>
    </w:p>
    <w:p>
      <w:pPr>
        <w:numPr>
          <w:ilvl w:val="0"/>
          <w:numId w:val="1026"/>
        </w:numPr>
        <w:pStyle w:val="Compact"/>
      </w:pPr>
      <w:r>
        <w:t xml:space="preserve">Legal action for damages; and</w:t>
      </w:r>
    </w:p>
    <w:p>
      <w:pPr>
        <w:numPr>
          <w:ilvl w:val="0"/>
          <w:numId w:val="1026"/>
        </w:numPr>
        <w:pStyle w:val="Compact"/>
      </w:pPr>
      <w:r>
        <w:t xml:space="preserve">Notification to relevant professional bodies or industry associations, where appropriate.</w:t>
      </w:r>
    </w:p>
    <w:p>
      <w:r>
        <w:pict>
          <v:rect style="width:0;height:1.5pt" o:hralign="center" o:hrstd="t" o:hr="t"/>
        </w:pict>
      </w:r>
    </w:p>
    <w:bookmarkEnd w:id="69"/>
    <w:bookmarkEnd w:id="70"/>
    <w:bookmarkStart w:id="76" w:name="post-employment-oblig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Post-Employment Obligations</w:t>
      </w:r>
    </w:p>
    <w:bookmarkStart w:id="71" w:name="perpetual-restrictions"/>
    <w:p>
      <w:pPr>
        <w:pStyle w:val="Heading3"/>
        <w:rPr>
          <w:color w:val="E08A00"/>
        </w:rPr>
      </w:pPr>
      <w:r>
        <w:rPr>
          <w:b/>
          <w:color w:val="E08A00"/>
          <w:sz w:val="26"/>
        </w:rPr>
        <w:t xml:space="preserve">12.1 Perpetual Restrictions</w:t>
      </w:r>
    </w:p>
    <w:p>
      <w:pPr>
        <w:pStyle w:val="FirstParagraph"/>
      </w:pPr>
      <w:r>
        <w:t xml:space="preserve">The obligations and restrictions set forth in this Policy shall continue</w:t>
      </w:r>
      <w:r>
        <w:t xml:space="preserve"> </w:t>
      </w:r>
      <w:r>
        <w:rPr>
          <w:bCs/>
          <w:b/>
        </w:rPr>
        <w:t xml:space="preserve">in perpetuity</w:t>
      </w:r>
      <w:r>
        <w:t xml:space="preserve"> </w:t>
      </w:r>
      <w:r>
        <w:t xml:space="preserve">following the termination, expiration, or cessation of any individual’s relationship with PECH Group Holdings Ltd, regardless of the reason for departure.</w:t>
      </w:r>
    </w:p>
    <w:bookmarkEnd w:id="71"/>
    <w:bookmarkStart w:id="72" w:name="confidential-information-never-expires"/>
    <w:p>
      <w:pPr>
        <w:pStyle w:val="Heading3"/>
        <w:rPr>
          <w:color w:val="E08A00"/>
        </w:rPr>
      </w:pPr>
      <w:r>
        <w:rPr>
          <w:b/>
          <w:color w:val="E08A00"/>
          <w:sz w:val="26"/>
        </w:rPr>
        <w:t xml:space="preserve">12.2 Confidential Information Never Expires</w:t>
      </w:r>
    </w:p>
    <w:p>
      <w:pPr>
        <w:pStyle w:val="FirstParagraph"/>
      </w:pPr>
      <w:r>
        <w:t xml:space="preserve">Confidential information obtained during an individual’s engagement with PECH Group Holdings Ltd remains confidential</w:t>
      </w:r>
      <w:r>
        <w:t xml:space="preserve"> </w:t>
      </w:r>
      <w:r>
        <w:rPr>
          <w:bCs/>
          <w:b/>
        </w:rPr>
        <w:t xml:space="preserve">indefinitely</w:t>
      </w:r>
      <w:r>
        <w:t xml:space="preserve">. There is no time limit, expiration date, or sunset clause on the obligation to protect such information.</w:t>
      </w:r>
    </w:p>
    <w:bookmarkEnd w:id="72"/>
    <w:bookmarkStart w:id="73" w:name="post-employment-prohibitions"/>
    <w:p>
      <w:pPr>
        <w:pStyle w:val="Heading3"/>
        <w:rPr>
          <w:color w:val="E08A00"/>
        </w:rPr>
      </w:pPr>
      <w:r>
        <w:rPr>
          <w:b/>
          <w:color w:val="E08A00"/>
          <w:sz w:val="26"/>
        </w:rPr>
        <w:t xml:space="preserve">12.3 Post-Employment Prohibitions</w:t>
      </w:r>
    </w:p>
    <w:p>
      <w:pPr>
        <w:pStyle w:val="FirstParagraph"/>
      </w:pPr>
      <w:r>
        <w:t xml:space="preserve">After leaving PECH Group Holdings Ltd, former employees, contractors, interns, consultants, board members, advisors, and any other former associates are permanently prohibited from:</w:t>
      </w:r>
    </w:p>
    <w:p>
      <w:pPr>
        <w:numPr>
          <w:ilvl w:val="0"/>
          <w:numId w:val="1027"/>
        </w:numPr>
        <w:pStyle w:val="Compact"/>
      </w:pPr>
      <w:r>
        <w:t xml:space="preserve">Publicly discussing, disclosing, or commenting on internal Company matters;</w:t>
      </w:r>
    </w:p>
    <w:p>
      <w:pPr>
        <w:numPr>
          <w:ilvl w:val="0"/>
          <w:numId w:val="1027"/>
        </w:numPr>
        <w:pStyle w:val="Compact"/>
      </w:pPr>
      <w:r>
        <w:t xml:space="preserve">Revealing business strategies, technology, methodologies, or proprietary processes;</w:t>
      </w:r>
    </w:p>
    <w:p>
      <w:pPr>
        <w:numPr>
          <w:ilvl w:val="0"/>
          <w:numId w:val="1027"/>
        </w:numPr>
        <w:pStyle w:val="Compact"/>
      </w:pPr>
      <w:r>
        <w:t xml:space="preserve">Identifying or discussing clients, customers, or business relationships;</w:t>
      </w:r>
    </w:p>
    <w:p>
      <w:pPr>
        <w:numPr>
          <w:ilvl w:val="0"/>
          <w:numId w:val="1027"/>
        </w:numPr>
        <w:pStyle w:val="Compact"/>
      </w:pPr>
      <w:r>
        <w:t xml:space="preserve">Sharing confidential information in any form, including in interviews, memoirs, social media posts, blog posts, conference talks, academic papers, or any other medium;</w:t>
      </w:r>
    </w:p>
    <w:p>
      <w:pPr>
        <w:numPr>
          <w:ilvl w:val="0"/>
          <w:numId w:val="1027"/>
        </w:numPr>
        <w:pStyle w:val="Compact"/>
      </w:pPr>
      <w:r>
        <w:t xml:space="preserve">Using confidential information for personal gain or for the benefit of any third party; and</w:t>
      </w:r>
    </w:p>
    <w:p>
      <w:pPr>
        <w:numPr>
          <w:ilvl w:val="0"/>
          <w:numId w:val="1027"/>
        </w:numPr>
        <w:pStyle w:val="Compact"/>
      </w:pPr>
      <w:r>
        <w:t xml:space="preserve">Making statements that could be perceived as representing the views or positions of PECH Group Holdings Ltd.</w:t>
      </w:r>
    </w:p>
    <w:bookmarkEnd w:id="73"/>
    <w:bookmarkStart w:id="74" w:name="permitted-post-employment-statements"/>
    <w:p>
      <w:pPr>
        <w:pStyle w:val="Heading3"/>
        <w:rPr>
          <w:color w:val="E08A00"/>
        </w:rPr>
      </w:pPr>
      <w:r>
        <w:rPr>
          <w:b/>
          <w:color w:val="E08A00"/>
          <w:sz w:val="26"/>
        </w:rPr>
        <w:t xml:space="preserve">12.4 Permitted Post-Employment Statements</w:t>
      </w:r>
    </w:p>
    <w:p>
      <w:pPr>
        <w:pStyle w:val="FirstParagraph"/>
      </w:pPr>
      <w:r>
        <w:t xml:space="preserve">Former associates are permitted to state:</w:t>
      </w:r>
    </w:p>
    <w:p>
      <w:pPr>
        <w:numPr>
          <w:ilvl w:val="0"/>
          <w:numId w:val="1028"/>
        </w:numPr>
        <w:pStyle w:val="Compact"/>
      </w:pPr>
      <w:r>
        <w:t xml:space="preserve">That they were previously employed by or engaged with PECH Group Holdings Ltd;</w:t>
      </w:r>
    </w:p>
    <w:p>
      <w:pPr>
        <w:numPr>
          <w:ilvl w:val="0"/>
          <w:numId w:val="1028"/>
        </w:numPr>
        <w:pStyle w:val="Compact"/>
      </w:pPr>
      <w:r>
        <w:t xml:space="preserve">Their job title and general role description; and</w:t>
      </w:r>
    </w:p>
    <w:p>
      <w:pPr>
        <w:numPr>
          <w:ilvl w:val="0"/>
          <w:numId w:val="1028"/>
        </w:numPr>
        <w:pStyle w:val="Compact"/>
      </w:pPr>
      <w:r>
        <w:t xml:space="preserve">The dates of their engagement.</w:t>
      </w:r>
    </w:p>
    <w:p>
      <w:pPr>
        <w:pStyle w:val="FirstParagraph"/>
      </w:pPr>
      <w:r>
        <w:t xml:space="preserve">No further details may be shared without the Company’s prior written consent.</w:t>
      </w:r>
    </w:p>
    <w:bookmarkEnd w:id="74"/>
    <w:bookmarkStart w:id="75" w:name="enforcement"/>
    <w:p>
      <w:pPr>
        <w:pStyle w:val="Heading3"/>
        <w:rPr>
          <w:color w:val="E08A00"/>
        </w:rPr>
      </w:pPr>
      <w:r>
        <w:rPr>
          <w:b/>
          <w:color w:val="E08A00"/>
          <w:sz w:val="26"/>
        </w:rPr>
        <w:t xml:space="preserve">12.5 Enforcement</w:t>
      </w:r>
    </w:p>
    <w:p>
      <w:pPr>
        <w:pStyle w:val="FirstParagraph"/>
      </w:pPr>
      <w:r>
        <w:t xml:space="preserve">PECH Group Holdings Ltd shall actively enforce the post-employment obligations set forth in this Section and will pursue all available legal remedies against any individual who breaches these obligations.</w:t>
      </w:r>
    </w:p>
    <w:p>
      <w:r>
        <w:pict>
          <v:rect style="width:0;height:1.5pt" o:hralign="center" o:hrstd="t" o:hr="t"/>
        </w:pict>
      </w:r>
    </w:p>
    <w:bookmarkEnd w:id="75"/>
    <w:bookmarkEnd w:id="76"/>
    <w:bookmarkStart w:id="80" w:name="policy-review"/>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Policy Review</w:t>
      </w:r>
    </w:p>
    <w:bookmarkStart w:id="77" w:name="annual-review"/>
    <w:p>
      <w:pPr>
        <w:pStyle w:val="Heading3"/>
        <w:rPr>
          <w:color w:val="E08A00"/>
        </w:rPr>
      </w:pPr>
      <w:r>
        <w:rPr>
          <w:b/>
          <w:color w:val="E08A00"/>
          <w:sz w:val="26"/>
        </w:rPr>
        <w:t xml:space="preserve">13.1 Annual Review</w:t>
      </w:r>
    </w:p>
    <w:p>
      <w:pPr>
        <w:pStyle w:val="FirstParagraph"/>
      </w:pPr>
      <w:r>
        <w:t xml:space="preserve">This Policy shall be reviewed at least</w:t>
      </w:r>
      <w:r>
        <w:t xml:space="preserve"> </w:t>
      </w:r>
      <w:r>
        <w:rPr>
          <w:bCs/>
          <w:b/>
        </w:rPr>
        <w:t xml:space="preserve">once per calendar year</w:t>
      </w:r>
      <w:r>
        <w:t xml:space="preserve"> </w:t>
      </w:r>
      <w:r>
        <w:t xml:space="preserve">by the CEO and/or the Communications Officer to ensure it remains current, comprehensive, and aligned with:</w:t>
      </w:r>
    </w:p>
    <w:p>
      <w:pPr>
        <w:numPr>
          <w:ilvl w:val="0"/>
          <w:numId w:val="1029"/>
        </w:numPr>
        <w:pStyle w:val="Compact"/>
      </w:pPr>
      <w:r>
        <w:t xml:space="preserve">Changes in Nigerian law and regulation;</w:t>
      </w:r>
    </w:p>
    <w:p>
      <w:pPr>
        <w:numPr>
          <w:ilvl w:val="0"/>
          <w:numId w:val="1029"/>
        </w:numPr>
        <w:pStyle w:val="Compact"/>
      </w:pPr>
      <w:r>
        <w:t xml:space="preserve">Developments in the media and communications landscape;</w:t>
      </w:r>
    </w:p>
    <w:p>
      <w:pPr>
        <w:numPr>
          <w:ilvl w:val="0"/>
          <w:numId w:val="1029"/>
        </w:numPr>
        <w:pStyle w:val="Compact"/>
      </w:pPr>
      <w:r>
        <w:t xml:space="preserve">Evolving best practices in corporate communications;</w:t>
      </w:r>
    </w:p>
    <w:p>
      <w:pPr>
        <w:numPr>
          <w:ilvl w:val="0"/>
          <w:numId w:val="1029"/>
        </w:numPr>
        <w:pStyle w:val="Compact"/>
      </w:pPr>
      <w:r>
        <w:t xml:space="preserve">Lessons learned from any incidents or breaches; and</w:t>
      </w:r>
    </w:p>
    <w:p>
      <w:pPr>
        <w:numPr>
          <w:ilvl w:val="0"/>
          <w:numId w:val="1029"/>
        </w:numPr>
        <w:pStyle w:val="Compact"/>
      </w:pPr>
      <w:r>
        <w:t xml:space="preserve">Changes in the Company’s business, operations, or strategy.</w:t>
      </w:r>
    </w:p>
    <w:bookmarkEnd w:id="77"/>
    <w:bookmarkStart w:id="78" w:name="ad-hoc-updates"/>
    <w:p>
      <w:pPr>
        <w:pStyle w:val="Heading3"/>
        <w:rPr>
          <w:color w:val="E08A00"/>
        </w:rPr>
      </w:pPr>
      <w:r>
        <w:rPr>
          <w:b/>
          <w:color w:val="E08A00"/>
          <w:sz w:val="26"/>
        </w:rPr>
        <w:t xml:space="preserve">13.2 Ad Hoc Updates</w:t>
      </w:r>
    </w:p>
    <w:p>
      <w:pPr>
        <w:pStyle w:val="FirstParagraph"/>
      </w:pPr>
      <w:r>
        <w:t xml:space="preserve">In addition to the annual review, this Policy may be updated at any time at the discretion of the CEO in response to specific events, emerging risks, or operational requirements.</w:t>
      </w:r>
    </w:p>
    <w:bookmarkEnd w:id="78"/>
    <w:bookmarkStart w:id="79" w:name="communication-of-updates"/>
    <w:p>
      <w:pPr>
        <w:pStyle w:val="Heading3"/>
        <w:rPr>
          <w:color w:val="E08A00"/>
        </w:rPr>
      </w:pPr>
      <w:r>
        <w:rPr>
          <w:b/>
          <w:color w:val="E08A00"/>
          <w:sz w:val="26"/>
        </w:rPr>
        <w:t xml:space="preserve">13.3 Communication of Updates</w:t>
      </w:r>
    </w:p>
    <w:p>
      <w:pPr>
        <w:pStyle w:val="FirstParagraph"/>
      </w:pPr>
      <w:r>
        <w:t xml:space="preserve">All updates to this Policy shall be communicated to all persons covered by this Policy within</w:t>
      </w:r>
      <w:r>
        <w:t xml:space="preserve"> </w:t>
      </w:r>
      <w:r>
        <w:rPr>
          <w:bCs/>
          <w:b/>
        </w:rPr>
        <w:t xml:space="preserve">five (5) business days</w:t>
      </w:r>
      <w:r>
        <w:t xml:space="preserve"> </w:t>
      </w:r>
      <w:r>
        <w:t xml:space="preserve">of approval. Continued engagement with the Company following notification of an update constitutes acceptance of the updated terms.</w:t>
      </w:r>
    </w:p>
    <w:p>
      <w:r>
        <w:pict>
          <v:rect style="width:0;height:1.5pt" o:hralign="center" o:hrstd="t" o:hr="t"/>
        </w:pict>
      </w:r>
    </w:p>
    <w:bookmarkEnd w:id="79"/>
    <w:bookmarkEnd w:id="80"/>
    <w:bookmarkStart w:id="81" w:name="acknowledgment-and-agree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Acknowledgment and Agreement</w:t>
      </w:r>
    </w:p>
    <w:p>
      <w:pPr>
        <w:pStyle w:val="FirstParagraph"/>
      </w:pPr>
      <w:r>
        <w:t xml:space="preserve">By signing below, I confirm and acknowledge the following:</w:t>
      </w:r>
    </w:p>
    <w:p>
      <w:pPr>
        <w:numPr>
          <w:ilvl w:val="0"/>
          <w:numId w:val="1030"/>
        </w:numPr>
      </w:pPr>
      <w:r>
        <w:t xml:space="preserve">I have</w:t>
      </w:r>
      <w:r>
        <w:t xml:space="preserve"> </w:t>
      </w:r>
      <w:r>
        <w:rPr>
          <w:bCs/>
          <w:b/>
        </w:rPr>
        <w:t xml:space="preserve">received, read, and understood</w:t>
      </w:r>
      <w:r>
        <w:t xml:space="preserve"> </w:t>
      </w:r>
      <w:r>
        <w:t xml:space="preserve">the PECH Group Holdings Ltd Media and Public Communications Policy (Version 1.0);</w:t>
      </w:r>
    </w:p>
    <w:p>
      <w:pPr>
        <w:numPr>
          <w:ilvl w:val="0"/>
          <w:numId w:val="1030"/>
        </w:numPr>
      </w:pPr>
      <w:r>
        <w:t xml:space="preserve">I understand that this Policy applies to me in my capacity as an employee, contractor, intern, consultant, board member, advisor, or associate of the Company;</w:t>
      </w:r>
    </w:p>
    <w:p>
      <w:pPr>
        <w:numPr>
          <w:ilvl w:val="0"/>
          <w:numId w:val="1030"/>
        </w:numPr>
      </w:pPr>
      <w:r>
        <w:t xml:space="preserve">I agree to</w:t>
      </w:r>
      <w:r>
        <w:t xml:space="preserve"> </w:t>
      </w:r>
      <w:r>
        <w:rPr>
          <w:bCs/>
          <w:b/>
        </w:rPr>
        <w:t xml:space="preserve">comply fully</w:t>
      </w:r>
      <w:r>
        <w:t xml:space="preserve"> </w:t>
      </w:r>
      <w:r>
        <w:t xml:space="preserve">with all provisions of this Policy;</w:t>
      </w:r>
    </w:p>
    <w:p>
      <w:pPr>
        <w:numPr>
          <w:ilvl w:val="0"/>
          <w:numId w:val="1030"/>
        </w:numPr>
      </w:pPr>
      <w:r>
        <w:t xml:space="preserve">I understand that</w:t>
      </w:r>
      <w:r>
        <w:t xml:space="preserve"> </w:t>
      </w:r>
      <w:r>
        <w:rPr>
          <w:bCs/>
          <w:b/>
        </w:rPr>
        <w:t xml:space="preserve">breaches of this Policy may result in disciplinary action</w:t>
      </w:r>
      <w:r>
        <w:t xml:space="preserve">, up to and including summary dismissal, termination of engagement, and legal proceedings;</w:t>
      </w:r>
    </w:p>
    <w:p>
      <w:pPr>
        <w:numPr>
          <w:ilvl w:val="0"/>
          <w:numId w:val="1030"/>
        </w:numPr>
      </w:pPr>
      <w:r>
        <w:t xml:space="preserve">I understand that the obligations in this Policy, particularly regarding confidentiality and post-employment restrictions,</w:t>
      </w:r>
      <w:r>
        <w:t xml:space="preserve"> </w:t>
      </w:r>
      <w:r>
        <w:rPr>
          <w:bCs/>
          <w:b/>
        </w:rPr>
        <w:t xml:space="preserve">survive the termination</w:t>
      </w:r>
      <w:r>
        <w:t xml:space="preserve"> </w:t>
      </w:r>
      <w:r>
        <w:t xml:space="preserve">of my relationship with the Company and continue</w:t>
      </w:r>
      <w:r>
        <w:t xml:space="preserve"> </w:t>
      </w:r>
      <w:r>
        <w:rPr>
          <w:bCs/>
          <w:b/>
        </w:rPr>
        <w:t xml:space="preserve">in perpetuity</w:t>
      </w:r>
      <w:r>
        <w:t xml:space="preserve">;</w:t>
      </w:r>
    </w:p>
    <w:p>
      <w:pPr>
        <w:numPr>
          <w:ilvl w:val="0"/>
          <w:numId w:val="1030"/>
        </w:numPr>
      </w:pPr>
      <w:r>
        <w:t xml:space="preserve">I understand that I must obtain</w:t>
      </w:r>
      <w:r>
        <w:t xml:space="preserve"> </w:t>
      </w:r>
      <w:r>
        <w:rPr>
          <w:bCs/>
          <w:b/>
        </w:rPr>
        <w:t xml:space="preserve">prior written approval</w:t>
      </w:r>
      <w:r>
        <w:t xml:space="preserve"> </w:t>
      </w:r>
      <w:r>
        <w:t xml:space="preserve">from the CEO or Communications Officer before making any external communication about the Company;</w:t>
      </w:r>
    </w:p>
    <w:p>
      <w:pPr>
        <w:numPr>
          <w:ilvl w:val="0"/>
          <w:numId w:val="1030"/>
        </w:numPr>
      </w:pPr>
      <w:r>
        <w:t xml:space="preserve">I understand that I must</w:t>
      </w:r>
      <w:r>
        <w:t xml:space="preserve"> </w:t>
      </w:r>
      <w:r>
        <w:rPr>
          <w:bCs/>
          <w:b/>
        </w:rPr>
        <w:t xml:space="preserve">immediately redirect</w:t>
      </w:r>
      <w:r>
        <w:t xml:space="preserve"> </w:t>
      </w:r>
      <w:r>
        <w:t xml:space="preserve">all media inquiries to the Communications Officer; and</w:t>
      </w:r>
    </w:p>
    <w:p>
      <w:pPr>
        <w:numPr>
          <w:ilvl w:val="0"/>
          <w:numId w:val="1030"/>
        </w:numPr>
      </w:pPr>
      <w:r>
        <w:t xml:space="preserve">I agree that any questions or uncertainties regarding this Policy will be directed to the Communications Officer or CEO for clarification.</w:t>
      </w:r>
    </w:p>
    <w:p>
      <w:r>
        <w:pict>
          <v:rect style="width:0;height:1.5pt" o:hralign="center" o:hrstd="t" o:hr="t"/>
        </w:pict>
      </w:r>
    </w:p>
    <w:p>
      <w:pPr>
        <w:pStyle w:val="FirstParagraph"/>
      </w:pPr>
      <w:r>
        <w:rPr>
          <w:bCs/>
          <w:b/>
        </w:rPr>
        <w:t xml:space="preserve">Full Name (Print):</w:t>
      </w:r>
      <w:r>
        <w:t xml:space="preserve"> </w:t>
      </w:r>
      <w:r>
        <w:t xml:space="preserve">_______________________________________________________</w:t>
      </w:r>
    </w:p>
    <w:p>
      <w:pPr>
        <w:pStyle w:val="BodyText"/>
      </w:pPr>
      <w:r>
        <w:rPr>
          <w:bCs/>
          <w:b/>
        </w:rPr>
        <w:t xml:space="preserve">Signature:</w:t>
      </w:r>
      <w:r>
        <w:t xml:space="preserve"> </w:t>
      </w:r>
      <w:r>
        <w:t xml:space="preserve">_______________________________________________________</w:t>
      </w:r>
    </w:p>
    <w:p>
      <w:pPr>
        <w:pStyle w:val="BodyText"/>
      </w:pPr>
      <w:r>
        <w:rPr>
          <w:bCs/>
          <w:b/>
        </w:rPr>
        <w:t xml:space="preserve">Role/Title:</w:t>
      </w:r>
      <w:r>
        <w:t xml:space="preserve"> </w:t>
      </w:r>
      <w:r>
        <w:t xml:space="preserve">_______________________________________________________</w:t>
      </w:r>
    </w:p>
    <w:p>
      <w:pPr>
        <w:pStyle w:val="BodyText"/>
      </w:pPr>
      <w:r>
        <w:rPr>
          <w:bCs/>
          <w:b/>
        </w:rPr>
        <w:t xml:space="preserve">Department:</w:t>
      </w:r>
      <w:r>
        <w:t xml:space="preserve"> </w:t>
      </w:r>
      <w:r>
        <w:t xml:space="preserve">_______________________________________________________</w:t>
      </w:r>
    </w:p>
    <w:p>
      <w:pPr>
        <w:pStyle w:val="BodyText"/>
      </w:pPr>
      <w:r>
        <w:rPr>
          <w:bCs/>
          <w:b/>
        </w:rPr>
        <w:t xml:space="preserve">Date:</w:t>
      </w:r>
      <w:r>
        <w:t xml:space="preserve"> </w:t>
      </w:r>
      <w:r>
        <w:t xml:space="preserve">_______________________________________________________</w:t>
      </w:r>
    </w:p>
    <w:p>
      <w:pPr>
        <w:pStyle w:val="BodyText"/>
      </w:pPr>
      <w:r>
        <w:rPr>
          <w:bCs/>
          <w:b/>
        </w:rPr>
        <w:t xml:space="preserve">Witness Name (Print):</w:t>
      </w:r>
      <w:r>
        <w:t xml:space="preserve"> </w:t>
      </w:r>
      <w:r>
        <w:t xml:space="preserve">_______________________________________________________</w:t>
      </w:r>
    </w:p>
    <w:p>
      <w:pPr>
        <w:pStyle w:val="BodyText"/>
      </w:pPr>
      <w:r>
        <w:rPr>
          <w:bCs/>
          <w:b/>
        </w:rPr>
        <w:t xml:space="preserve">Witness Signature:</w:t>
      </w:r>
      <w:r>
        <w:t xml:space="preserve"> </w:t>
      </w:r>
      <w:r>
        <w:t xml:space="preserve">_______________________________________________________</w:t>
      </w:r>
    </w:p>
    <w:p>
      <w:pPr>
        <w:pStyle w:val="BodyText"/>
      </w:pPr>
      <w:r>
        <w:rPr>
          <w:bCs/>
          <w:b/>
        </w:rPr>
        <w:t xml:space="preserve">Witness Date:</w:t>
      </w:r>
      <w:r>
        <w:t xml:space="preserve"> </w:t>
      </w:r>
      <w:r>
        <w:t xml:space="preserve">_______________________________________________________</w:t>
      </w:r>
    </w:p>
    <w:p>
      <w:r>
        <w:pict>
          <v:rect style="width:0;height:1.5pt" o:hralign="center" o:hrstd="t" o:hr="t"/>
        </w:pict>
      </w:r>
    </w:p>
    <w:p>
      <w:pPr>
        <w:pStyle w:val="FirstParagraph"/>
      </w:pPr>
      <w:r>
        <w:rPr>
          <w:iCs/>
          <w:i/>
        </w:rPr>
        <w:t xml:space="preserve">PECH Group Holdings Ltd | Confidential | pechgroupholdings.tech</w:t>
      </w:r>
    </w:p>
    <w:bookmarkEnd w:id="81"/>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2026-03-11T09:36:24Z</dcterms:created>
  <dcterms:modified xsi:type="dcterms:W3CDTF">2026-03-11T09:36:24Z</dcterms:modified>
</cp:coreProperties>
</file>

<file path=docProps/custom.xml><?xml version="1.0" encoding="utf-8"?>
<Properties xmlns="http://schemas.openxmlformats.org/officeDocument/2006/custom-properties" xmlns:vt="http://schemas.openxmlformats.org/officeDocument/2006/docPropsVTypes"/>
</file>