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99CC"/>
          <w:sz w:val="44"/>
        </w:rPr>
        <w:t>PECH GROUP HOLDINGS LTD — BRAND GUIDELINES</w:t>
      </w:r>
    </w:p>
    <w:p>
      <w:pPr>
        <w:pStyle w:val="Heading1"/>
      </w:pPr>
      <w:r>
        <w:rPr>
          <w:b/>
          <w:color w:val="00BFFF"/>
          <w:sz w:val="32"/>
        </w:rPr>
        <w:t>Comprehensive Brand Identity Manual</w:t>
      </w:r>
    </w:p>
    <w:p>
      <w:pPr>
        <w:spacing w:before="120" w:after="120"/>
        <w:pBdr>
          <w:bottom w:val="single" w:sz="4" w:space="1" w:color="00BFFF"/>
        </w:pBdr>
      </w:pPr>
    </w:p>
    <w:p>
      <w:pPr>
        <w:pStyle w:val="Heading1"/>
      </w:pPr>
      <w:r>
        <w:rPr>
          <w:b/>
          <w:color w:val="00BFFF"/>
          <w:sz w:val="32"/>
        </w:rPr>
        <w:t>1. BRAND OVERVIEW</w:t>
      </w:r>
    </w:p>
    <w:p>
      <w:pPr>
        <w:pStyle w:val="Heading2"/>
      </w:pPr>
      <w:r>
        <w:rPr>
          <w:b/>
          <w:color w:val="F5A623"/>
          <w:sz w:val="26"/>
        </w:rPr>
        <w:t>Mission</w:t>
      </w:r>
    </w:p>
    <w:p>
      <w:r>
        <w:t>Technology and infrastructure enablers for people.</w:t>
      </w:r>
    </w:p>
    <w:p>
      <w:pPr>
        <w:pStyle w:val="Heading2"/>
      </w:pPr>
      <w:r>
        <w:rPr>
          <w:b/>
          <w:color w:val="F5A623"/>
          <w:sz w:val="26"/>
        </w:rPr>
        <w:t>Brand Philosophy</w:t>
      </w:r>
    </w:p>
    <w:p>
      <w:r>
        <w:t>Reliability, quality, and good price for your money — no bad products.</w:t>
      </w:r>
    </w:p>
    <w:p>
      <w:pPr>
        <w:pStyle w:val="Heading2"/>
      </w:pPr>
      <w:r>
        <w:rPr>
          <w:b/>
          <w:color w:val="F5A623"/>
          <w:sz w:val="26"/>
        </w:rPr>
        <w:t>Brand Values</w:t>
      </w:r>
    </w:p>
    <w:p>
      <w:pPr>
        <w:pStyle w:val="ListBullet"/>
      </w:pPr>
      <w:r>
        <w:rPr>
          <w:b/>
        </w:rPr>
        <w:t>Innovation</w:t>
      </w:r>
      <w:r>
        <w:t xml:space="preserve"> — Pioneering IoT and smart solutions for Africa</w:t>
      </w:r>
    </w:p>
    <w:p>
      <w:pPr>
        <w:pStyle w:val="ListBullet"/>
      </w:pPr>
      <w:r>
        <w:rPr>
          <w:b/>
        </w:rPr>
        <w:t>Reliability</w:t>
      </w:r>
      <w:r>
        <w:t xml:space="preserve"> — Products and services you can depend on</w:t>
      </w:r>
    </w:p>
    <w:p>
      <w:pPr>
        <w:pStyle w:val="ListBullet"/>
      </w:pPr>
      <w:r>
        <w:rPr>
          <w:b/>
        </w:rPr>
        <w:t>Accessibility</w:t>
      </w:r>
      <w:r>
        <w:t xml:space="preserve"> — Making technology affordable and available</w:t>
      </w:r>
    </w:p>
    <w:p>
      <w:pPr>
        <w:pStyle w:val="ListBullet"/>
      </w:pPr>
      <w:r>
        <w:rPr>
          <w:b/>
        </w:rPr>
        <w:t>Quality</w:t>
      </w:r>
      <w:r>
        <w:t xml:space="preserve"> — No compromises on product standards</w:t>
      </w:r>
    </w:p>
    <w:p>
      <w:pPr>
        <w:pStyle w:val="ListBullet"/>
      </w:pPr>
      <w:r>
        <w:rPr>
          <w:b/>
        </w:rPr>
        <w:t>Community</w:t>
      </w:r>
      <w:r>
        <w:t xml:space="preserve"> — Building Africa's tech ecosystem together</w:t>
      </w:r>
    </w:p>
    <w:p>
      <w:pPr>
        <w:spacing w:before="120" w:after="120"/>
        <w:pBdr>
          <w:bottom w:val="single" w:sz="4" w:space="1" w:color="00BFFF"/>
        </w:pBdr>
      </w:pPr>
    </w:p>
    <w:p>
      <w:pPr>
        <w:pStyle w:val="Heading1"/>
      </w:pPr>
      <w:r>
        <w:rPr>
          <w:b/>
          <w:color w:val="00BFFF"/>
          <w:sz w:val="32"/>
        </w:rPr>
        <w:t>2. LOGO USAGE</w:t>
      </w:r>
    </w:p>
    <w:p>
      <w:pPr>
        <w:pStyle w:val="Heading2"/>
      </w:pPr>
      <w:r>
        <w:rPr>
          <w:b/>
          <w:color w:val="F5A623"/>
          <w:sz w:val="26"/>
        </w:rPr>
        <w:t>Primary Logo</w:t>
      </w:r>
    </w:p>
    <w:p>
      <w:pPr>
        <w:pStyle w:val="ListBullet"/>
      </w:pPr>
      <w:r>
        <w:t>Hexagonal icon shape with blue-to-orange gradient (top to bottom)</w:t>
      </w:r>
    </w:p>
    <w:p>
      <w:pPr>
        <w:pStyle w:val="ListBullet"/>
      </w:pPr>
      <w:r>
        <w:t>"PECH" wordmark alongside or below the icon</w:t>
      </w:r>
    </w:p>
    <w:p>
      <w:pPr>
        <w:pStyle w:val="ListBullet"/>
      </w:pPr>
      <w:r>
        <w:t>The hexagonal shape represents technology, connectivity, and structure</w:t>
      </w:r>
    </w:p>
    <w:p>
      <w:pPr>
        <w:pStyle w:val="Heading2"/>
      </w:pPr>
      <w:r>
        <w:rPr>
          <w:b/>
          <w:color w:val="F5A623"/>
          <w:sz w:val="26"/>
        </w:rPr>
        <w:t>Logo Versions</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Version</w:t>
            </w:r>
          </w:p>
        </w:tc>
        <w:tc>
          <w:tcPr>
            <w:tcW w:type="dxa" w:w="4703"/>
            <w:shd w:fill="00BFFF"/>
          </w:tcPr>
          <w:p>
            <w:pPr>
              <w:jc w:val="left"/>
            </w:pPr>
            <w:r>
              <w:rPr>
                <w:b/>
                <w:color w:val="FFFFFF"/>
                <w:sz w:val="20"/>
              </w:rPr>
            </w:r>
            <w:r>
              <w:rPr>
                <w:b/>
                <w:color w:val="FFFFFF"/>
                <w:sz w:val="20"/>
              </w:rPr>
              <w:t>Usage</w:t>
            </w:r>
          </w:p>
        </w:tc>
      </w:tr>
      <w:tr>
        <w:tc>
          <w:tcPr>
            <w:tcW w:type="dxa" w:w="4703"/>
          </w:tcPr>
          <w:p>
            <w:pPr>
              <w:jc w:val="left"/>
            </w:pPr>
            <w:r>
              <w:rPr>
                <w:sz w:val="20"/>
              </w:rPr>
            </w:r>
            <w:r>
              <w:rPr>
                <w:b/>
                <w:sz w:val="20"/>
              </w:rPr>
              <w:t>Full Color (Primary)</w:t>
            </w:r>
          </w:p>
        </w:tc>
        <w:tc>
          <w:tcPr>
            <w:tcW w:type="dxa" w:w="4703"/>
          </w:tcPr>
          <w:p>
            <w:pPr>
              <w:jc w:val="left"/>
            </w:pPr>
            <w:r>
              <w:rPr>
                <w:sz w:val="20"/>
              </w:rPr>
            </w:r>
            <w:r>
              <w:rPr>
                <w:sz w:val="20"/>
              </w:rPr>
              <w:t>Default use on white/light backgrounds</w:t>
            </w:r>
          </w:p>
        </w:tc>
      </w:tr>
      <w:tr>
        <w:tc>
          <w:tcPr>
            <w:tcW w:type="dxa" w:w="4703"/>
            <w:shd w:fill="F0F8FF"/>
          </w:tcPr>
          <w:p>
            <w:pPr>
              <w:jc w:val="left"/>
            </w:pPr>
            <w:r>
              <w:rPr>
                <w:sz w:val="20"/>
              </w:rPr>
            </w:r>
            <w:r>
              <w:rPr>
                <w:b/>
                <w:sz w:val="20"/>
              </w:rPr>
              <w:t>White (Reversed)</w:t>
            </w:r>
          </w:p>
        </w:tc>
        <w:tc>
          <w:tcPr>
            <w:tcW w:type="dxa" w:w="4703"/>
            <w:shd w:fill="F0F8FF"/>
          </w:tcPr>
          <w:p>
            <w:pPr>
              <w:jc w:val="left"/>
            </w:pPr>
            <w:r>
              <w:rPr>
                <w:sz w:val="20"/>
              </w:rPr>
            </w:r>
            <w:r>
              <w:rPr>
                <w:sz w:val="20"/>
              </w:rPr>
              <w:t>On dark backgrounds, photography overlays</w:t>
            </w:r>
          </w:p>
        </w:tc>
      </w:tr>
      <w:tr>
        <w:tc>
          <w:tcPr>
            <w:tcW w:type="dxa" w:w="4703"/>
          </w:tcPr>
          <w:p>
            <w:pPr>
              <w:jc w:val="left"/>
            </w:pPr>
            <w:r>
              <w:rPr>
                <w:sz w:val="20"/>
              </w:rPr>
            </w:r>
            <w:r>
              <w:rPr>
                <w:b/>
                <w:sz w:val="20"/>
              </w:rPr>
              <w:t>Single Color (Blue)</w:t>
            </w:r>
          </w:p>
        </w:tc>
        <w:tc>
          <w:tcPr>
            <w:tcW w:type="dxa" w:w="4703"/>
          </w:tcPr>
          <w:p>
            <w:pPr>
              <w:jc w:val="left"/>
            </w:pPr>
            <w:r>
              <w:rPr>
                <w:sz w:val="20"/>
              </w:rPr>
            </w:r>
            <w:r>
              <w:rPr>
                <w:sz w:val="20"/>
              </w:rPr>
              <w:t>Monochrome printing, embossing</w:t>
            </w:r>
          </w:p>
        </w:tc>
      </w:tr>
      <w:tr>
        <w:tc>
          <w:tcPr>
            <w:tcW w:type="dxa" w:w="4703"/>
            <w:shd w:fill="F0F8FF"/>
          </w:tcPr>
          <w:p>
            <w:pPr>
              <w:jc w:val="left"/>
            </w:pPr>
            <w:r>
              <w:rPr>
                <w:sz w:val="20"/>
              </w:rPr>
            </w:r>
            <w:r>
              <w:rPr>
                <w:b/>
                <w:sz w:val="20"/>
              </w:rPr>
              <w:t>Single Color (Black)</w:t>
            </w:r>
          </w:p>
        </w:tc>
        <w:tc>
          <w:tcPr>
            <w:tcW w:type="dxa" w:w="4703"/>
            <w:shd w:fill="F0F8FF"/>
          </w:tcPr>
          <w:p>
            <w:pPr>
              <w:jc w:val="left"/>
            </w:pPr>
            <w:r>
              <w:rPr>
                <w:sz w:val="20"/>
              </w:rPr>
            </w:r>
            <w:r>
              <w:rPr>
                <w:sz w:val="20"/>
              </w:rPr>
              <w:t>Black &amp; white documents, fax</w:t>
            </w:r>
          </w:p>
        </w:tc>
      </w:tr>
    </w:tbl>
    <w:p/>
    <w:p>
      <w:pPr>
        <w:pStyle w:val="Heading2"/>
      </w:pPr>
      <w:r>
        <w:rPr>
          <w:b/>
          <w:color w:val="F5A623"/>
          <w:sz w:val="26"/>
        </w:rPr>
        <w:t>Clear Space</w:t>
      </w:r>
    </w:p>
    <w:p>
      <w:pPr>
        <w:pStyle w:val="ListBullet"/>
      </w:pPr>
      <w:r>
        <w:t>Minimum clear space around the logo equals the height of the "P" in PECH</w:t>
      </w:r>
    </w:p>
    <w:p>
      <w:pPr>
        <w:pStyle w:val="ListBullet"/>
      </w:pPr>
      <w:r>
        <w:t>No other text, graphics, or elements may intrude into the clear space</w:t>
      </w:r>
    </w:p>
    <w:p>
      <w:pPr>
        <w:pStyle w:val="Heading2"/>
      </w:pPr>
      <w:r>
        <w:rPr>
          <w:b/>
          <w:color w:val="F5A623"/>
          <w:sz w:val="26"/>
        </w:rPr>
        <w:t>Minimum Size</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Application</w:t>
            </w:r>
          </w:p>
        </w:tc>
        <w:tc>
          <w:tcPr>
            <w:tcW w:type="dxa" w:w="4703"/>
            <w:shd w:fill="00BFFF"/>
          </w:tcPr>
          <w:p>
            <w:pPr>
              <w:jc w:val="left"/>
            </w:pPr>
            <w:r>
              <w:rPr>
                <w:b/>
                <w:color w:val="FFFFFF"/>
                <w:sz w:val="20"/>
              </w:rPr>
            </w:r>
            <w:r>
              <w:rPr>
                <w:b/>
                <w:color w:val="FFFFFF"/>
                <w:sz w:val="20"/>
              </w:rPr>
              <w:t>Minimum Width</w:t>
            </w:r>
          </w:p>
        </w:tc>
      </w:tr>
      <w:tr>
        <w:tc>
          <w:tcPr>
            <w:tcW w:type="dxa" w:w="4703"/>
          </w:tcPr>
          <w:p>
            <w:pPr>
              <w:jc w:val="left"/>
            </w:pPr>
            <w:r>
              <w:rPr>
                <w:sz w:val="20"/>
              </w:rPr>
            </w:r>
            <w:r>
              <w:rPr>
                <w:b/>
                <w:sz w:val="20"/>
              </w:rPr>
              <w:t>Print</w:t>
            </w:r>
          </w:p>
        </w:tc>
        <w:tc>
          <w:tcPr>
            <w:tcW w:type="dxa" w:w="4703"/>
          </w:tcPr>
          <w:p>
            <w:pPr>
              <w:jc w:val="left"/>
            </w:pPr>
            <w:r>
              <w:rPr>
                <w:sz w:val="20"/>
              </w:rPr>
            </w:r>
            <w:r>
              <w:rPr>
                <w:sz w:val="20"/>
              </w:rPr>
              <w:t>25mm</w:t>
            </w:r>
          </w:p>
        </w:tc>
      </w:tr>
      <w:tr>
        <w:tc>
          <w:tcPr>
            <w:tcW w:type="dxa" w:w="4703"/>
            <w:shd w:fill="F0F8FF"/>
          </w:tcPr>
          <w:p>
            <w:pPr>
              <w:jc w:val="left"/>
            </w:pPr>
            <w:r>
              <w:rPr>
                <w:sz w:val="20"/>
              </w:rPr>
            </w:r>
            <w:r>
              <w:rPr>
                <w:b/>
                <w:sz w:val="20"/>
              </w:rPr>
              <w:t>Digital</w:t>
            </w:r>
          </w:p>
        </w:tc>
        <w:tc>
          <w:tcPr>
            <w:tcW w:type="dxa" w:w="4703"/>
            <w:shd w:fill="F0F8FF"/>
          </w:tcPr>
          <w:p>
            <w:pPr>
              <w:jc w:val="left"/>
            </w:pPr>
            <w:r>
              <w:rPr>
                <w:sz w:val="20"/>
              </w:rPr>
            </w:r>
            <w:r>
              <w:rPr>
                <w:sz w:val="20"/>
              </w:rPr>
              <w:t>80px</w:t>
            </w:r>
          </w:p>
        </w:tc>
      </w:tr>
      <w:tr>
        <w:tc>
          <w:tcPr>
            <w:tcW w:type="dxa" w:w="4703"/>
          </w:tcPr>
          <w:p>
            <w:pPr>
              <w:jc w:val="left"/>
            </w:pPr>
            <w:r>
              <w:rPr>
                <w:sz w:val="20"/>
              </w:rPr>
            </w:r>
            <w:r>
              <w:rPr>
                <w:b/>
                <w:sz w:val="20"/>
              </w:rPr>
              <w:t>Favicon</w:t>
            </w:r>
          </w:p>
        </w:tc>
        <w:tc>
          <w:tcPr>
            <w:tcW w:type="dxa" w:w="4703"/>
          </w:tcPr>
          <w:p>
            <w:pPr>
              <w:jc w:val="left"/>
            </w:pPr>
            <w:r>
              <w:rPr>
                <w:sz w:val="20"/>
              </w:rPr>
            </w:r>
            <w:r>
              <w:rPr>
                <w:sz w:val="20"/>
              </w:rPr>
              <w:t>32px (icon only, no text)</w:t>
            </w:r>
          </w:p>
        </w:tc>
      </w:tr>
    </w:tbl>
    <w:p/>
    <w:p>
      <w:pPr>
        <w:pStyle w:val="Heading2"/>
      </w:pPr>
      <w:r>
        <w:rPr>
          <w:b/>
          <w:color w:val="F5A623"/>
          <w:sz w:val="26"/>
        </w:rPr>
        <w:t>Logo Don'ts</w:t>
      </w:r>
    </w:p>
    <w:p>
      <w:pPr>
        <w:pStyle w:val="ListNumber"/>
      </w:pPr>
      <w:r>
        <w:t>Do NOT rotate or tilt the logo</w:t>
      </w:r>
    </w:p>
    <w:p>
      <w:pPr>
        <w:pStyle w:val="ListNumber"/>
      </w:pPr>
      <w:r>
        <w:t>Do NOT stretch or distort proportions</w:t>
      </w:r>
    </w:p>
    <w:p>
      <w:pPr>
        <w:pStyle w:val="ListNumber"/>
      </w:pPr>
      <w:r>
        <w:t>Do NOT change the gradient direction</w:t>
      </w:r>
    </w:p>
    <w:p>
      <w:pPr>
        <w:pStyle w:val="ListNumber"/>
      </w:pPr>
      <w:r>
        <w:t>Do NOT place on busy/cluttered backgrounds without sufficient contrast</w:t>
      </w:r>
    </w:p>
    <w:p>
      <w:pPr>
        <w:pStyle w:val="ListNumber"/>
      </w:pPr>
      <w:r>
        <w:t>Do NOT add drop shadows, outlines, or effects</w:t>
      </w:r>
    </w:p>
    <w:p>
      <w:pPr>
        <w:pStyle w:val="ListNumber"/>
      </w:pPr>
      <w:r>
        <w:t>Do NOT rearrange logo elements</w:t>
      </w:r>
    </w:p>
    <w:p>
      <w:pPr>
        <w:pStyle w:val="ListNumber"/>
      </w:pPr>
      <w:r>
        <w:t>Do NOT use unapproved color combinations</w:t>
      </w:r>
    </w:p>
    <w:p>
      <w:pPr>
        <w:pStyle w:val="ListNumber"/>
      </w:pPr>
      <w:r>
        <w:t>Do NOT crop or partially display the logo</w:t>
      </w:r>
    </w:p>
    <w:p>
      <w:pPr>
        <w:spacing w:before="120" w:after="120"/>
        <w:pBdr>
          <w:bottom w:val="single" w:sz="4" w:space="1" w:color="00BFFF"/>
        </w:pBdr>
      </w:pPr>
    </w:p>
    <w:p>
      <w:pPr>
        <w:pStyle w:val="Heading1"/>
      </w:pPr>
      <w:r>
        <w:rPr>
          <w:b/>
          <w:color w:val="00BFFF"/>
          <w:sz w:val="32"/>
        </w:rPr>
        <w:t>3. COLOR PALETTE</w:t>
      </w:r>
    </w:p>
    <w:p>
      <w:pPr>
        <w:pStyle w:val="Heading2"/>
      </w:pPr>
      <w:r>
        <w:rPr>
          <w:b/>
          <w:color w:val="F5A623"/>
          <w:sz w:val="26"/>
        </w:rPr>
        <w:t>Primary Colors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BFFF"/>
          </w:tcPr>
          <w:p>
            <w:pPr>
              <w:jc w:val="left"/>
            </w:pPr>
            <w:r>
              <w:rPr>
                <w:b/>
                <w:color w:val="FFFFFF"/>
                <w:sz w:val="20"/>
              </w:rPr>
            </w:r>
            <w:r>
              <w:rPr>
                <w:b/>
                <w:color w:val="FFFFFF"/>
                <w:sz w:val="20"/>
              </w:rPr>
              <w:t>Color</w:t>
            </w:r>
          </w:p>
        </w:tc>
        <w:tc>
          <w:tcPr>
            <w:tcW w:type="dxa" w:w="1568"/>
            <w:shd w:fill="00BFFF"/>
          </w:tcPr>
          <w:p>
            <w:pPr>
              <w:jc w:val="left"/>
            </w:pPr>
            <w:r>
              <w:rPr>
                <w:b/>
                <w:color w:val="FFFFFF"/>
                <w:sz w:val="20"/>
              </w:rPr>
            </w:r>
            <w:r>
              <w:rPr>
                <w:b/>
                <w:color w:val="FFFFFF"/>
                <w:sz w:val="20"/>
              </w:rPr>
              <w:t>Hex</w:t>
            </w:r>
          </w:p>
        </w:tc>
        <w:tc>
          <w:tcPr>
            <w:tcW w:type="dxa" w:w="1568"/>
            <w:shd w:fill="00BFFF"/>
          </w:tcPr>
          <w:p>
            <w:pPr>
              <w:jc w:val="left"/>
            </w:pPr>
            <w:r>
              <w:rPr>
                <w:b/>
                <w:color w:val="FFFFFF"/>
                <w:sz w:val="20"/>
              </w:rPr>
            </w:r>
            <w:r>
              <w:rPr>
                <w:b/>
                <w:color w:val="FFFFFF"/>
                <w:sz w:val="20"/>
              </w:rPr>
              <w:t>RGB</w:t>
            </w:r>
          </w:p>
        </w:tc>
        <w:tc>
          <w:tcPr>
            <w:tcW w:type="dxa" w:w="1568"/>
            <w:shd w:fill="00BFFF"/>
          </w:tcPr>
          <w:p>
            <w:pPr>
              <w:jc w:val="left"/>
            </w:pPr>
            <w:r>
              <w:rPr>
                <w:b/>
                <w:color w:val="FFFFFF"/>
                <w:sz w:val="20"/>
              </w:rPr>
            </w:r>
            <w:r>
              <w:rPr>
                <w:b/>
                <w:color w:val="FFFFFF"/>
                <w:sz w:val="20"/>
              </w:rPr>
              <w:t>CMYK</w:t>
            </w:r>
          </w:p>
        </w:tc>
        <w:tc>
          <w:tcPr>
            <w:tcW w:type="dxa" w:w="1568"/>
            <w:shd w:fill="00BFFF"/>
          </w:tcPr>
          <w:p>
            <w:pPr>
              <w:jc w:val="left"/>
            </w:pPr>
            <w:r>
              <w:rPr>
                <w:b/>
                <w:color w:val="FFFFFF"/>
                <w:sz w:val="20"/>
              </w:rPr>
            </w:r>
            <w:r>
              <w:rPr>
                <w:b/>
                <w:color w:val="FFFFFF"/>
                <w:sz w:val="20"/>
              </w:rPr>
              <w:t>Pantone (approx.)</w:t>
            </w:r>
          </w:p>
        </w:tc>
        <w:tc>
          <w:tcPr>
            <w:tcW w:type="dxa" w:w="1568"/>
            <w:shd w:fill="00BFFF"/>
          </w:tcPr>
          <w:p>
            <w:pPr>
              <w:jc w:val="left"/>
            </w:pPr>
            <w:r>
              <w:rPr>
                <w:b/>
                <w:color w:val="FFFFFF"/>
                <w:sz w:val="20"/>
              </w:rPr>
            </w:r>
            <w:r>
              <w:rPr>
                <w:b/>
                <w:color w:val="FFFFFF"/>
                <w:sz w:val="20"/>
              </w:rPr>
              <w:t>Usage</w:t>
            </w:r>
          </w:p>
        </w:tc>
      </w:tr>
      <w:tr>
        <w:tc>
          <w:tcPr>
            <w:tcW w:type="dxa" w:w="1568"/>
          </w:tcPr>
          <w:p>
            <w:pPr>
              <w:jc w:val="left"/>
            </w:pPr>
            <w:r>
              <w:rPr>
                <w:sz w:val="20"/>
              </w:rPr>
            </w:r>
            <w:r>
              <w:rPr>
                <w:b/>
                <w:sz w:val="20"/>
              </w:rPr>
              <w:t>PECH Sky Blue</w:t>
            </w:r>
          </w:p>
        </w:tc>
        <w:tc>
          <w:tcPr>
            <w:tcW w:type="dxa" w:w="1568"/>
          </w:tcPr>
          <w:p>
            <w:pPr>
              <w:jc w:val="left"/>
            </w:pPr>
            <w:r>
              <w:rPr>
                <w:sz w:val="20"/>
              </w:rPr>
            </w:r>
            <w:r>
              <w:rPr>
                <w:sz w:val="20"/>
              </w:rPr>
              <w:t>#00BFFF</w:t>
            </w:r>
          </w:p>
        </w:tc>
        <w:tc>
          <w:tcPr>
            <w:tcW w:type="dxa" w:w="1568"/>
          </w:tcPr>
          <w:p>
            <w:pPr>
              <w:jc w:val="left"/>
            </w:pPr>
            <w:r>
              <w:rPr>
                <w:sz w:val="20"/>
              </w:rPr>
            </w:r>
            <w:r>
              <w:rPr>
                <w:sz w:val="20"/>
              </w:rPr>
              <w:t>0, 191, 255</w:t>
            </w:r>
          </w:p>
        </w:tc>
        <w:tc>
          <w:tcPr>
            <w:tcW w:type="dxa" w:w="1568"/>
          </w:tcPr>
          <w:p>
            <w:pPr>
              <w:jc w:val="left"/>
            </w:pPr>
            <w:r>
              <w:rPr>
                <w:sz w:val="20"/>
              </w:rPr>
            </w:r>
            <w:r>
              <w:rPr>
                <w:sz w:val="20"/>
              </w:rPr>
              <w:t>100, 0, 0, 0</w:t>
            </w:r>
          </w:p>
        </w:tc>
        <w:tc>
          <w:tcPr>
            <w:tcW w:type="dxa" w:w="1568"/>
          </w:tcPr>
          <w:p>
            <w:pPr>
              <w:jc w:val="left"/>
            </w:pPr>
            <w:r>
              <w:rPr>
                <w:sz w:val="20"/>
              </w:rPr>
            </w:r>
            <w:r>
              <w:rPr>
                <w:sz w:val="20"/>
              </w:rPr>
              <w:t>2995 C</w:t>
            </w:r>
          </w:p>
        </w:tc>
        <w:tc>
          <w:tcPr>
            <w:tcW w:type="dxa" w:w="1568"/>
          </w:tcPr>
          <w:p>
            <w:pPr>
              <w:jc w:val="left"/>
            </w:pPr>
            <w:r>
              <w:rPr>
                <w:sz w:val="20"/>
              </w:rPr>
            </w:r>
            <w:r>
              <w:rPr>
                <w:sz w:val="20"/>
              </w:rPr>
              <w:t>Primary brand color, headings, key elements</w:t>
            </w:r>
          </w:p>
        </w:tc>
      </w:tr>
      <w:tr>
        <w:tc>
          <w:tcPr>
            <w:tcW w:type="dxa" w:w="1568"/>
            <w:shd w:fill="F0F8FF"/>
          </w:tcPr>
          <w:p>
            <w:pPr>
              <w:jc w:val="left"/>
            </w:pPr>
            <w:r>
              <w:rPr>
                <w:sz w:val="20"/>
              </w:rPr>
            </w:r>
            <w:r>
              <w:rPr>
                <w:b/>
                <w:sz w:val="20"/>
              </w:rPr>
              <w:t>PECH Orange/Amber</w:t>
            </w:r>
          </w:p>
        </w:tc>
        <w:tc>
          <w:tcPr>
            <w:tcW w:type="dxa" w:w="1568"/>
            <w:shd w:fill="F0F8FF"/>
          </w:tcPr>
          <w:p>
            <w:pPr>
              <w:jc w:val="left"/>
            </w:pPr>
            <w:r>
              <w:rPr>
                <w:sz w:val="20"/>
              </w:rPr>
            </w:r>
            <w:r>
              <w:rPr>
                <w:sz w:val="20"/>
              </w:rPr>
              <w:t>#F5A623</w:t>
            </w:r>
          </w:p>
        </w:tc>
        <w:tc>
          <w:tcPr>
            <w:tcW w:type="dxa" w:w="1568"/>
            <w:shd w:fill="F0F8FF"/>
          </w:tcPr>
          <w:p>
            <w:pPr>
              <w:jc w:val="left"/>
            </w:pPr>
            <w:r>
              <w:rPr>
                <w:sz w:val="20"/>
              </w:rPr>
            </w:r>
            <w:r>
              <w:rPr>
                <w:sz w:val="20"/>
              </w:rPr>
              <w:t>245, 166, 35</w:t>
            </w:r>
          </w:p>
        </w:tc>
        <w:tc>
          <w:tcPr>
            <w:tcW w:type="dxa" w:w="1568"/>
            <w:shd w:fill="F0F8FF"/>
          </w:tcPr>
          <w:p>
            <w:pPr>
              <w:jc w:val="left"/>
            </w:pPr>
            <w:r>
              <w:rPr>
                <w:sz w:val="20"/>
              </w:rPr>
            </w:r>
            <w:r>
              <w:rPr>
                <w:sz w:val="20"/>
              </w:rPr>
              <w:t>0, 35, 85, 4</w:t>
            </w:r>
          </w:p>
        </w:tc>
        <w:tc>
          <w:tcPr>
            <w:tcW w:type="dxa" w:w="1568"/>
            <w:shd w:fill="F0F8FF"/>
          </w:tcPr>
          <w:p>
            <w:pPr>
              <w:jc w:val="left"/>
            </w:pPr>
            <w:r>
              <w:rPr>
                <w:sz w:val="20"/>
              </w:rPr>
            </w:r>
            <w:r>
              <w:rPr>
                <w:sz w:val="20"/>
              </w:rPr>
              <w:t>1235 C</w:t>
            </w:r>
          </w:p>
        </w:tc>
        <w:tc>
          <w:tcPr>
            <w:tcW w:type="dxa" w:w="1568"/>
            <w:shd w:fill="F0F8FF"/>
          </w:tcPr>
          <w:p>
            <w:pPr>
              <w:jc w:val="left"/>
            </w:pPr>
            <w:r>
              <w:rPr>
                <w:sz w:val="20"/>
              </w:rPr>
            </w:r>
            <w:r>
              <w:rPr>
                <w:sz w:val="20"/>
              </w:rPr>
              <w:t>Secondary brand color, accents, highlights, CTAs</w:t>
            </w:r>
          </w:p>
        </w:tc>
      </w:tr>
    </w:tbl>
    <w:p/>
    <w:p>
      <w:pPr>
        <w:pStyle w:val="Heading2"/>
      </w:pPr>
      <w:r>
        <w:rPr>
          <w:b/>
          <w:color w:val="F5A623"/>
          <w:sz w:val="26"/>
        </w:rPr>
        <w:t>Secondary Colors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BFFF"/>
          </w:tcPr>
          <w:p>
            <w:pPr>
              <w:jc w:val="left"/>
            </w:pPr>
            <w:r>
              <w:rPr>
                <w:b/>
                <w:color w:val="FFFFFF"/>
                <w:sz w:val="20"/>
              </w:rPr>
            </w:r>
            <w:r>
              <w:rPr>
                <w:b/>
                <w:color w:val="FFFFFF"/>
                <w:sz w:val="20"/>
              </w:rPr>
              <w:t>Color</w:t>
            </w:r>
          </w:p>
        </w:tc>
        <w:tc>
          <w:tcPr>
            <w:tcW w:type="dxa" w:w="2351"/>
            <w:shd w:fill="00BFFF"/>
          </w:tcPr>
          <w:p>
            <w:pPr>
              <w:jc w:val="left"/>
            </w:pPr>
            <w:r>
              <w:rPr>
                <w:b/>
                <w:color w:val="FFFFFF"/>
                <w:sz w:val="20"/>
              </w:rPr>
            </w:r>
            <w:r>
              <w:rPr>
                <w:b/>
                <w:color w:val="FFFFFF"/>
                <w:sz w:val="20"/>
              </w:rPr>
              <w:t>Hex</w:t>
            </w:r>
          </w:p>
        </w:tc>
        <w:tc>
          <w:tcPr>
            <w:tcW w:type="dxa" w:w="2351"/>
            <w:shd w:fill="00BFFF"/>
          </w:tcPr>
          <w:p>
            <w:pPr>
              <w:jc w:val="left"/>
            </w:pPr>
            <w:r>
              <w:rPr>
                <w:b/>
                <w:color w:val="FFFFFF"/>
                <w:sz w:val="20"/>
              </w:rPr>
            </w:r>
            <w:r>
              <w:rPr>
                <w:b/>
                <w:color w:val="FFFFFF"/>
                <w:sz w:val="20"/>
              </w:rPr>
              <w:t>RGB</w:t>
            </w:r>
          </w:p>
        </w:tc>
        <w:tc>
          <w:tcPr>
            <w:tcW w:type="dxa" w:w="2351"/>
            <w:shd w:fill="00BFFF"/>
          </w:tcPr>
          <w:p>
            <w:pPr>
              <w:jc w:val="left"/>
            </w:pPr>
            <w:r>
              <w:rPr>
                <w:b/>
                <w:color w:val="FFFFFF"/>
                <w:sz w:val="20"/>
              </w:rPr>
            </w:r>
            <w:r>
              <w:rPr>
                <w:b/>
                <w:color w:val="FFFFFF"/>
                <w:sz w:val="20"/>
              </w:rPr>
              <w:t>Usage</w:t>
            </w:r>
          </w:p>
        </w:tc>
      </w:tr>
      <w:tr>
        <w:tc>
          <w:tcPr>
            <w:tcW w:type="dxa" w:w="2351"/>
          </w:tcPr>
          <w:p>
            <w:pPr>
              <w:jc w:val="left"/>
            </w:pPr>
            <w:r>
              <w:rPr>
                <w:sz w:val="20"/>
              </w:rPr>
            </w:r>
            <w:r>
              <w:rPr>
                <w:b/>
                <w:sz w:val="20"/>
              </w:rPr>
              <w:t>Dark Blue</w:t>
            </w:r>
          </w:p>
        </w:tc>
        <w:tc>
          <w:tcPr>
            <w:tcW w:type="dxa" w:w="2351"/>
          </w:tcPr>
          <w:p>
            <w:pPr>
              <w:jc w:val="left"/>
            </w:pPr>
            <w:r>
              <w:rPr>
                <w:sz w:val="20"/>
              </w:rPr>
            </w:r>
            <w:r>
              <w:rPr>
                <w:sz w:val="20"/>
              </w:rPr>
              <w:t>#0099CC</w:t>
            </w:r>
          </w:p>
        </w:tc>
        <w:tc>
          <w:tcPr>
            <w:tcW w:type="dxa" w:w="2351"/>
          </w:tcPr>
          <w:p>
            <w:pPr>
              <w:jc w:val="left"/>
            </w:pPr>
            <w:r>
              <w:rPr>
                <w:sz w:val="20"/>
              </w:rPr>
            </w:r>
            <w:r>
              <w:rPr>
                <w:sz w:val="20"/>
              </w:rPr>
              <w:t>0, 153, 204</w:t>
            </w:r>
          </w:p>
        </w:tc>
        <w:tc>
          <w:tcPr>
            <w:tcW w:type="dxa" w:w="2351"/>
          </w:tcPr>
          <w:p>
            <w:pPr>
              <w:jc w:val="left"/>
            </w:pPr>
            <w:r>
              <w:rPr>
                <w:sz w:val="20"/>
              </w:rPr>
            </w:r>
            <w:r>
              <w:rPr>
                <w:sz w:val="20"/>
              </w:rPr>
              <w:t>Darker shade for depth, subheadings</w:t>
            </w:r>
          </w:p>
        </w:tc>
      </w:tr>
      <w:tr>
        <w:tc>
          <w:tcPr>
            <w:tcW w:type="dxa" w:w="2351"/>
            <w:shd w:fill="F0F8FF"/>
          </w:tcPr>
          <w:p>
            <w:pPr>
              <w:jc w:val="left"/>
            </w:pPr>
            <w:r>
              <w:rPr>
                <w:sz w:val="20"/>
              </w:rPr>
            </w:r>
            <w:r>
              <w:rPr>
                <w:b/>
                <w:sz w:val="20"/>
              </w:rPr>
              <w:t>Dark Orange</w:t>
            </w:r>
          </w:p>
        </w:tc>
        <w:tc>
          <w:tcPr>
            <w:tcW w:type="dxa" w:w="2351"/>
            <w:shd w:fill="F0F8FF"/>
          </w:tcPr>
          <w:p>
            <w:pPr>
              <w:jc w:val="left"/>
            </w:pPr>
            <w:r>
              <w:rPr>
                <w:sz w:val="20"/>
              </w:rPr>
            </w:r>
            <w:r>
              <w:rPr>
                <w:sz w:val="20"/>
              </w:rPr>
              <w:t>#E08A00</w:t>
            </w:r>
          </w:p>
        </w:tc>
        <w:tc>
          <w:tcPr>
            <w:tcW w:type="dxa" w:w="2351"/>
            <w:shd w:fill="F0F8FF"/>
          </w:tcPr>
          <w:p>
            <w:pPr>
              <w:jc w:val="left"/>
            </w:pPr>
            <w:r>
              <w:rPr>
                <w:sz w:val="20"/>
              </w:rPr>
            </w:r>
            <w:r>
              <w:rPr>
                <w:sz w:val="20"/>
              </w:rPr>
              <w:t>224, 138, 0</w:t>
            </w:r>
          </w:p>
        </w:tc>
        <w:tc>
          <w:tcPr>
            <w:tcW w:type="dxa" w:w="2351"/>
            <w:shd w:fill="F0F8FF"/>
          </w:tcPr>
          <w:p>
            <w:pPr>
              <w:jc w:val="left"/>
            </w:pPr>
            <w:r>
              <w:rPr>
                <w:sz w:val="20"/>
              </w:rPr>
            </w:r>
            <w:r>
              <w:rPr>
                <w:sz w:val="20"/>
              </w:rPr>
              <w:t>Darker shade for hover states, emphasis</w:t>
            </w:r>
          </w:p>
        </w:tc>
      </w:tr>
    </w:tbl>
    <w:p/>
    <w:p>
      <w:pPr>
        <w:pStyle w:val="Heading2"/>
      </w:pPr>
      <w:r>
        <w:rPr>
          <w:b/>
          <w:color w:val="F5A623"/>
          <w:sz w:val="26"/>
        </w:rPr>
        <w:t>Neutral Colors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BFFF"/>
          </w:tcPr>
          <w:p>
            <w:pPr>
              <w:jc w:val="left"/>
            </w:pPr>
            <w:r>
              <w:rPr>
                <w:b/>
                <w:color w:val="FFFFFF"/>
                <w:sz w:val="20"/>
              </w:rPr>
            </w:r>
            <w:r>
              <w:rPr>
                <w:b/>
                <w:color w:val="FFFFFF"/>
                <w:sz w:val="20"/>
              </w:rPr>
              <w:t>Color</w:t>
            </w:r>
          </w:p>
        </w:tc>
        <w:tc>
          <w:tcPr>
            <w:tcW w:type="dxa" w:w="2351"/>
            <w:shd w:fill="00BFFF"/>
          </w:tcPr>
          <w:p>
            <w:pPr>
              <w:jc w:val="left"/>
            </w:pPr>
            <w:r>
              <w:rPr>
                <w:b/>
                <w:color w:val="FFFFFF"/>
                <w:sz w:val="20"/>
              </w:rPr>
            </w:r>
            <w:r>
              <w:rPr>
                <w:b/>
                <w:color w:val="FFFFFF"/>
                <w:sz w:val="20"/>
              </w:rPr>
              <w:t>Hex</w:t>
            </w:r>
          </w:p>
        </w:tc>
        <w:tc>
          <w:tcPr>
            <w:tcW w:type="dxa" w:w="2351"/>
            <w:shd w:fill="00BFFF"/>
          </w:tcPr>
          <w:p>
            <w:pPr>
              <w:jc w:val="left"/>
            </w:pPr>
            <w:r>
              <w:rPr>
                <w:b/>
                <w:color w:val="FFFFFF"/>
                <w:sz w:val="20"/>
              </w:rPr>
            </w:r>
            <w:r>
              <w:rPr>
                <w:b/>
                <w:color w:val="FFFFFF"/>
                <w:sz w:val="20"/>
              </w:rPr>
              <w:t>RGB</w:t>
            </w:r>
          </w:p>
        </w:tc>
        <w:tc>
          <w:tcPr>
            <w:tcW w:type="dxa" w:w="2351"/>
            <w:shd w:fill="00BFFF"/>
          </w:tcPr>
          <w:p>
            <w:pPr>
              <w:jc w:val="left"/>
            </w:pPr>
            <w:r>
              <w:rPr>
                <w:b/>
                <w:color w:val="FFFFFF"/>
                <w:sz w:val="20"/>
              </w:rPr>
            </w:r>
            <w:r>
              <w:rPr>
                <w:b/>
                <w:color w:val="FFFFFF"/>
                <w:sz w:val="20"/>
              </w:rPr>
              <w:t>Usage</w:t>
            </w:r>
          </w:p>
        </w:tc>
      </w:tr>
      <w:tr>
        <w:tc>
          <w:tcPr>
            <w:tcW w:type="dxa" w:w="2351"/>
          </w:tcPr>
          <w:p>
            <w:pPr>
              <w:jc w:val="left"/>
            </w:pPr>
            <w:r>
              <w:rPr>
                <w:sz w:val="20"/>
              </w:rPr>
            </w:r>
            <w:r>
              <w:rPr>
                <w:b/>
                <w:sz w:val="20"/>
              </w:rPr>
              <w:t>Dark Background</w:t>
            </w:r>
          </w:p>
        </w:tc>
        <w:tc>
          <w:tcPr>
            <w:tcW w:type="dxa" w:w="2351"/>
          </w:tcPr>
          <w:p>
            <w:pPr>
              <w:jc w:val="left"/>
            </w:pPr>
            <w:r>
              <w:rPr>
                <w:sz w:val="20"/>
              </w:rPr>
            </w:r>
            <w:r>
              <w:rPr>
                <w:sz w:val="20"/>
              </w:rPr>
              <w:t>#1B2838</w:t>
            </w:r>
          </w:p>
        </w:tc>
        <w:tc>
          <w:tcPr>
            <w:tcW w:type="dxa" w:w="2351"/>
          </w:tcPr>
          <w:p>
            <w:pPr>
              <w:jc w:val="left"/>
            </w:pPr>
            <w:r>
              <w:rPr>
                <w:sz w:val="20"/>
              </w:rPr>
            </w:r>
            <w:r>
              <w:rPr>
                <w:sz w:val="20"/>
              </w:rPr>
              <w:t>27, 40, 56</w:t>
            </w:r>
          </w:p>
        </w:tc>
        <w:tc>
          <w:tcPr>
            <w:tcW w:type="dxa" w:w="2351"/>
          </w:tcPr>
          <w:p>
            <w:pPr>
              <w:jc w:val="left"/>
            </w:pPr>
            <w:r>
              <w:rPr>
                <w:sz w:val="20"/>
              </w:rPr>
            </w:r>
            <w:r>
              <w:rPr>
                <w:sz w:val="20"/>
              </w:rPr>
              <w:t>Dark navy backgrounds, headers</w:t>
            </w:r>
          </w:p>
        </w:tc>
      </w:tr>
      <w:tr>
        <w:tc>
          <w:tcPr>
            <w:tcW w:type="dxa" w:w="2351"/>
            <w:shd w:fill="F0F8FF"/>
          </w:tcPr>
          <w:p>
            <w:pPr>
              <w:jc w:val="left"/>
            </w:pPr>
            <w:r>
              <w:rPr>
                <w:sz w:val="20"/>
              </w:rPr>
            </w:r>
            <w:r>
              <w:rPr>
                <w:b/>
                <w:sz w:val="20"/>
              </w:rPr>
              <w:t>White</w:t>
            </w:r>
          </w:p>
        </w:tc>
        <w:tc>
          <w:tcPr>
            <w:tcW w:type="dxa" w:w="2351"/>
            <w:shd w:fill="F0F8FF"/>
          </w:tcPr>
          <w:p>
            <w:pPr>
              <w:jc w:val="left"/>
            </w:pPr>
            <w:r>
              <w:rPr>
                <w:sz w:val="20"/>
              </w:rPr>
            </w:r>
            <w:r>
              <w:rPr>
                <w:sz w:val="20"/>
              </w:rPr>
              <w:t>#FFFFFF</w:t>
            </w:r>
          </w:p>
        </w:tc>
        <w:tc>
          <w:tcPr>
            <w:tcW w:type="dxa" w:w="2351"/>
            <w:shd w:fill="F0F8FF"/>
          </w:tcPr>
          <w:p>
            <w:pPr>
              <w:jc w:val="left"/>
            </w:pPr>
            <w:r>
              <w:rPr>
                <w:sz w:val="20"/>
              </w:rPr>
            </w:r>
            <w:r>
              <w:rPr>
                <w:sz w:val="20"/>
              </w:rPr>
              <w:t>255, 255, 255</w:t>
            </w:r>
          </w:p>
        </w:tc>
        <w:tc>
          <w:tcPr>
            <w:tcW w:type="dxa" w:w="2351"/>
            <w:shd w:fill="F0F8FF"/>
          </w:tcPr>
          <w:p>
            <w:pPr>
              <w:jc w:val="left"/>
            </w:pPr>
            <w:r>
              <w:rPr>
                <w:sz w:val="20"/>
              </w:rPr>
            </w:r>
            <w:r>
              <w:rPr>
                <w:sz w:val="20"/>
              </w:rPr>
              <w:t>Text on dark, clean backgrounds</w:t>
            </w:r>
          </w:p>
        </w:tc>
      </w:tr>
      <w:tr>
        <w:tc>
          <w:tcPr>
            <w:tcW w:type="dxa" w:w="2351"/>
          </w:tcPr>
          <w:p>
            <w:pPr>
              <w:jc w:val="left"/>
            </w:pPr>
            <w:r>
              <w:rPr>
                <w:sz w:val="20"/>
              </w:rPr>
            </w:r>
            <w:r>
              <w:rPr>
                <w:b/>
                <w:sz w:val="20"/>
              </w:rPr>
              <w:t>Text Dark</w:t>
            </w:r>
          </w:p>
        </w:tc>
        <w:tc>
          <w:tcPr>
            <w:tcW w:type="dxa" w:w="2351"/>
          </w:tcPr>
          <w:p>
            <w:pPr>
              <w:jc w:val="left"/>
            </w:pPr>
            <w:r>
              <w:rPr>
                <w:sz w:val="20"/>
              </w:rPr>
            </w:r>
            <w:r>
              <w:rPr>
                <w:sz w:val="20"/>
              </w:rPr>
              <w:t>#333333</w:t>
            </w:r>
          </w:p>
        </w:tc>
        <w:tc>
          <w:tcPr>
            <w:tcW w:type="dxa" w:w="2351"/>
          </w:tcPr>
          <w:p>
            <w:pPr>
              <w:jc w:val="left"/>
            </w:pPr>
            <w:r>
              <w:rPr>
                <w:sz w:val="20"/>
              </w:rPr>
            </w:r>
            <w:r>
              <w:rPr>
                <w:sz w:val="20"/>
              </w:rPr>
              <w:t>51, 51, 51</w:t>
            </w:r>
          </w:p>
        </w:tc>
        <w:tc>
          <w:tcPr>
            <w:tcW w:type="dxa" w:w="2351"/>
          </w:tcPr>
          <w:p>
            <w:pPr>
              <w:jc w:val="left"/>
            </w:pPr>
            <w:r>
              <w:rPr>
                <w:sz w:val="20"/>
              </w:rPr>
            </w:r>
            <w:r>
              <w:rPr>
                <w:sz w:val="20"/>
              </w:rPr>
              <w:t>Primary body text</w:t>
            </w:r>
          </w:p>
        </w:tc>
      </w:tr>
      <w:tr>
        <w:tc>
          <w:tcPr>
            <w:tcW w:type="dxa" w:w="2351"/>
            <w:shd w:fill="F0F8FF"/>
          </w:tcPr>
          <w:p>
            <w:pPr>
              <w:jc w:val="left"/>
            </w:pPr>
            <w:r>
              <w:rPr>
                <w:sz w:val="20"/>
              </w:rPr>
            </w:r>
            <w:r>
              <w:rPr>
                <w:b/>
                <w:sz w:val="20"/>
              </w:rPr>
              <w:t>Text Medium</w:t>
            </w:r>
          </w:p>
        </w:tc>
        <w:tc>
          <w:tcPr>
            <w:tcW w:type="dxa" w:w="2351"/>
            <w:shd w:fill="F0F8FF"/>
          </w:tcPr>
          <w:p>
            <w:pPr>
              <w:jc w:val="left"/>
            </w:pPr>
            <w:r>
              <w:rPr>
                <w:sz w:val="20"/>
              </w:rPr>
            </w:r>
            <w:r>
              <w:rPr>
                <w:sz w:val="20"/>
              </w:rPr>
              <w:t>#666666</w:t>
            </w:r>
          </w:p>
        </w:tc>
        <w:tc>
          <w:tcPr>
            <w:tcW w:type="dxa" w:w="2351"/>
            <w:shd w:fill="F0F8FF"/>
          </w:tcPr>
          <w:p>
            <w:pPr>
              <w:jc w:val="left"/>
            </w:pPr>
            <w:r>
              <w:rPr>
                <w:sz w:val="20"/>
              </w:rPr>
            </w:r>
            <w:r>
              <w:rPr>
                <w:sz w:val="20"/>
              </w:rPr>
              <w:t>102, 102, 102</w:t>
            </w:r>
          </w:p>
        </w:tc>
        <w:tc>
          <w:tcPr>
            <w:tcW w:type="dxa" w:w="2351"/>
            <w:shd w:fill="F0F8FF"/>
          </w:tcPr>
          <w:p>
            <w:pPr>
              <w:jc w:val="left"/>
            </w:pPr>
            <w:r>
              <w:rPr>
                <w:sz w:val="20"/>
              </w:rPr>
            </w:r>
            <w:r>
              <w:rPr>
                <w:sz w:val="20"/>
              </w:rPr>
              <w:t>Secondary text, captions</w:t>
            </w:r>
          </w:p>
        </w:tc>
      </w:tr>
      <w:tr>
        <w:tc>
          <w:tcPr>
            <w:tcW w:type="dxa" w:w="2351"/>
          </w:tcPr>
          <w:p>
            <w:pPr>
              <w:jc w:val="left"/>
            </w:pPr>
            <w:r>
              <w:rPr>
                <w:sz w:val="20"/>
              </w:rPr>
            </w:r>
            <w:r>
              <w:rPr>
                <w:b/>
                <w:sz w:val="20"/>
              </w:rPr>
              <w:t>Text Light</w:t>
            </w:r>
          </w:p>
        </w:tc>
        <w:tc>
          <w:tcPr>
            <w:tcW w:type="dxa" w:w="2351"/>
          </w:tcPr>
          <w:p>
            <w:pPr>
              <w:jc w:val="left"/>
            </w:pPr>
            <w:r>
              <w:rPr>
                <w:sz w:val="20"/>
              </w:rPr>
            </w:r>
            <w:r>
              <w:rPr>
                <w:sz w:val="20"/>
              </w:rPr>
              <w:t>#999999</w:t>
            </w:r>
          </w:p>
        </w:tc>
        <w:tc>
          <w:tcPr>
            <w:tcW w:type="dxa" w:w="2351"/>
          </w:tcPr>
          <w:p>
            <w:pPr>
              <w:jc w:val="left"/>
            </w:pPr>
            <w:r>
              <w:rPr>
                <w:sz w:val="20"/>
              </w:rPr>
            </w:r>
            <w:r>
              <w:rPr>
                <w:sz w:val="20"/>
              </w:rPr>
              <w:t>153, 153, 153</w:t>
            </w:r>
          </w:p>
        </w:tc>
        <w:tc>
          <w:tcPr>
            <w:tcW w:type="dxa" w:w="2351"/>
          </w:tcPr>
          <w:p>
            <w:pPr>
              <w:jc w:val="left"/>
            </w:pPr>
            <w:r>
              <w:rPr>
                <w:sz w:val="20"/>
              </w:rPr>
            </w:r>
            <w:r>
              <w:rPr>
                <w:sz w:val="20"/>
              </w:rPr>
              <w:t>Disclaimers, footnotes</w:t>
            </w:r>
          </w:p>
        </w:tc>
      </w:tr>
      <w:tr>
        <w:tc>
          <w:tcPr>
            <w:tcW w:type="dxa" w:w="2351"/>
            <w:shd w:fill="F0F8FF"/>
          </w:tcPr>
          <w:p>
            <w:pPr>
              <w:jc w:val="left"/>
            </w:pPr>
            <w:r>
              <w:rPr>
                <w:sz w:val="20"/>
              </w:rPr>
            </w:r>
            <w:r>
              <w:rPr>
                <w:b/>
                <w:sz w:val="20"/>
              </w:rPr>
              <w:t>Light Gray</w:t>
            </w:r>
          </w:p>
        </w:tc>
        <w:tc>
          <w:tcPr>
            <w:tcW w:type="dxa" w:w="2351"/>
            <w:shd w:fill="F0F8FF"/>
          </w:tcPr>
          <w:p>
            <w:pPr>
              <w:jc w:val="left"/>
            </w:pPr>
            <w:r>
              <w:rPr>
                <w:sz w:val="20"/>
              </w:rPr>
            </w:r>
            <w:r>
              <w:rPr>
                <w:sz w:val="20"/>
              </w:rPr>
              <w:t>#F5F5F5</w:t>
            </w:r>
          </w:p>
        </w:tc>
        <w:tc>
          <w:tcPr>
            <w:tcW w:type="dxa" w:w="2351"/>
            <w:shd w:fill="F0F8FF"/>
          </w:tcPr>
          <w:p>
            <w:pPr>
              <w:jc w:val="left"/>
            </w:pPr>
            <w:r>
              <w:rPr>
                <w:sz w:val="20"/>
              </w:rPr>
            </w:r>
            <w:r>
              <w:rPr>
                <w:sz w:val="20"/>
              </w:rPr>
              <w:t>245, 245, 245</w:t>
            </w:r>
          </w:p>
        </w:tc>
        <w:tc>
          <w:tcPr>
            <w:tcW w:type="dxa" w:w="2351"/>
            <w:shd w:fill="F0F8FF"/>
          </w:tcPr>
          <w:p>
            <w:pPr>
              <w:jc w:val="left"/>
            </w:pPr>
            <w:r>
              <w:rPr>
                <w:sz w:val="20"/>
              </w:rPr>
            </w:r>
            <w:r>
              <w:rPr>
                <w:sz w:val="20"/>
              </w:rPr>
              <w:t>Subtle backgrounds</w:t>
            </w:r>
          </w:p>
        </w:tc>
      </w:tr>
      <w:tr>
        <w:tc>
          <w:tcPr>
            <w:tcW w:type="dxa" w:w="2351"/>
          </w:tcPr>
          <w:p>
            <w:pPr>
              <w:jc w:val="left"/>
            </w:pPr>
            <w:r>
              <w:rPr>
                <w:sz w:val="20"/>
              </w:rPr>
            </w:r>
            <w:r>
              <w:rPr>
                <w:b/>
                <w:sz w:val="20"/>
              </w:rPr>
              <w:t>Border Gray</w:t>
            </w:r>
          </w:p>
        </w:tc>
        <w:tc>
          <w:tcPr>
            <w:tcW w:type="dxa" w:w="2351"/>
          </w:tcPr>
          <w:p>
            <w:pPr>
              <w:jc w:val="left"/>
            </w:pPr>
            <w:r>
              <w:rPr>
                <w:sz w:val="20"/>
              </w:rPr>
            </w:r>
            <w:r>
              <w:rPr>
                <w:sz w:val="20"/>
              </w:rPr>
              <w:t>#E0E0E0</w:t>
            </w:r>
          </w:p>
        </w:tc>
        <w:tc>
          <w:tcPr>
            <w:tcW w:type="dxa" w:w="2351"/>
          </w:tcPr>
          <w:p>
            <w:pPr>
              <w:jc w:val="left"/>
            </w:pPr>
            <w:r>
              <w:rPr>
                <w:sz w:val="20"/>
              </w:rPr>
            </w:r>
            <w:r>
              <w:rPr>
                <w:sz w:val="20"/>
              </w:rPr>
              <w:t>224, 224, 224</w:t>
            </w:r>
          </w:p>
        </w:tc>
        <w:tc>
          <w:tcPr>
            <w:tcW w:type="dxa" w:w="2351"/>
          </w:tcPr>
          <w:p>
            <w:pPr>
              <w:jc w:val="left"/>
            </w:pPr>
            <w:r>
              <w:rPr>
                <w:sz w:val="20"/>
              </w:rPr>
            </w:r>
            <w:r>
              <w:rPr>
                <w:sz w:val="20"/>
              </w:rPr>
              <w:t>Borders, dividers</w:t>
            </w:r>
          </w:p>
        </w:tc>
      </w:tr>
    </w:tbl>
    <w:p/>
    <w:p>
      <w:pPr>
        <w:pStyle w:val="Heading2"/>
      </w:pPr>
      <w:r>
        <w:rPr>
          <w:b/>
          <w:color w:val="F5A623"/>
          <w:sz w:val="26"/>
        </w:rPr>
        <w:t>Brand Gradient</w:t>
      </w:r>
    </w:p>
    <w:p>
      <w:pPr>
        <w:pStyle w:val="ListBullet"/>
      </w:pPr>
      <w:r>
        <w:rPr>
          <w:b/>
        </w:rPr>
        <w:t>Direction:</w:t>
      </w:r>
      <w:r>
        <w:t xml:space="preserve"> Top to bottom (or left to right)</w:t>
      </w:r>
    </w:p>
    <w:p>
      <w:pPr>
        <w:pStyle w:val="ListBullet"/>
      </w:pPr>
      <w:r>
        <w:rPr>
          <w:b/>
        </w:rPr>
        <w:t>Start:</w:t>
      </w:r>
      <w:r>
        <w:t xml:space="preserve"> PECH Sky Blue (#00BFFF)</w:t>
      </w:r>
    </w:p>
    <w:p>
      <w:pPr>
        <w:pStyle w:val="ListBullet"/>
      </w:pPr>
      <w:r>
        <w:rPr>
          <w:b/>
        </w:rPr>
        <w:t>End:</w:t>
      </w:r>
      <w:r>
        <w:t xml:space="preserve"> PECH Orange (#F5A623)</w:t>
      </w:r>
    </w:p>
    <w:p>
      <w:pPr>
        <w:pStyle w:val="ListBullet"/>
      </w:pPr>
      <w:r>
        <w:t>Use sparingly for accent bars, decorative elements, and special features</w:t>
      </w:r>
    </w:p>
    <w:p>
      <w:pPr>
        <w:pStyle w:val="Heading2"/>
      </w:pPr>
      <w:r>
        <w:rPr>
          <w:b/>
          <w:color w:val="F5A623"/>
          <w:sz w:val="26"/>
        </w:rPr>
        <w:t>Color Usage Rules</w:t>
      </w:r>
    </w:p>
    <w:p>
      <w:pPr>
        <w:pStyle w:val="ListNumber"/>
      </w:pPr>
      <w:r>
        <w:t>Sky Blue is the dominant brand color — use it for primary headings and key visual elements</w:t>
      </w:r>
    </w:p>
    <w:p>
      <w:pPr>
        <w:pStyle w:val="ListNumber"/>
      </w:pPr>
      <w:r>
        <w:t>Orange is the accent color — use it for calls-to-action, highlights, and to draw attention</w:t>
      </w:r>
    </w:p>
    <w:p>
      <w:pPr>
        <w:pStyle w:val="ListNumber"/>
      </w:pPr>
      <w:r>
        <w:t>Never use Orange as a background for large areas</w:t>
      </w:r>
    </w:p>
    <w:p>
      <w:pPr>
        <w:pStyle w:val="ListNumber"/>
      </w:pPr>
      <w:r>
        <w:t>Maintain sufficient contrast ratio (minimum 4.5:1) for text readability</w:t>
      </w:r>
    </w:p>
    <w:p>
      <w:pPr>
        <w:pStyle w:val="ListNumber"/>
      </w:pPr>
      <w:r>
        <w:t>The gradient should only be used for decorative elements, never for text backgrounds</w:t>
      </w:r>
    </w:p>
    <w:p>
      <w:pPr>
        <w:spacing w:before="120" w:after="120"/>
        <w:pBdr>
          <w:bottom w:val="single" w:sz="4" w:space="1" w:color="00BFFF"/>
        </w:pBdr>
      </w:pPr>
    </w:p>
    <w:p>
      <w:pPr>
        <w:pStyle w:val="Heading1"/>
      </w:pPr>
      <w:r>
        <w:rPr>
          <w:b/>
          <w:color w:val="00BFFF"/>
          <w:sz w:val="32"/>
        </w:rPr>
        <w:t>4. TYPOGRAPHY</w:t>
      </w:r>
    </w:p>
    <w:p>
      <w:pPr>
        <w:pStyle w:val="Heading2"/>
      </w:pPr>
      <w:r>
        <w:rPr>
          <w:b/>
          <w:color w:val="F5A623"/>
          <w:sz w:val="26"/>
        </w:rPr>
        <w:t>Primary Typeface — Montserrat</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Weight</w:t>
            </w:r>
          </w:p>
        </w:tc>
        <w:tc>
          <w:tcPr>
            <w:tcW w:type="dxa" w:w="4703"/>
            <w:shd w:fill="00BFFF"/>
          </w:tcPr>
          <w:p>
            <w:pPr>
              <w:jc w:val="left"/>
            </w:pPr>
            <w:r>
              <w:rPr>
                <w:b/>
                <w:color w:val="FFFFFF"/>
                <w:sz w:val="20"/>
              </w:rPr>
            </w:r>
            <w:r>
              <w:rPr>
                <w:b/>
                <w:color w:val="FFFFFF"/>
                <w:sz w:val="20"/>
              </w:rPr>
              <w:t>Usage</w:t>
            </w:r>
          </w:p>
        </w:tc>
      </w:tr>
      <w:tr>
        <w:tc>
          <w:tcPr>
            <w:tcW w:type="dxa" w:w="4703"/>
          </w:tcPr>
          <w:p>
            <w:pPr>
              <w:jc w:val="left"/>
            </w:pPr>
            <w:r>
              <w:rPr>
                <w:sz w:val="20"/>
              </w:rPr>
            </w:r>
            <w:r>
              <w:rPr>
                <w:b/>
                <w:sz w:val="20"/>
              </w:rPr>
              <w:t>Montserrat Bold</w:t>
            </w:r>
          </w:p>
        </w:tc>
        <w:tc>
          <w:tcPr>
            <w:tcW w:type="dxa" w:w="4703"/>
          </w:tcPr>
          <w:p>
            <w:pPr>
              <w:jc w:val="left"/>
            </w:pPr>
            <w:r>
              <w:rPr>
                <w:sz w:val="20"/>
              </w:rPr>
            </w:r>
            <w:r>
              <w:rPr>
                <w:sz w:val="20"/>
              </w:rPr>
              <w:t>Headlines, titles, primary headings</w:t>
            </w:r>
          </w:p>
        </w:tc>
      </w:tr>
      <w:tr>
        <w:tc>
          <w:tcPr>
            <w:tcW w:type="dxa" w:w="4703"/>
            <w:shd w:fill="F0F8FF"/>
          </w:tcPr>
          <w:p>
            <w:pPr>
              <w:jc w:val="left"/>
            </w:pPr>
            <w:r>
              <w:rPr>
                <w:sz w:val="20"/>
              </w:rPr>
            </w:r>
            <w:r>
              <w:rPr>
                <w:b/>
                <w:sz w:val="20"/>
              </w:rPr>
              <w:t>Montserrat SemiBold</w:t>
            </w:r>
          </w:p>
        </w:tc>
        <w:tc>
          <w:tcPr>
            <w:tcW w:type="dxa" w:w="4703"/>
            <w:shd w:fill="F0F8FF"/>
          </w:tcPr>
          <w:p>
            <w:pPr>
              <w:jc w:val="left"/>
            </w:pPr>
            <w:r>
              <w:rPr>
                <w:sz w:val="20"/>
              </w:rPr>
            </w:r>
            <w:r>
              <w:rPr>
                <w:sz w:val="20"/>
              </w:rPr>
              <w:t>Subheadings, emphasized text</w:t>
            </w:r>
          </w:p>
        </w:tc>
      </w:tr>
      <w:tr>
        <w:tc>
          <w:tcPr>
            <w:tcW w:type="dxa" w:w="4703"/>
          </w:tcPr>
          <w:p>
            <w:pPr>
              <w:jc w:val="left"/>
            </w:pPr>
            <w:r>
              <w:rPr>
                <w:sz w:val="20"/>
              </w:rPr>
            </w:r>
            <w:r>
              <w:rPr>
                <w:b/>
                <w:sz w:val="20"/>
              </w:rPr>
              <w:t>Montserrat Medium</w:t>
            </w:r>
          </w:p>
        </w:tc>
        <w:tc>
          <w:tcPr>
            <w:tcW w:type="dxa" w:w="4703"/>
          </w:tcPr>
          <w:p>
            <w:pPr>
              <w:jc w:val="left"/>
            </w:pPr>
            <w:r>
              <w:rPr>
                <w:sz w:val="20"/>
              </w:rPr>
            </w:r>
            <w:r>
              <w:rPr>
                <w:sz w:val="20"/>
              </w:rPr>
              <w:t>Navigation, buttons, labels</w:t>
            </w:r>
          </w:p>
        </w:tc>
      </w:tr>
    </w:tbl>
    <w:p/>
    <w:p>
      <w:pPr>
        <w:pStyle w:val="Heading2"/>
      </w:pPr>
      <w:r>
        <w:rPr>
          <w:b/>
          <w:color w:val="F5A623"/>
          <w:sz w:val="26"/>
        </w:rPr>
        <w:t>Secondary Typeface — Open Sans</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Weight</w:t>
            </w:r>
          </w:p>
        </w:tc>
        <w:tc>
          <w:tcPr>
            <w:tcW w:type="dxa" w:w="4703"/>
            <w:shd w:fill="00BFFF"/>
          </w:tcPr>
          <w:p>
            <w:pPr>
              <w:jc w:val="left"/>
            </w:pPr>
            <w:r>
              <w:rPr>
                <w:b/>
                <w:color w:val="FFFFFF"/>
                <w:sz w:val="20"/>
              </w:rPr>
            </w:r>
            <w:r>
              <w:rPr>
                <w:b/>
                <w:color w:val="FFFFFF"/>
                <w:sz w:val="20"/>
              </w:rPr>
              <w:t>Usage</w:t>
            </w:r>
          </w:p>
        </w:tc>
      </w:tr>
      <w:tr>
        <w:tc>
          <w:tcPr>
            <w:tcW w:type="dxa" w:w="4703"/>
          </w:tcPr>
          <w:p>
            <w:pPr>
              <w:jc w:val="left"/>
            </w:pPr>
            <w:r>
              <w:rPr>
                <w:sz w:val="20"/>
              </w:rPr>
            </w:r>
            <w:r>
              <w:rPr>
                <w:b/>
                <w:sz w:val="20"/>
              </w:rPr>
              <w:t>Open Sans Regular</w:t>
            </w:r>
          </w:p>
        </w:tc>
        <w:tc>
          <w:tcPr>
            <w:tcW w:type="dxa" w:w="4703"/>
          </w:tcPr>
          <w:p>
            <w:pPr>
              <w:jc w:val="left"/>
            </w:pPr>
            <w:r>
              <w:rPr>
                <w:sz w:val="20"/>
              </w:rPr>
            </w:r>
            <w:r>
              <w:rPr>
                <w:sz w:val="20"/>
              </w:rPr>
              <w:t>Body text, paragraphs, descriptions</w:t>
            </w:r>
          </w:p>
        </w:tc>
      </w:tr>
      <w:tr>
        <w:tc>
          <w:tcPr>
            <w:tcW w:type="dxa" w:w="4703"/>
            <w:shd w:fill="F0F8FF"/>
          </w:tcPr>
          <w:p>
            <w:pPr>
              <w:jc w:val="left"/>
            </w:pPr>
            <w:r>
              <w:rPr>
                <w:sz w:val="20"/>
              </w:rPr>
            </w:r>
            <w:r>
              <w:rPr>
                <w:b/>
                <w:sz w:val="20"/>
              </w:rPr>
              <w:t>Open Sans SemiBold</w:t>
            </w:r>
          </w:p>
        </w:tc>
        <w:tc>
          <w:tcPr>
            <w:tcW w:type="dxa" w:w="4703"/>
            <w:shd w:fill="F0F8FF"/>
          </w:tcPr>
          <w:p>
            <w:pPr>
              <w:jc w:val="left"/>
            </w:pPr>
            <w:r>
              <w:rPr>
                <w:sz w:val="20"/>
              </w:rPr>
            </w:r>
            <w:r>
              <w:rPr>
                <w:sz w:val="20"/>
              </w:rPr>
              <w:t>Inline emphasis, table headers</w:t>
            </w:r>
          </w:p>
        </w:tc>
      </w:tr>
      <w:tr>
        <w:tc>
          <w:tcPr>
            <w:tcW w:type="dxa" w:w="4703"/>
          </w:tcPr>
          <w:p>
            <w:pPr>
              <w:jc w:val="left"/>
            </w:pPr>
            <w:r>
              <w:rPr>
                <w:sz w:val="20"/>
              </w:rPr>
            </w:r>
            <w:r>
              <w:rPr>
                <w:b/>
                <w:sz w:val="20"/>
              </w:rPr>
              <w:t>Open Sans Italic</w:t>
            </w:r>
          </w:p>
        </w:tc>
        <w:tc>
          <w:tcPr>
            <w:tcW w:type="dxa" w:w="4703"/>
          </w:tcPr>
          <w:p>
            <w:pPr>
              <w:jc w:val="left"/>
            </w:pPr>
            <w:r>
              <w:rPr>
                <w:sz w:val="20"/>
              </w:rPr>
            </w:r>
            <w:r>
              <w:rPr>
                <w:sz w:val="20"/>
              </w:rPr>
              <w:t>Quotes, taglines, captions</w:t>
            </w:r>
          </w:p>
        </w:tc>
      </w:tr>
      <w:tr>
        <w:tc>
          <w:tcPr>
            <w:tcW w:type="dxa" w:w="4703"/>
            <w:shd w:fill="F0F8FF"/>
          </w:tcPr>
          <w:p>
            <w:pPr>
              <w:jc w:val="left"/>
            </w:pPr>
            <w:r>
              <w:rPr>
                <w:sz w:val="20"/>
              </w:rPr>
            </w:r>
            <w:r>
              <w:rPr>
                <w:b/>
                <w:sz w:val="20"/>
              </w:rPr>
              <w:t>Open Sans Light</w:t>
            </w:r>
          </w:p>
        </w:tc>
        <w:tc>
          <w:tcPr>
            <w:tcW w:type="dxa" w:w="4703"/>
            <w:shd w:fill="F0F8FF"/>
          </w:tcPr>
          <w:p>
            <w:pPr>
              <w:jc w:val="left"/>
            </w:pPr>
            <w:r>
              <w:rPr>
                <w:sz w:val="20"/>
              </w:rPr>
            </w:r>
            <w:r>
              <w:rPr>
                <w:sz w:val="20"/>
              </w:rPr>
              <w:t>Large display text, subtle elements</w:t>
            </w:r>
          </w:p>
        </w:tc>
      </w:tr>
    </w:tbl>
    <w:p/>
    <w:p>
      <w:pPr>
        <w:pStyle w:val="Heading2"/>
      </w:pPr>
      <w:r>
        <w:rPr>
          <w:b/>
          <w:color w:val="F5A623"/>
          <w:sz w:val="26"/>
        </w:rPr>
        <w:t>Web-Safe Fallbacks</w:t>
      </w:r>
    </w:p>
    <w:p>
      <w:r>
        <w:t>```</w:t>
      </w:r>
    </w:p>
    <w:p>
      <w:r>
        <w:t>font-family: 'Montserrat', 'Segoe UI', 'Trebuchet MS', Arial, sans-serif;</w:t>
      </w:r>
    </w:p>
    <w:p>
      <w:r>
        <w:t>font-family: 'Open Sans', 'Helvetica Neue', Helvetica, Arial, sans-serif;</w:t>
      </w:r>
    </w:p>
    <w:p>
      <w:r>
        <w:t>```</w:t>
      </w:r>
    </w:p>
    <w:p>
      <w:pPr>
        <w:pStyle w:val="Heading2"/>
      </w:pPr>
      <w:r>
        <w:rPr>
          <w:b/>
          <w:color w:val="F5A623"/>
          <w:sz w:val="26"/>
        </w:rPr>
        <w:t>Type Scale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BFFF"/>
          </w:tcPr>
          <w:p>
            <w:pPr>
              <w:jc w:val="left"/>
            </w:pPr>
            <w:r>
              <w:rPr>
                <w:b/>
                <w:color w:val="FFFFFF"/>
                <w:sz w:val="20"/>
              </w:rPr>
            </w:r>
            <w:r>
              <w:rPr>
                <w:b/>
                <w:color w:val="FFFFFF"/>
                <w:sz w:val="20"/>
              </w:rPr>
              <w:t>Element</w:t>
            </w:r>
          </w:p>
        </w:tc>
        <w:tc>
          <w:tcPr>
            <w:tcW w:type="dxa" w:w="1881"/>
            <w:shd w:fill="00BFFF"/>
          </w:tcPr>
          <w:p>
            <w:pPr>
              <w:jc w:val="left"/>
            </w:pPr>
            <w:r>
              <w:rPr>
                <w:b/>
                <w:color w:val="FFFFFF"/>
                <w:sz w:val="20"/>
              </w:rPr>
            </w:r>
            <w:r>
              <w:rPr>
                <w:b/>
                <w:color w:val="FFFFFF"/>
                <w:sz w:val="20"/>
              </w:rPr>
              <w:t>Font</w:t>
            </w:r>
          </w:p>
        </w:tc>
        <w:tc>
          <w:tcPr>
            <w:tcW w:type="dxa" w:w="1881"/>
            <w:shd w:fill="00BFFF"/>
          </w:tcPr>
          <w:p>
            <w:pPr>
              <w:jc w:val="left"/>
            </w:pPr>
            <w:r>
              <w:rPr>
                <w:b/>
                <w:color w:val="FFFFFF"/>
                <w:sz w:val="20"/>
              </w:rPr>
            </w:r>
            <w:r>
              <w:rPr>
                <w:b/>
                <w:color w:val="FFFFFF"/>
                <w:sz w:val="20"/>
              </w:rPr>
              <w:t>Size</w:t>
            </w:r>
          </w:p>
        </w:tc>
        <w:tc>
          <w:tcPr>
            <w:tcW w:type="dxa" w:w="1881"/>
            <w:shd w:fill="00BFFF"/>
          </w:tcPr>
          <w:p>
            <w:pPr>
              <w:jc w:val="left"/>
            </w:pPr>
            <w:r>
              <w:rPr>
                <w:b/>
                <w:color w:val="FFFFFF"/>
                <w:sz w:val="20"/>
              </w:rPr>
            </w:r>
            <w:r>
              <w:rPr>
                <w:b/>
                <w:color w:val="FFFFFF"/>
                <w:sz w:val="20"/>
              </w:rPr>
              <w:t>Weight</w:t>
            </w:r>
          </w:p>
        </w:tc>
        <w:tc>
          <w:tcPr>
            <w:tcW w:type="dxa" w:w="1881"/>
            <w:shd w:fill="00BFFF"/>
          </w:tcPr>
          <w:p>
            <w:pPr>
              <w:jc w:val="left"/>
            </w:pPr>
            <w:r>
              <w:rPr>
                <w:b/>
                <w:color w:val="FFFFFF"/>
                <w:sz w:val="20"/>
              </w:rPr>
            </w:r>
            <w:r>
              <w:rPr>
                <w:b/>
                <w:color w:val="FFFFFF"/>
                <w:sz w:val="20"/>
              </w:rPr>
              <w:t>Color</w:t>
            </w:r>
          </w:p>
        </w:tc>
      </w:tr>
      <w:tr>
        <w:tc>
          <w:tcPr>
            <w:tcW w:type="dxa" w:w="1881"/>
          </w:tcPr>
          <w:p>
            <w:pPr>
              <w:jc w:val="left"/>
            </w:pPr>
            <w:r>
              <w:rPr>
                <w:sz w:val="20"/>
              </w:rPr>
            </w:r>
            <w:r>
              <w:rPr>
                <w:sz w:val="20"/>
              </w:rPr>
              <w:t>H1 (Page Title)</w:t>
            </w:r>
          </w:p>
        </w:tc>
        <w:tc>
          <w:tcPr>
            <w:tcW w:type="dxa" w:w="1881"/>
          </w:tcPr>
          <w:p>
            <w:pPr>
              <w:jc w:val="left"/>
            </w:pPr>
            <w:r>
              <w:rPr>
                <w:sz w:val="20"/>
              </w:rPr>
            </w:r>
            <w:r>
              <w:rPr>
                <w:sz w:val="20"/>
              </w:rPr>
              <w:t>Montserrat</w:t>
            </w:r>
          </w:p>
        </w:tc>
        <w:tc>
          <w:tcPr>
            <w:tcW w:type="dxa" w:w="1881"/>
          </w:tcPr>
          <w:p>
            <w:pPr>
              <w:jc w:val="left"/>
            </w:pPr>
            <w:r>
              <w:rPr>
                <w:sz w:val="20"/>
              </w:rPr>
            </w:r>
            <w:r>
              <w:rPr>
                <w:sz w:val="20"/>
              </w:rPr>
              <w:t>36-48pt</w:t>
            </w:r>
          </w:p>
        </w:tc>
        <w:tc>
          <w:tcPr>
            <w:tcW w:type="dxa" w:w="1881"/>
          </w:tcPr>
          <w:p>
            <w:pPr>
              <w:jc w:val="left"/>
            </w:pPr>
            <w:r>
              <w:rPr>
                <w:sz w:val="20"/>
              </w:rPr>
            </w:r>
            <w:r>
              <w:rPr>
                <w:sz w:val="20"/>
              </w:rPr>
              <w:t>Bold</w:t>
            </w:r>
          </w:p>
        </w:tc>
        <w:tc>
          <w:tcPr>
            <w:tcW w:type="dxa" w:w="1881"/>
          </w:tcPr>
          <w:p>
            <w:pPr>
              <w:jc w:val="left"/>
            </w:pPr>
            <w:r>
              <w:rPr>
                <w:sz w:val="20"/>
              </w:rPr>
            </w:r>
            <w:r>
              <w:rPr>
                <w:sz w:val="20"/>
              </w:rPr>
              <w:t>Sky Blue</w:t>
            </w:r>
          </w:p>
        </w:tc>
      </w:tr>
      <w:tr>
        <w:tc>
          <w:tcPr>
            <w:tcW w:type="dxa" w:w="1881"/>
            <w:shd w:fill="F0F8FF"/>
          </w:tcPr>
          <w:p>
            <w:pPr>
              <w:jc w:val="left"/>
            </w:pPr>
            <w:r>
              <w:rPr>
                <w:sz w:val="20"/>
              </w:rPr>
            </w:r>
            <w:r>
              <w:rPr>
                <w:sz w:val="20"/>
              </w:rPr>
              <w:t>H2 (Section)</w:t>
            </w:r>
          </w:p>
        </w:tc>
        <w:tc>
          <w:tcPr>
            <w:tcW w:type="dxa" w:w="1881"/>
            <w:shd w:fill="F0F8FF"/>
          </w:tcPr>
          <w:p>
            <w:pPr>
              <w:jc w:val="left"/>
            </w:pPr>
            <w:r>
              <w:rPr>
                <w:sz w:val="20"/>
              </w:rPr>
            </w:r>
            <w:r>
              <w:rPr>
                <w:sz w:val="20"/>
              </w:rPr>
              <w:t>Montserrat</w:t>
            </w:r>
          </w:p>
        </w:tc>
        <w:tc>
          <w:tcPr>
            <w:tcW w:type="dxa" w:w="1881"/>
            <w:shd w:fill="F0F8FF"/>
          </w:tcPr>
          <w:p>
            <w:pPr>
              <w:jc w:val="left"/>
            </w:pPr>
            <w:r>
              <w:rPr>
                <w:sz w:val="20"/>
              </w:rPr>
            </w:r>
            <w:r>
              <w:rPr>
                <w:sz w:val="20"/>
              </w:rPr>
              <w:t>24-32pt</w:t>
            </w:r>
          </w:p>
        </w:tc>
        <w:tc>
          <w:tcPr>
            <w:tcW w:type="dxa" w:w="1881"/>
            <w:shd w:fill="F0F8FF"/>
          </w:tcPr>
          <w:p>
            <w:pPr>
              <w:jc w:val="left"/>
            </w:pPr>
            <w:r>
              <w:rPr>
                <w:sz w:val="20"/>
              </w:rPr>
            </w:r>
            <w:r>
              <w:rPr>
                <w:sz w:val="20"/>
              </w:rPr>
              <w:t>Bold</w:t>
            </w:r>
          </w:p>
        </w:tc>
        <w:tc>
          <w:tcPr>
            <w:tcW w:type="dxa" w:w="1881"/>
            <w:shd w:fill="F0F8FF"/>
          </w:tcPr>
          <w:p>
            <w:pPr>
              <w:jc w:val="left"/>
            </w:pPr>
            <w:r>
              <w:rPr>
                <w:sz w:val="20"/>
              </w:rPr>
            </w:r>
            <w:r>
              <w:rPr>
                <w:sz w:val="20"/>
              </w:rPr>
              <w:t>Dark Blue</w:t>
            </w:r>
          </w:p>
        </w:tc>
      </w:tr>
      <w:tr>
        <w:tc>
          <w:tcPr>
            <w:tcW w:type="dxa" w:w="1881"/>
          </w:tcPr>
          <w:p>
            <w:pPr>
              <w:jc w:val="left"/>
            </w:pPr>
            <w:r>
              <w:rPr>
                <w:sz w:val="20"/>
              </w:rPr>
            </w:r>
            <w:r>
              <w:rPr>
                <w:sz w:val="20"/>
              </w:rPr>
              <w:t>H3 (Subsection)</w:t>
            </w:r>
          </w:p>
        </w:tc>
        <w:tc>
          <w:tcPr>
            <w:tcW w:type="dxa" w:w="1881"/>
          </w:tcPr>
          <w:p>
            <w:pPr>
              <w:jc w:val="left"/>
            </w:pPr>
            <w:r>
              <w:rPr>
                <w:sz w:val="20"/>
              </w:rPr>
            </w:r>
            <w:r>
              <w:rPr>
                <w:sz w:val="20"/>
              </w:rPr>
              <w:t>Montserrat</w:t>
            </w:r>
          </w:p>
        </w:tc>
        <w:tc>
          <w:tcPr>
            <w:tcW w:type="dxa" w:w="1881"/>
          </w:tcPr>
          <w:p>
            <w:pPr>
              <w:jc w:val="left"/>
            </w:pPr>
            <w:r>
              <w:rPr>
                <w:sz w:val="20"/>
              </w:rPr>
            </w:r>
            <w:r>
              <w:rPr>
                <w:sz w:val="20"/>
              </w:rPr>
              <w:t>18-22pt</w:t>
            </w:r>
          </w:p>
        </w:tc>
        <w:tc>
          <w:tcPr>
            <w:tcW w:type="dxa" w:w="1881"/>
          </w:tcPr>
          <w:p>
            <w:pPr>
              <w:jc w:val="left"/>
            </w:pPr>
            <w:r>
              <w:rPr>
                <w:sz w:val="20"/>
              </w:rPr>
            </w:r>
            <w:r>
              <w:rPr>
                <w:sz w:val="20"/>
              </w:rPr>
              <w:t>SemiBold</w:t>
            </w:r>
          </w:p>
        </w:tc>
        <w:tc>
          <w:tcPr>
            <w:tcW w:type="dxa" w:w="1881"/>
          </w:tcPr>
          <w:p>
            <w:pPr>
              <w:jc w:val="left"/>
            </w:pPr>
            <w:r>
              <w:rPr>
                <w:sz w:val="20"/>
              </w:rPr>
            </w:r>
            <w:r>
              <w:rPr>
                <w:sz w:val="20"/>
              </w:rPr>
              <w:t>#333333</w:t>
            </w:r>
          </w:p>
        </w:tc>
      </w:tr>
      <w:tr>
        <w:tc>
          <w:tcPr>
            <w:tcW w:type="dxa" w:w="1881"/>
            <w:shd w:fill="F0F8FF"/>
          </w:tcPr>
          <w:p>
            <w:pPr>
              <w:jc w:val="left"/>
            </w:pPr>
            <w:r>
              <w:rPr>
                <w:sz w:val="20"/>
              </w:rPr>
            </w:r>
            <w:r>
              <w:rPr>
                <w:sz w:val="20"/>
              </w:rPr>
              <w:t>Body</w:t>
            </w:r>
          </w:p>
        </w:tc>
        <w:tc>
          <w:tcPr>
            <w:tcW w:type="dxa" w:w="1881"/>
            <w:shd w:fill="F0F8FF"/>
          </w:tcPr>
          <w:p>
            <w:pPr>
              <w:jc w:val="left"/>
            </w:pPr>
            <w:r>
              <w:rPr>
                <w:sz w:val="20"/>
              </w:rPr>
            </w:r>
            <w:r>
              <w:rPr>
                <w:sz w:val="20"/>
              </w:rPr>
              <w:t>Open Sans</w:t>
            </w:r>
          </w:p>
        </w:tc>
        <w:tc>
          <w:tcPr>
            <w:tcW w:type="dxa" w:w="1881"/>
            <w:shd w:fill="F0F8FF"/>
          </w:tcPr>
          <w:p>
            <w:pPr>
              <w:jc w:val="left"/>
            </w:pPr>
            <w:r>
              <w:rPr>
                <w:sz w:val="20"/>
              </w:rPr>
            </w:r>
            <w:r>
              <w:rPr>
                <w:sz w:val="20"/>
              </w:rPr>
              <w:t>14-16pt</w:t>
            </w:r>
          </w:p>
        </w:tc>
        <w:tc>
          <w:tcPr>
            <w:tcW w:type="dxa" w:w="1881"/>
            <w:shd w:fill="F0F8FF"/>
          </w:tcPr>
          <w:p>
            <w:pPr>
              <w:jc w:val="left"/>
            </w:pPr>
            <w:r>
              <w:rPr>
                <w:sz w:val="20"/>
              </w:rPr>
            </w:r>
            <w:r>
              <w:rPr>
                <w:sz w:val="20"/>
              </w:rPr>
              <w:t>Regular</w:t>
            </w:r>
          </w:p>
        </w:tc>
        <w:tc>
          <w:tcPr>
            <w:tcW w:type="dxa" w:w="1881"/>
            <w:shd w:fill="F0F8FF"/>
          </w:tcPr>
          <w:p>
            <w:pPr>
              <w:jc w:val="left"/>
            </w:pPr>
            <w:r>
              <w:rPr>
                <w:sz w:val="20"/>
              </w:rPr>
            </w:r>
            <w:r>
              <w:rPr>
                <w:sz w:val="20"/>
              </w:rPr>
              <w:t>#333333</w:t>
            </w:r>
          </w:p>
        </w:tc>
      </w:tr>
      <w:tr>
        <w:tc>
          <w:tcPr>
            <w:tcW w:type="dxa" w:w="1881"/>
          </w:tcPr>
          <w:p>
            <w:pPr>
              <w:jc w:val="left"/>
            </w:pPr>
            <w:r>
              <w:rPr>
                <w:sz w:val="20"/>
              </w:rPr>
            </w:r>
            <w:r>
              <w:rPr>
                <w:sz w:val="20"/>
              </w:rPr>
              <w:t>Caption</w:t>
            </w:r>
          </w:p>
        </w:tc>
        <w:tc>
          <w:tcPr>
            <w:tcW w:type="dxa" w:w="1881"/>
          </w:tcPr>
          <w:p>
            <w:pPr>
              <w:jc w:val="left"/>
            </w:pPr>
            <w:r>
              <w:rPr>
                <w:sz w:val="20"/>
              </w:rPr>
            </w:r>
            <w:r>
              <w:rPr>
                <w:sz w:val="20"/>
              </w:rPr>
              <w:t>Open Sans</w:t>
            </w:r>
          </w:p>
        </w:tc>
        <w:tc>
          <w:tcPr>
            <w:tcW w:type="dxa" w:w="1881"/>
          </w:tcPr>
          <w:p>
            <w:pPr>
              <w:jc w:val="left"/>
            </w:pPr>
            <w:r>
              <w:rPr>
                <w:sz w:val="20"/>
              </w:rPr>
            </w:r>
            <w:r>
              <w:rPr>
                <w:sz w:val="20"/>
              </w:rPr>
              <w:t>11-12pt</w:t>
            </w:r>
          </w:p>
        </w:tc>
        <w:tc>
          <w:tcPr>
            <w:tcW w:type="dxa" w:w="1881"/>
          </w:tcPr>
          <w:p>
            <w:pPr>
              <w:jc w:val="left"/>
            </w:pPr>
            <w:r>
              <w:rPr>
                <w:sz w:val="20"/>
              </w:rPr>
            </w:r>
            <w:r>
              <w:rPr>
                <w:sz w:val="20"/>
              </w:rPr>
              <w:t>Regular</w:t>
            </w:r>
          </w:p>
        </w:tc>
        <w:tc>
          <w:tcPr>
            <w:tcW w:type="dxa" w:w="1881"/>
          </w:tcPr>
          <w:p>
            <w:pPr>
              <w:jc w:val="left"/>
            </w:pPr>
            <w:r>
              <w:rPr>
                <w:sz w:val="20"/>
              </w:rPr>
            </w:r>
            <w:r>
              <w:rPr>
                <w:sz w:val="20"/>
              </w:rPr>
              <w:t>#666666</w:t>
            </w:r>
          </w:p>
        </w:tc>
      </w:tr>
      <w:tr>
        <w:tc>
          <w:tcPr>
            <w:tcW w:type="dxa" w:w="1881"/>
            <w:shd w:fill="F0F8FF"/>
          </w:tcPr>
          <w:p>
            <w:pPr>
              <w:jc w:val="left"/>
            </w:pPr>
            <w:r>
              <w:rPr>
                <w:sz w:val="20"/>
              </w:rPr>
            </w:r>
            <w:r>
              <w:rPr>
                <w:sz w:val="20"/>
              </w:rPr>
              <w:t>Small/Legal</w:t>
            </w:r>
          </w:p>
        </w:tc>
        <w:tc>
          <w:tcPr>
            <w:tcW w:type="dxa" w:w="1881"/>
            <w:shd w:fill="F0F8FF"/>
          </w:tcPr>
          <w:p>
            <w:pPr>
              <w:jc w:val="left"/>
            </w:pPr>
            <w:r>
              <w:rPr>
                <w:sz w:val="20"/>
              </w:rPr>
            </w:r>
            <w:r>
              <w:rPr>
                <w:sz w:val="20"/>
              </w:rPr>
              <w:t>Open Sans</w:t>
            </w:r>
          </w:p>
        </w:tc>
        <w:tc>
          <w:tcPr>
            <w:tcW w:type="dxa" w:w="1881"/>
            <w:shd w:fill="F0F8FF"/>
          </w:tcPr>
          <w:p>
            <w:pPr>
              <w:jc w:val="left"/>
            </w:pPr>
            <w:r>
              <w:rPr>
                <w:sz w:val="20"/>
              </w:rPr>
            </w:r>
            <w:r>
              <w:rPr>
                <w:sz w:val="20"/>
              </w:rPr>
              <w:t>9-10pt</w:t>
            </w:r>
          </w:p>
        </w:tc>
        <w:tc>
          <w:tcPr>
            <w:tcW w:type="dxa" w:w="1881"/>
            <w:shd w:fill="F0F8FF"/>
          </w:tcPr>
          <w:p>
            <w:pPr>
              <w:jc w:val="left"/>
            </w:pPr>
            <w:r>
              <w:rPr>
                <w:sz w:val="20"/>
              </w:rPr>
            </w:r>
            <w:r>
              <w:rPr>
                <w:sz w:val="20"/>
              </w:rPr>
              <w:t>Regular</w:t>
            </w:r>
          </w:p>
        </w:tc>
        <w:tc>
          <w:tcPr>
            <w:tcW w:type="dxa" w:w="1881"/>
            <w:shd w:fill="F0F8FF"/>
          </w:tcPr>
          <w:p>
            <w:pPr>
              <w:jc w:val="left"/>
            </w:pPr>
            <w:r>
              <w:rPr>
                <w:sz w:val="20"/>
              </w:rPr>
            </w:r>
            <w:r>
              <w:rPr>
                <w:sz w:val="20"/>
              </w:rPr>
              <w:t>#999999</w:t>
            </w:r>
          </w:p>
        </w:tc>
      </w:tr>
    </w:tbl>
    <w:p/>
    <w:p>
      <w:pPr>
        <w:spacing w:before="120" w:after="120"/>
        <w:pBdr>
          <w:bottom w:val="single" w:sz="4" w:space="1" w:color="00BFFF"/>
        </w:pBdr>
      </w:pPr>
    </w:p>
    <w:p>
      <w:pPr>
        <w:pStyle w:val="Heading1"/>
      </w:pPr>
      <w:r>
        <w:rPr>
          <w:b/>
          <w:color w:val="00BFFF"/>
          <w:sz w:val="32"/>
        </w:rPr>
        <w:t>5. IMAGERY STYLE</w:t>
      </w:r>
    </w:p>
    <w:p>
      <w:pPr>
        <w:pStyle w:val="Heading2"/>
      </w:pPr>
      <w:r>
        <w:rPr>
          <w:b/>
          <w:color w:val="F5A623"/>
          <w:sz w:val="26"/>
        </w:rPr>
        <w:t>Photography Guidelines</w:t>
      </w:r>
    </w:p>
    <w:p>
      <w:pPr>
        <w:pStyle w:val="ListBullet"/>
      </w:pPr>
      <w:r>
        <w:rPr>
          <w:b/>
        </w:rPr>
        <w:t>Modern and clean</w:t>
      </w:r>
      <w:r>
        <w:t xml:space="preserve"> — Avoid cluttered or low-quality images</w:t>
      </w:r>
    </w:p>
    <w:p>
      <w:pPr>
        <w:pStyle w:val="ListBullet"/>
      </w:pPr>
      <w:r>
        <w:rPr>
          <w:b/>
        </w:rPr>
        <w:t>African-focused</w:t>
      </w:r>
      <w:r>
        <w:t xml:space="preserve"> — Feature African people, landscapes, and settings</w:t>
      </w:r>
    </w:p>
    <w:p>
      <w:pPr>
        <w:pStyle w:val="ListBullet"/>
      </w:pPr>
      <w:r>
        <w:rPr>
          <w:b/>
        </w:rPr>
        <w:t>Technology themes</w:t>
      </w:r>
      <w:r>
        <w:t xml:space="preserve"> — IoT devices, solar panels, smart systems, data visualizations</w:t>
      </w:r>
    </w:p>
    <w:p>
      <w:pPr>
        <w:pStyle w:val="ListBullet"/>
      </w:pPr>
      <w:r>
        <w:rPr>
          <w:b/>
        </w:rPr>
        <w:t>Warm lighting</w:t>
      </w:r>
      <w:r>
        <w:t xml:space="preserve"> — Align with brand's optimistic and warm tone</w:t>
      </w:r>
    </w:p>
    <w:p>
      <w:pPr>
        <w:pStyle w:val="ListBullet"/>
      </w:pPr>
      <w:r>
        <w:rPr>
          <w:b/>
        </w:rPr>
        <w:t>Authentic</w:t>
      </w:r>
      <w:r>
        <w:t xml:space="preserve"> — Use real scenarios over staged stock photos where possible</w:t>
      </w:r>
    </w:p>
    <w:p>
      <w:pPr>
        <w:pStyle w:val="Heading2"/>
      </w:pPr>
      <w:r>
        <w:rPr>
          <w:b/>
          <w:color w:val="F5A623"/>
          <w:sz w:val="26"/>
        </w:rPr>
        <w:t>Image Treatment</w:t>
      </w:r>
    </w:p>
    <w:p>
      <w:pPr>
        <w:pStyle w:val="ListBullet"/>
      </w:pPr>
      <w:r>
        <w:t>Apply a subtle Sky Blue or Dark overlay (#1B2838 at 60% opacity) for text overlay images</w:t>
      </w:r>
    </w:p>
    <w:p>
      <w:pPr>
        <w:pStyle w:val="ListBullet"/>
      </w:pPr>
      <w:r>
        <w:t>Round corners (8px radius) for inline images in presentations/web</w:t>
      </w:r>
    </w:p>
    <w:p>
      <w:pPr>
        <w:pStyle w:val="ListBullet"/>
      </w:pPr>
      <w:r>
        <w:t>Use brand gradient as a border or accent on featured images</w:t>
      </w:r>
    </w:p>
    <w:p>
      <w:pPr>
        <w:pStyle w:val="Heading2"/>
      </w:pPr>
      <w:r>
        <w:rPr>
          <w:b/>
          <w:color w:val="F5A623"/>
          <w:sz w:val="26"/>
        </w:rPr>
        <w:t>Iconography</w:t>
      </w:r>
    </w:p>
    <w:p>
      <w:pPr>
        <w:pStyle w:val="ListBullet"/>
      </w:pPr>
      <w:r>
        <w:t>Style: Line icons with 2px stroke weight</w:t>
      </w:r>
    </w:p>
    <w:p>
      <w:pPr>
        <w:pStyle w:val="ListBullet"/>
      </w:pPr>
      <w:r>
        <w:t>Primary color: Sky Blue (#00BFFF)</w:t>
      </w:r>
    </w:p>
    <w:p>
      <w:pPr>
        <w:pStyle w:val="ListBullet"/>
      </w:pPr>
      <w:r>
        <w:t>Secondary color: Orange (#F5A623) for active/selected states</w:t>
      </w:r>
    </w:p>
    <w:p>
      <w:pPr>
        <w:pStyle w:val="ListBullet"/>
      </w:pPr>
      <w:r>
        <w:t>Maintain consistent icon size within each context</w:t>
      </w:r>
    </w:p>
    <w:p>
      <w:pPr>
        <w:spacing w:before="120" w:after="120"/>
        <w:pBdr>
          <w:bottom w:val="single" w:sz="4" w:space="1" w:color="00BFFF"/>
        </w:pBdr>
      </w:pPr>
    </w:p>
    <w:p>
      <w:pPr>
        <w:pStyle w:val="Heading1"/>
      </w:pPr>
      <w:r>
        <w:rPr>
          <w:b/>
          <w:color w:val="00BFFF"/>
          <w:sz w:val="32"/>
        </w:rPr>
        <w:t>6. TONE OF VOICE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BFFF"/>
          </w:tcPr>
          <w:p>
            <w:pPr>
              <w:jc w:val="left"/>
            </w:pPr>
            <w:r>
              <w:rPr>
                <w:b/>
                <w:color w:val="FFFFFF"/>
                <w:sz w:val="20"/>
              </w:rPr>
            </w:r>
            <w:r>
              <w:rPr>
                <w:b/>
                <w:color w:val="FFFFFF"/>
                <w:sz w:val="20"/>
              </w:rPr>
              <w:t>Attribute</w:t>
            </w:r>
          </w:p>
        </w:tc>
        <w:tc>
          <w:tcPr>
            <w:tcW w:type="dxa" w:w="3135"/>
            <w:shd w:fill="00BFFF"/>
          </w:tcPr>
          <w:p>
            <w:pPr>
              <w:jc w:val="left"/>
            </w:pPr>
            <w:r>
              <w:rPr>
                <w:b/>
                <w:color w:val="FFFFFF"/>
                <w:sz w:val="20"/>
              </w:rPr>
            </w:r>
            <w:r>
              <w:rPr>
                <w:b/>
                <w:color w:val="FFFFFF"/>
                <w:sz w:val="20"/>
              </w:rPr>
              <w:t>Description</w:t>
            </w:r>
          </w:p>
        </w:tc>
        <w:tc>
          <w:tcPr>
            <w:tcW w:type="dxa" w:w="3135"/>
            <w:shd w:fill="00BFFF"/>
          </w:tcPr>
          <w:p>
            <w:pPr>
              <w:jc w:val="left"/>
            </w:pPr>
            <w:r>
              <w:rPr>
                <w:b/>
                <w:color w:val="FFFFFF"/>
                <w:sz w:val="20"/>
              </w:rPr>
            </w:r>
            <w:r>
              <w:rPr>
                <w:b/>
                <w:color w:val="FFFFFF"/>
                <w:sz w:val="20"/>
              </w:rPr>
              <w:t>Example</w:t>
            </w:r>
          </w:p>
        </w:tc>
      </w:tr>
      <w:tr>
        <w:tc>
          <w:tcPr>
            <w:tcW w:type="dxa" w:w="3135"/>
          </w:tcPr>
          <w:p>
            <w:pPr>
              <w:jc w:val="left"/>
            </w:pPr>
            <w:r>
              <w:rPr>
                <w:sz w:val="20"/>
              </w:rPr>
            </w:r>
            <w:r>
              <w:rPr>
                <w:b/>
                <w:sz w:val="20"/>
              </w:rPr>
              <w:t>Professional</w:t>
            </w:r>
          </w:p>
        </w:tc>
        <w:tc>
          <w:tcPr>
            <w:tcW w:type="dxa" w:w="3135"/>
          </w:tcPr>
          <w:p>
            <w:pPr>
              <w:jc w:val="left"/>
            </w:pPr>
            <w:r>
              <w:rPr>
                <w:sz w:val="20"/>
              </w:rPr>
            </w:r>
            <w:r>
              <w:rPr>
                <w:sz w:val="20"/>
              </w:rPr>
              <w:t>Competent and knowledgeable, but not stiff</w:t>
            </w:r>
          </w:p>
        </w:tc>
        <w:tc>
          <w:tcPr>
            <w:tcW w:type="dxa" w:w="3135"/>
          </w:tcPr>
          <w:p>
            <w:pPr>
              <w:jc w:val="left"/>
            </w:pPr>
            <w:r>
              <w:rPr>
                <w:sz w:val="20"/>
              </w:rPr>
            </w:r>
            <w:r>
              <w:rPr>
                <w:sz w:val="20"/>
              </w:rPr>
              <w:t>"Our IoT solutions deliver measurable results for businesses across Africa."</w:t>
            </w:r>
          </w:p>
        </w:tc>
      </w:tr>
      <w:tr>
        <w:tc>
          <w:tcPr>
            <w:tcW w:type="dxa" w:w="3135"/>
            <w:shd w:fill="F0F8FF"/>
          </w:tcPr>
          <w:p>
            <w:pPr>
              <w:jc w:val="left"/>
            </w:pPr>
            <w:r>
              <w:rPr>
                <w:sz w:val="20"/>
              </w:rPr>
            </w:r>
            <w:r>
              <w:rPr>
                <w:b/>
                <w:sz w:val="20"/>
              </w:rPr>
              <w:t>Warm</w:t>
            </w:r>
          </w:p>
        </w:tc>
        <w:tc>
          <w:tcPr>
            <w:tcW w:type="dxa" w:w="3135"/>
            <w:shd w:fill="F0F8FF"/>
          </w:tcPr>
          <w:p>
            <w:pPr>
              <w:jc w:val="left"/>
            </w:pPr>
            <w:r>
              <w:rPr>
                <w:sz w:val="20"/>
              </w:rPr>
            </w:r>
            <w:r>
              <w:rPr>
                <w:sz w:val="20"/>
              </w:rPr>
              <w:t>Friendly and approachable, people-first</w:t>
            </w:r>
          </w:p>
        </w:tc>
        <w:tc>
          <w:tcPr>
            <w:tcW w:type="dxa" w:w="3135"/>
            <w:shd w:fill="F0F8FF"/>
          </w:tcPr>
          <w:p>
            <w:pPr>
              <w:jc w:val="left"/>
            </w:pPr>
            <w:r>
              <w:rPr>
                <w:sz w:val="20"/>
              </w:rPr>
            </w:r>
            <w:r>
              <w:rPr>
                <w:sz w:val="20"/>
              </w:rPr>
              <w:t>"We're here to help you power your future."</w:t>
            </w:r>
          </w:p>
        </w:tc>
      </w:tr>
      <w:tr>
        <w:tc>
          <w:tcPr>
            <w:tcW w:type="dxa" w:w="3135"/>
          </w:tcPr>
          <w:p>
            <w:pPr>
              <w:jc w:val="left"/>
            </w:pPr>
            <w:r>
              <w:rPr>
                <w:sz w:val="20"/>
              </w:rPr>
            </w:r>
            <w:r>
              <w:rPr>
                <w:b/>
                <w:sz w:val="20"/>
              </w:rPr>
              <w:t>Innovative</w:t>
            </w:r>
          </w:p>
        </w:tc>
        <w:tc>
          <w:tcPr>
            <w:tcW w:type="dxa" w:w="3135"/>
          </w:tcPr>
          <w:p>
            <w:pPr>
              <w:jc w:val="left"/>
            </w:pPr>
            <w:r>
              <w:rPr>
                <w:sz w:val="20"/>
              </w:rPr>
            </w:r>
            <w:r>
              <w:rPr>
                <w:sz w:val="20"/>
              </w:rPr>
              <w:t>Forward-thinking, solution-oriented</w:t>
            </w:r>
          </w:p>
        </w:tc>
        <w:tc>
          <w:tcPr>
            <w:tcW w:type="dxa" w:w="3135"/>
          </w:tcPr>
          <w:p>
            <w:pPr>
              <w:jc w:val="left"/>
            </w:pPr>
            <w:r>
              <w:rPr>
                <w:sz w:val="20"/>
              </w:rPr>
            </w:r>
            <w:r>
              <w:rPr>
                <w:sz w:val="20"/>
              </w:rPr>
              <w:t>"Reimagining how Africa connects with smart technology."</w:t>
            </w:r>
          </w:p>
        </w:tc>
      </w:tr>
      <w:tr>
        <w:tc>
          <w:tcPr>
            <w:tcW w:type="dxa" w:w="3135"/>
            <w:shd w:fill="F0F8FF"/>
          </w:tcPr>
          <w:p>
            <w:pPr>
              <w:jc w:val="left"/>
            </w:pPr>
            <w:r>
              <w:rPr>
                <w:sz w:val="20"/>
              </w:rPr>
            </w:r>
            <w:r>
              <w:rPr>
                <w:b/>
                <w:sz w:val="20"/>
              </w:rPr>
              <w:t>Trustworthy</w:t>
            </w:r>
          </w:p>
        </w:tc>
        <w:tc>
          <w:tcPr>
            <w:tcW w:type="dxa" w:w="3135"/>
            <w:shd w:fill="F0F8FF"/>
          </w:tcPr>
          <w:p>
            <w:pPr>
              <w:jc w:val="left"/>
            </w:pPr>
            <w:r>
              <w:rPr>
                <w:sz w:val="20"/>
              </w:rPr>
            </w:r>
            <w:r>
              <w:rPr>
                <w:sz w:val="20"/>
              </w:rPr>
              <w:t>Honest, transparent, reliable</w:t>
            </w:r>
          </w:p>
        </w:tc>
        <w:tc>
          <w:tcPr>
            <w:tcW w:type="dxa" w:w="3135"/>
            <w:shd w:fill="F0F8FF"/>
          </w:tcPr>
          <w:p>
            <w:pPr>
              <w:jc w:val="left"/>
            </w:pPr>
            <w:r>
              <w:rPr>
                <w:sz w:val="20"/>
              </w:rPr>
            </w:r>
            <w:r>
              <w:rPr>
                <w:sz w:val="20"/>
              </w:rPr>
              <w:t>"Quality you can count on — that's the PECH promise."</w:t>
            </w:r>
          </w:p>
        </w:tc>
      </w:tr>
    </w:tbl>
    <w:p/>
    <w:p>
      <w:pPr>
        <w:pStyle w:val="Heading2"/>
      </w:pPr>
      <w:r>
        <w:rPr>
          <w:b/>
          <w:color w:val="F5A623"/>
          <w:sz w:val="26"/>
        </w:rPr>
        <w:t>Writing Guidelines</w:t>
      </w:r>
    </w:p>
    <w:p>
      <w:pPr>
        <w:pStyle w:val="ListNumber"/>
      </w:pPr>
      <w:r>
        <w:t>Use active voice over passive voice</w:t>
      </w:r>
    </w:p>
    <w:p>
      <w:pPr>
        <w:pStyle w:val="ListNumber"/>
      </w:pPr>
      <w:r>
        <w:t>Write in clear, simple language — avoid unnecessary jargon</w:t>
      </w:r>
    </w:p>
    <w:p>
      <w:pPr>
        <w:pStyle w:val="ListNumber"/>
      </w:pPr>
      <w:r>
        <w:t>When using technical terms, provide brief explanations</w:t>
      </w:r>
    </w:p>
    <w:p>
      <w:pPr>
        <w:pStyle w:val="ListNumber"/>
      </w:pPr>
      <w:r>
        <w:t>Be specific and data-driven where possible</w:t>
      </w:r>
    </w:p>
    <w:p>
      <w:pPr>
        <w:pStyle w:val="ListNumber"/>
      </w:pPr>
      <w:r>
        <w:t>Address the reader directly ("you" not "one" or "the customer")</w:t>
      </w:r>
    </w:p>
    <w:p>
      <w:pPr>
        <w:pStyle w:val="ListNumber"/>
      </w:pPr>
      <w:r>
        <w:t>Keep sentences concise — aim for 15-20 words per sentence</w:t>
      </w:r>
    </w:p>
    <w:p>
      <w:pPr>
        <w:spacing w:before="120" w:after="120"/>
        <w:pBdr>
          <w:bottom w:val="single" w:sz="4" w:space="1" w:color="00BFFF"/>
        </w:pBdr>
      </w:pPr>
    </w:p>
    <w:p>
      <w:pPr>
        <w:pStyle w:val="Heading1"/>
      </w:pPr>
      <w:r>
        <w:rPr>
          <w:b/>
          <w:color w:val="00BFFF"/>
          <w:sz w:val="32"/>
        </w:rPr>
        <w:t>7. BRAND APPLICATIONS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BFFF"/>
          </w:tcPr>
          <w:p>
            <w:pPr>
              <w:jc w:val="left"/>
            </w:pPr>
            <w:r>
              <w:rPr>
                <w:b/>
                <w:color w:val="FFFFFF"/>
                <w:sz w:val="20"/>
              </w:rPr>
            </w:r>
            <w:r>
              <w:rPr>
                <w:b/>
                <w:color w:val="FFFFFF"/>
                <w:sz w:val="20"/>
              </w:rPr>
              <w:t>Application</w:t>
            </w:r>
          </w:p>
        </w:tc>
        <w:tc>
          <w:tcPr>
            <w:tcW w:type="dxa" w:w="2351"/>
            <w:shd w:fill="00BFFF"/>
          </w:tcPr>
          <w:p>
            <w:pPr>
              <w:jc w:val="left"/>
            </w:pPr>
            <w:r>
              <w:rPr>
                <w:b/>
                <w:color w:val="FFFFFF"/>
                <w:sz w:val="20"/>
              </w:rPr>
            </w:r>
            <w:r>
              <w:rPr>
                <w:b/>
                <w:color w:val="FFFFFF"/>
                <w:sz w:val="20"/>
              </w:rPr>
              <w:t>Primary Color</w:t>
            </w:r>
          </w:p>
        </w:tc>
        <w:tc>
          <w:tcPr>
            <w:tcW w:type="dxa" w:w="2351"/>
            <w:shd w:fill="00BFFF"/>
          </w:tcPr>
          <w:p>
            <w:pPr>
              <w:jc w:val="left"/>
            </w:pPr>
            <w:r>
              <w:rPr>
                <w:b/>
                <w:color w:val="FFFFFF"/>
                <w:sz w:val="20"/>
              </w:rPr>
            </w:r>
            <w:r>
              <w:rPr>
                <w:b/>
                <w:color w:val="FFFFFF"/>
                <w:sz w:val="20"/>
              </w:rPr>
              <w:t>Secondary Color</w:t>
            </w:r>
          </w:p>
        </w:tc>
        <w:tc>
          <w:tcPr>
            <w:tcW w:type="dxa" w:w="2351"/>
            <w:shd w:fill="00BFFF"/>
          </w:tcPr>
          <w:p>
            <w:pPr>
              <w:jc w:val="left"/>
            </w:pPr>
            <w:r>
              <w:rPr>
                <w:b/>
                <w:color w:val="FFFFFF"/>
                <w:sz w:val="20"/>
              </w:rPr>
            </w:r>
            <w:r>
              <w:rPr>
                <w:b/>
                <w:color w:val="FFFFFF"/>
                <w:sz w:val="20"/>
              </w:rPr>
              <w:t>Font</w:t>
            </w:r>
          </w:p>
        </w:tc>
      </w:tr>
      <w:tr>
        <w:tc>
          <w:tcPr>
            <w:tcW w:type="dxa" w:w="2351"/>
          </w:tcPr>
          <w:p>
            <w:pPr>
              <w:jc w:val="left"/>
            </w:pPr>
            <w:r>
              <w:rPr>
                <w:sz w:val="20"/>
              </w:rPr>
            </w:r>
            <w:r>
              <w:rPr>
                <w:sz w:val="20"/>
              </w:rPr>
              <w:t>Letterhead</w:t>
            </w:r>
          </w:p>
        </w:tc>
        <w:tc>
          <w:tcPr>
            <w:tcW w:type="dxa" w:w="2351"/>
          </w:tcPr>
          <w:p>
            <w:pPr>
              <w:jc w:val="left"/>
            </w:pPr>
            <w:r>
              <w:rPr>
                <w:sz w:val="20"/>
              </w:rPr>
            </w:r>
            <w:r>
              <w:rPr>
                <w:sz w:val="20"/>
              </w:rPr>
              <w:t>Sky Blue header</w:t>
            </w:r>
          </w:p>
        </w:tc>
        <w:tc>
          <w:tcPr>
            <w:tcW w:type="dxa" w:w="2351"/>
          </w:tcPr>
          <w:p>
            <w:pPr>
              <w:jc w:val="left"/>
            </w:pPr>
            <w:r>
              <w:rPr>
                <w:sz w:val="20"/>
              </w:rPr>
            </w:r>
            <w:r>
              <w:rPr>
                <w:sz w:val="20"/>
              </w:rPr>
              <w:t>Orange footer accent</w:t>
            </w:r>
          </w:p>
        </w:tc>
        <w:tc>
          <w:tcPr>
            <w:tcW w:type="dxa" w:w="2351"/>
          </w:tcPr>
          <w:p>
            <w:pPr>
              <w:jc w:val="left"/>
            </w:pPr>
            <w:r>
              <w:rPr>
                <w:sz w:val="20"/>
              </w:rPr>
            </w:r>
            <w:r>
              <w:rPr>
                <w:sz w:val="20"/>
              </w:rPr>
              <w:t>Montserrat + Open Sans</w:t>
            </w:r>
          </w:p>
        </w:tc>
      </w:tr>
      <w:tr>
        <w:tc>
          <w:tcPr>
            <w:tcW w:type="dxa" w:w="2351"/>
            <w:shd w:fill="F0F8FF"/>
          </w:tcPr>
          <w:p>
            <w:pPr>
              <w:jc w:val="left"/>
            </w:pPr>
            <w:r>
              <w:rPr>
                <w:sz w:val="20"/>
              </w:rPr>
            </w:r>
            <w:r>
              <w:rPr>
                <w:sz w:val="20"/>
              </w:rPr>
              <w:t>Business Cards</w:t>
            </w:r>
          </w:p>
        </w:tc>
        <w:tc>
          <w:tcPr>
            <w:tcW w:type="dxa" w:w="2351"/>
            <w:shd w:fill="F0F8FF"/>
          </w:tcPr>
          <w:p>
            <w:pPr>
              <w:jc w:val="left"/>
            </w:pPr>
            <w:r>
              <w:rPr>
                <w:sz w:val="20"/>
              </w:rPr>
            </w:r>
            <w:r>
              <w:rPr>
                <w:sz w:val="20"/>
              </w:rPr>
              <w:t>Sky Blue bar + Dark BG</w:t>
            </w:r>
          </w:p>
        </w:tc>
        <w:tc>
          <w:tcPr>
            <w:tcW w:type="dxa" w:w="2351"/>
            <w:shd w:fill="F0F8FF"/>
          </w:tcPr>
          <w:p>
            <w:pPr>
              <w:jc w:val="left"/>
            </w:pPr>
            <w:r>
              <w:rPr>
                <w:sz w:val="20"/>
              </w:rPr>
            </w:r>
            <w:r>
              <w:rPr>
                <w:sz w:val="20"/>
              </w:rPr>
              <w:t>Orange accent</w:t>
            </w:r>
          </w:p>
        </w:tc>
        <w:tc>
          <w:tcPr>
            <w:tcW w:type="dxa" w:w="2351"/>
            <w:shd w:fill="F0F8FF"/>
          </w:tcPr>
          <w:p>
            <w:pPr>
              <w:jc w:val="left"/>
            </w:pPr>
            <w:r>
              <w:rPr>
                <w:sz w:val="20"/>
              </w:rPr>
            </w:r>
            <w:r>
              <w:rPr>
                <w:sz w:val="20"/>
              </w:rPr>
              <w:t>Montserrat + Open Sans</w:t>
            </w:r>
          </w:p>
        </w:tc>
      </w:tr>
      <w:tr>
        <w:tc>
          <w:tcPr>
            <w:tcW w:type="dxa" w:w="2351"/>
          </w:tcPr>
          <w:p>
            <w:pPr>
              <w:jc w:val="left"/>
            </w:pPr>
            <w:r>
              <w:rPr>
                <w:sz w:val="20"/>
              </w:rPr>
            </w:r>
            <w:r>
              <w:rPr>
                <w:sz w:val="20"/>
              </w:rPr>
              <w:t>Email Signature</w:t>
            </w:r>
          </w:p>
        </w:tc>
        <w:tc>
          <w:tcPr>
            <w:tcW w:type="dxa" w:w="2351"/>
          </w:tcPr>
          <w:p>
            <w:pPr>
              <w:jc w:val="left"/>
            </w:pPr>
            <w:r>
              <w:rPr>
                <w:sz w:val="20"/>
              </w:rPr>
            </w:r>
            <w:r>
              <w:rPr>
                <w:sz w:val="20"/>
              </w:rPr>
              <w:t>Sky Blue name</w:t>
            </w:r>
          </w:p>
        </w:tc>
        <w:tc>
          <w:tcPr>
            <w:tcW w:type="dxa" w:w="2351"/>
          </w:tcPr>
          <w:p>
            <w:pPr>
              <w:jc w:val="left"/>
            </w:pPr>
            <w:r>
              <w:rPr>
                <w:sz w:val="20"/>
              </w:rPr>
            </w:r>
            <w:r>
              <w:rPr>
                <w:sz w:val="20"/>
              </w:rPr>
              <w:t>Orange divider</w:t>
            </w:r>
          </w:p>
        </w:tc>
        <w:tc>
          <w:tcPr>
            <w:tcW w:type="dxa" w:w="2351"/>
          </w:tcPr>
          <w:p>
            <w:pPr>
              <w:jc w:val="left"/>
            </w:pPr>
            <w:r>
              <w:rPr>
                <w:sz w:val="20"/>
              </w:rPr>
            </w:r>
            <w:r>
              <w:rPr>
                <w:sz w:val="20"/>
              </w:rPr>
              <w:t>Arial (email-safe)</w:t>
            </w:r>
          </w:p>
        </w:tc>
      </w:tr>
      <w:tr>
        <w:tc>
          <w:tcPr>
            <w:tcW w:type="dxa" w:w="2351"/>
            <w:shd w:fill="F0F8FF"/>
          </w:tcPr>
          <w:p>
            <w:pPr>
              <w:jc w:val="left"/>
            </w:pPr>
            <w:r>
              <w:rPr>
                <w:sz w:val="20"/>
              </w:rPr>
            </w:r>
            <w:r>
              <w:rPr>
                <w:sz w:val="20"/>
              </w:rPr>
              <w:t>Presentations</w:t>
            </w:r>
          </w:p>
        </w:tc>
        <w:tc>
          <w:tcPr>
            <w:tcW w:type="dxa" w:w="2351"/>
            <w:shd w:fill="F0F8FF"/>
          </w:tcPr>
          <w:p>
            <w:pPr>
              <w:jc w:val="left"/>
            </w:pPr>
            <w:r>
              <w:rPr>
                <w:sz w:val="20"/>
              </w:rPr>
            </w:r>
            <w:r>
              <w:rPr>
                <w:sz w:val="20"/>
              </w:rPr>
              <w:t>Sky Blue headings</w:t>
            </w:r>
          </w:p>
        </w:tc>
        <w:tc>
          <w:tcPr>
            <w:tcW w:type="dxa" w:w="2351"/>
            <w:shd w:fill="F0F8FF"/>
          </w:tcPr>
          <w:p>
            <w:pPr>
              <w:jc w:val="left"/>
            </w:pPr>
            <w:r>
              <w:rPr>
                <w:sz w:val="20"/>
              </w:rPr>
            </w:r>
            <w:r>
              <w:rPr>
                <w:sz w:val="20"/>
              </w:rPr>
              <w:t>Orange accents</w:t>
            </w:r>
          </w:p>
        </w:tc>
        <w:tc>
          <w:tcPr>
            <w:tcW w:type="dxa" w:w="2351"/>
            <w:shd w:fill="F0F8FF"/>
          </w:tcPr>
          <w:p>
            <w:pPr>
              <w:jc w:val="left"/>
            </w:pPr>
            <w:r>
              <w:rPr>
                <w:sz w:val="20"/>
              </w:rPr>
            </w:r>
            <w:r>
              <w:rPr>
                <w:sz w:val="20"/>
              </w:rPr>
              <w:t>Montserrat + Open Sans</w:t>
            </w:r>
          </w:p>
        </w:tc>
      </w:tr>
      <w:tr>
        <w:tc>
          <w:tcPr>
            <w:tcW w:type="dxa" w:w="2351"/>
          </w:tcPr>
          <w:p>
            <w:pPr>
              <w:jc w:val="left"/>
            </w:pPr>
            <w:r>
              <w:rPr>
                <w:sz w:val="20"/>
              </w:rPr>
            </w:r>
            <w:r>
              <w:rPr>
                <w:sz w:val="20"/>
              </w:rPr>
              <w:t>Social Media</w:t>
            </w:r>
          </w:p>
        </w:tc>
        <w:tc>
          <w:tcPr>
            <w:tcW w:type="dxa" w:w="2351"/>
          </w:tcPr>
          <w:p>
            <w:pPr>
              <w:jc w:val="left"/>
            </w:pPr>
            <w:r>
              <w:rPr>
                <w:sz w:val="20"/>
              </w:rPr>
            </w:r>
            <w:r>
              <w:rPr>
                <w:sz w:val="20"/>
              </w:rPr>
              <w:t>Varies by template</w:t>
            </w:r>
          </w:p>
        </w:tc>
        <w:tc>
          <w:tcPr>
            <w:tcW w:type="dxa" w:w="2351"/>
          </w:tcPr>
          <w:p>
            <w:pPr>
              <w:jc w:val="left"/>
            </w:pPr>
            <w:r>
              <w:rPr>
                <w:sz w:val="20"/>
              </w:rPr>
            </w:r>
            <w:r>
              <w:rPr>
                <w:sz w:val="20"/>
              </w:rPr>
              <w:t>Gradient accents</w:t>
            </w:r>
          </w:p>
        </w:tc>
        <w:tc>
          <w:tcPr>
            <w:tcW w:type="dxa" w:w="2351"/>
          </w:tcPr>
          <w:p>
            <w:pPr>
              <w:jc w:val="left"/>
            </w:pPr>
            <w:r>
              <w:rPr>
                <w:sz w:val="20"/>
              </w:rPr>
            </w:r>
            <w:r>
              <w:rPr>
                <w:sz w:val="20"/>
              </w:rPr>
              <w:t>Montserrat + Open Sans</w:t>
            </w:r>
          </w:p>
        </w:tc>
      </w:tr>
      <w:tr>
        <w:tc>
          <w:tcPr>
            <w:tcW w:type="dxa" w:w="2351"/>
            <w:shd w:fill="F0F8FF"/>
          </w:tcPr>
          <w:p>
            <w:pPr>
              <w:jc w:val="left"/>
            </w:pPr>
            <w:r>
              <w:rPr>
                <w:sz w:val="20"/>
              </w:rPr>
            </w:r>
            <w:r>
              <w:rPr>
                <w:sz w:val="20"/>
              </w:rPr>
              <w:t>Invoices/Docs</w:t>
            </w:r>
          </w:p>
        </w:tc>
        <w:tc>
          <w:tcPr>
            <w:tcW w:type="dxa" w:w="2351"/>
            <w:shd w:fill="F0F8FF"/>
          </w:tcPr>
          <w:p>
            <w:pPr>
              <w:jc w:val="left"/>
            </w:pPr>
            <w:r>
              <w:rPr>
                <w:sz w:val="20"/>
              </w:rPr>
            </w:r>
            <w:r>
              <w:rPr>
                <w:sz w:val="20"/>
              </w:rPr>
              <w:t>Sky Blue header</w:t>
            </w:r>
          </w:p>
        </w:tc>
        <w:tc>
          <w:tcPr>
            <w:tcW w:type="dxa" w:w="2351"/>
            <w:shd w:fill="F0F8FF"/>
          </w:tcPr>
          <w:p>
            <w:pPr>
              <w:jc w:val="left"/>
            </w:pPr>
            <w:r>
              <w:rPr>
                <w:sz w:val="20"/>
              </w:rPr>
            </w:r>
            <w:r>
              <w:rPr>
                <w:sz w:val="20"/>
              </w:rPr>
              <w:t>Orange total highlight</w:t>
            </w:r>
          </w:p>
        </w:tc>
        <w:tc>
          <w:tcPr>
            <w:tcW w:type="dxa" w:w="2351"/>
            <w:shd w:fill="F0F8FF"/>
          </w:tcPr>
          <w:p>
            <w:pPr>
              <w:jc w:val="left"/>
            </w:pPr>
            <w:r>
              <w:rPr>
                <w:sz w:val="20"/>
              </w:rPr>
            </w:r>
            <w:r>
              <w:rPr>
                <w:sz w:val="20"/>
              </w:rPr>
              <w:t>Open Sans</w:t>
            </w:r>
          </w:p>
        </w:tc>
      </w:tr>
      <w:tr>
        <w:tc>
          <w:tcPr>
            <w:tcW w:type="dxa" w:w="2351"/>
          </w:tcPr>
          <w:p>
            <w:pPr>
              <w:jc w:val="left"/>
            </w:pPr>
            <w:r>
              <w:rPr>
                <w:sz w:val="20"/>
              </w:rPr>
            </w:r>
            <w:r>
              <w:rPr>
                <w:sz w:val="20"/>
              </w:rPr>
              <w:t>Signage</w:t>
            </w:r>
          </w:p>
        </w:tc>
        <w:tc>
          <w:tcPr>
            <w:tcW w:type="dxa" w:w="2351"/>
          </w:tcPr>
          <w:p>
            <w:pPr>
              <w:jc w:val="left"/>
            </w:pPr>
            <w:r>
              <w:rPr>
                <w:sz w:val="20"/>
              </w:rPr>
            </w:r>
            <w:r>
              <w:rPr>
                <w:sz w:val="20"/>
              </w:rPr>
              <w:t>Sky Blue primary</w:t>
            </w:r>
          </w:p>
        </w:tc>
        <w:tc>
          <w:tcPr>
            <w:tcW w:type="dxa" w:w="2351"/>
          </w:tcPr>
          <w:p>
            <w:pPr>
              <w:jc w:val="left"/>
            </w:pPr>
            <w:r>
              <w:rPr>
                <w:sz w:val="20"/>
              </w:rPr>
            </w:r>
            <w:r>
              <w:rPr>
                <w:sz w:val="20"/>
              </w:rPr>
              <w:t>Orange wayfinding</w:t>
            </w:r>
          </w:p>
        </w:tc>
        <w:tc>
          <w:tcPr>
            <w:tcW w:type="dxa" w:w="2351"/>
          </w:tcPr>
          <w:p>
            <w:pPr>
              <w:jc w:val="left"/>
            </w:pPr>
            <w:r>
              <w:rPr>
                <w:sz w:val="20"/>
              </w:rPr>
            </w:r>
            <w:r>
              <w:rPr>
                <w:sz w:val="20"/>
              </w:rPr>
              <w:t>Montserrat</w:t>
            </w:r>
          </w:p>
        </w:tc>
      </w:tr>
      <w:tr>
        <w:tc>
          <w:tcPr>
            <w:tcW w:type="dxa" w:w="2351"/>
            <w:shd w:fill="F0F8FF"/>
          </w:tcPr>
          <w:p>
            <w:pPr>
              <w:jc w:val="left"/>
            </w:pPr>
            <w:r>
              <w:rPr>
                <w:sz w:val="20"/>
              </w:rPr>
            </w:r>
            <w:r>
              <w:rPr>
                <w:sz w:val="20"/>
              </w:rPr>
              <w:t>Merchandise</w:t>
            </w:r>
          </w:p>
        </w:tc>
        <w:tc>
          <w:tcPr>
            <w:tcW w:type="dxa" w:w="2351"/>
            <w:shd w:fill="F0F8FF"/>
          </w:tcPr>
          <w:p>
            <w:pPr>
              <w:jc w:val="left"/>
            </w:pPr>
            <w:r>
              <w:rPr>
                <w:sz w:val="20"/>
              </w:rPr>
            </w:r>
            <w:r>
              <w:rPr>
                <w:sz w:val="20"/>
              </w:rPr>
              <w:t>Dark BG + Logo</w:t>
            </w:r>
          </w:p>
        </w:tc>
        <w:tc>
          <w:tcPr>
            <w:tcW w:type="dxa" w:w="2351"/>
            <w:shd w:fill="F0F8FF"/>
          </w:tcPr>
          <w:p>
            <w:pPr>
              <w:jc w:val="left"/>
            </w:pPr>
            <w:r>
              <w:rPr>
                <w:sz w:val="20"/>
              </w:rPr>
            </w:r>
            <w:r>
              <w:rPr>
                <w:sz w:val="20"/>
              </w:rPr>
              <w:t>Sky Blue + Orange</w:t>
            </w:r>
          </w:p>
        </w:tc>
        <w:tc>
          <w:tcPr>
            <w:tcW w:type="dxa" w:w="2351"/>
            <w:shd w:fill="F0F8FF"/>
          </w:tcPr>
          <w:p>
            <w:pPr>
              <w:jc w:val="left"/>
            </w:pPr>
            <w:r>
              <w:rPr>
                <w:sz w:val="20"/>
              </w:rPr>
            </w:r>
            <w:r>
              <w:rPr>
                <w:sz w:val="20"/>
              </w:rPr>
              <w:t>Montserrat</w:t>
            </w:r>
          </w:p>
        </w:tc>
      </w:tr>
    </w:tbl>
    <w:p/>
    <w:p>
      <w:pPr>
        <w:spacing w:before="120" w:after="120"/>
        <w:pBdr>
          <w:bottom w:val="single" w:sz="4" w:space="1" w:color="00BFFF"/>
        </w:pBdr>
      </w:pPr>
    </w:p>
    <w:p>
      <w:pPr>
        <w:pStyle w:val="Heading1"/>
      </w:pPr>
      <w:r>
        <w:rPr>
          <w:b/>
          <w:color w:val="00BFFF"/>
          <w:sz w:val="32"/>
        </w:rPr>
        <w:t>8. INCORRECT USAGE EXAMPLES</w:t>
      </w:r>
    </w:p>
    <w:tbl>
      <w:tblPr>
        <w:tblStyle w:val="TableGrid"/>
        <w:tblW w:type="auto" w:w="0"/>
        <w:jc w:val="center"/>
        <w:tblLook w:firstColumn="1" w:firstRow="1" w:lastColumn="0" w:lastRow="0" w:noHBand="0" w:noVBand="1" w:val="04A0"/>
      </w:tblPr>
      <w:tblGrid>
        <w:gridCol w:w="4703"/>
        <w:gridCol w:w="4703"/>
      </w:tblGrid>
      <w:tr>
        <w:tc>
          <w:tcPr>
            <w:tcW w:type="dxa" w:w="4703"/>
            <w:shd w:fill="00BFFF"/>
          </w:tcPr>
          <w:p>
            <w:pPr>
              <w:jc w:val="left"/>
            </w:pPr>
            <w:r>
              <w:rPr>
                <w:b/>
                <w:color w:val="FFFFFF"/>
                <w:sz w:val="20"/>
              </w:rPr>
            </w:r>
            <w:r>
              <w:rPr>
                <w:b/>
                <w:color w:val="FFFFFF"/>
                <w:sz w:val="20"/>
              </w:rPr>
              <w:t>Violation</w:t>
            </w:r>
          </w:p>
        </w:tc>
        <w:tc>
          <w:tcPr>
            <w:tcW w:type="dxa" w:w="4703"/>
            <w:shd w:fill="00BFFF"/>
          </w:tcPr>
          <w:p>
            <w:pPr>
              <w:jc w:val="left"/>
            </w:pPr>
            <w:r>
              <w:rPr>
                <w:b/>
                <w:color w:val="FFFFFF"/>
                <w:sz w:val="20"/>
              </w:rPr>
            </w:r>
            <w:r>
              <w:rPr>
                <w:b/>
                <w:color w:val="FFFFFF"/>
                <w:sz w:val="20"/>
              </w:rPr>
              <w:t>Why It's Wrong</w:t>
            </w:r>
          </w:p>
        </w:tc>
      </w:tr>
      <w:tr>
        <w:tc>
          <w:tcPr>
            <w:tcW w:type="dxa" w:w="4703"/>
          </w:tcPr>
          <w:p>
            <w:pPr>
              <w:jc w:val="left"/>
            </w:pPr>
            <w:r>
              <w:rPr>
                <w:sz w:val="20"/>
              </w:rPr>
            </w:r>
            <w:r>
              <w:rPr>
                <w:sz w:val="20"/>
              </w:rPr>
              <w:t>Using red or green as brand colors</w:t>
            </w:r>
          </w:p>
        </w:tc>
        <w:tc>
          <w:tcPr>
            <w:tcW w:type="dxa" w:w="4703"/>
          </w:tcPr>
          <w:p>
            <w:pPr>
              <w:jc w:val="left"/>
            </w:pPr>
            <w:r>
              <w:rPr>
                <w:sz w:val="20"/>
              </w:rPr>
            </w:r>
            <w:r>
              <w:rPr>
                <w:sz w:val="20"/>
              </w:rPr>
              <w:t>Not in the brand palette</w:t>
            </w:r>
          </w:p>
        </w:tc>
      </w:tr>
      <w:tr>
        <w:tc>
          <w:tcPr>
            <w:tcW w:type="dxa" w:w="4703"/>
            <w:shd w:fill="F0F8FF"/>
          </w:tcPr>
          <w:p>
            <w:pPr>
              <w:jc w:val="left"/>
            </w:pPr>
            <w:r>
              <w:rPr>
                <w:sz w:val="20"/>
              </w:rPr>
            </w:r>
            <w:r>
              <w:rPr>
                <w:sz w:val="20"/>
              </w:rPr>
              <w:t>Placing logo on a busy photograph without overlay</w:t>
            </w:r>
          </w:p>
        </w:tc>
        <w:tc>
          <w:tcPr>
            <w:tcW w:type="dxa" w:w="4703"/>
            <w:shd w:fill="F0F8FF"/>
          </w:tcPr>
          <w:p>
            <w:pPr>
              <w:jc w:val="left"/>
            </w:pPr>
            <w:r>
              <w:rPr>
                <w:sz w:val="20"/>
              </w:rPr>
            </w:r>
            <w:r>
              <w:rPr>
                <w:sz w:val="20"/>
              </w:rPr>
              <w:t>Poor visibility and contrast</w:t>
            </w:r>
          </w:p>
        </w:tc>
      </w:tr>
      <w:tr>
        <w:tc>
          <w:tcPr>
            <w:tcW w:type="dxa" w:w="4703"/>
          </w:tcPr>
          <w:p>
            <w:pPr>
              <w:jc w:val="left"/>
            </w:pPr>
            <w:r>
              <w:rPr>
                <w:sz w:val="20"/>
              </w:rPr>
            </w:r>
            <w:r>
              <w:rPr>
                <w:sz w:val="20"/>
              </w:rPr>
              <w:t>Using Comic Sans or decorative fonts</w:t>
            </w:r>
          </w:p>
        </w:tc>
        <w:tc>
          <w:tcPr>
            <w:tcW w:type="dxa" w:w="4703"/>
          </w:tcPr>
          <w:p>
            <w:pPr>
              <w:jc w:val="left"/>
            </w:pPr>
            <w:r>
              <w:rPr>
                <w:sz w:val="20"/>
              </w:rPr>
            </w:r>
            <w:r>
              <w:rPr>
                <w:sz w:val="20"/>
              </w:rPr>
              <w:t>Does not align with professional brand image</w:t>
            </w:r>
          </w:p>
        </w:tc>
      </w:tr>
      <w:tr>
        <w:tc>
          <w:tcPr>
            <w:tcW w:type="dxa" w:w="4703"/>
            <w:shd w:fill="F0F8FF"/>
          </w:tcPr>
          <w:p>
            <w:pPr>
              <w:jc w:val="left"/>
            </w:pPr>
            <w:r>
              <w:rPr>
                <w:sz w:val="20"/>
              </w:rPr>
            </w:r>
            <w:r>
              <w:rPr>
                <w:sz w:val="20"/>
              </w:rPr>
              <w:t>Stretching the logo to fit a space</w:t>
            </w:r>
          </w:p>
        </w:tc>
        <w:tc>
          <w:tcPr>
            <w:tcW w:type="dxa" w:w="4703"/>
            <w:shd w:fill="F0F8FF"/>
          </w:tcPr>
          <w:p>
            <w:pPr>
              <w:jc w:val="left"/>
            </w:pPr>
            <w:r>
              <w:rPr>
                <w:sz w:val="20"/>
              </w:rPr>
            </w:r>
            <w:r>
              <w:rPr>
                <w:sz w:val="20"/>
              </w:rPr>
              <w:t>Distorts brand identity</w:t>
            </w:r>
          </w:p>
        </w:tc>
      </w:tr>
      <w:tr>
        <w:tc>
          <w:tcPr>
            <w:tcW w:type="dxa" w:w="4703"/>
          </w:tcPr>
          <w:p>
            <w:pPr>
              <w:jc w:val="left"/>
            </w:pPr>
            <w:r>
              <w:rPr>
                <w:sz w:val="20"/>
              </w:rPr>
            </w:r>
            <w:r>
              <w:rPr>
                <w:sz w:val="20"/>
              </w:rPr>
              <w:t>Using Orange as a large background color</w:t>
            </w:r>
          </w:p>
        </w:tc>
        <w:tc>
          <w:tcPr>
            <w:tcW w:type="dxa" w:w="4703"/>
          </w:tcPr>
          <w:p>
            <w:pPr>
              <w:jc w:val="left"/>
            </w:pPr>
            <w:r>
              <w:rPr>
                <w:sz w:val="20"/>
              </w:rPr>
            </w:r>
            <w:r>
              <w:rPr>
                <w:sz w:val="20"/>
              </w:rPr>
              <w:t>Orange is an accent color only</w:t>
            </w:r>
          </w:p>
        </w:tc>
      </w:tr>
      <w:tr>
        <w:tc>
          <w:tcPr>
            <w:tcW w:type="dxa" w:w="4703"/>
            <w:shd w:fill="F0F8FF"/>
          </w:tcPr>
          <w:p>
            <w:pPr>
              <w:jc w:val="left"/>
            </w:pPr>
            <w:r>
              <w:rPr>
                <w:sz w:val="20"/>
              </w:rPr>
            </w:r>
            <w:r>
              <w:rPr>
                <w:sz w:val="20"/>
              </w:rPr>
              <w:t>Mixing brand blue with different shades of blue</w:t>
            </w:r>
          </w:p>
        </w:tc>
        <w:tc>
          <w:tcPr>
            <w:tcW w:type="dxa" w:w="4703"/>
            <w:shd w:fill="F0F8FF"/>
          </w:tcPr>
          <w:p>
            <w:pPr>
              <w:jc w:val="left"/>
            </w:pPr>
            <w:r>
              <w:rPr>
                <w:sz w:val="20"/>
              </w:rPr>
            </w:r>
            <w:r>
              <w:rPr>
                <w:sz w:val="20"/>
              </w:rPr>
              <w:t>Creates inconsistency</w:t>
            </w:r>
          </w:p>
        </w:tc>
      </w:tr>
      <w:tr>
        <w:tc>
          <w:tcPr>
            <w:tcW w:type="dxa" w:w="4703"/>
          </w:tcPr>
          <w:p>
            <w:pPr>
              <w:jc w:val="left"/>
            </w:pPr>
            <w:r>
              <w:rPr>
                <w:sz w:val="20"/>
              </w:rPr>
            </w:r>
            <w:r>
              <w:rPr>
                <w:sz w:val="20"/>
              </w:rPr>
              <w:t>Using low-resolution logo files</w:t>
            </w:r>
          </w:p>
        </w:tc>
        <w:tc>
          <w:tcPr>
            <w:tcW w:type="dxa" w:w="4703"/>
          </w:tcPr>
          <w:p>
            <w:pPr>
              <w:jc w:val="left"/>
            </w:pPr>
            <w:r>
              <w:rPr>
                <w:sz w:val="20"/>
              </w:rPr>
            </w:r>
            <w:r>
              <w:rPr>
                <w:sz w:val="20"/>
              </w:rPr>
              <w:t>Appears unprofessional</w:t>
            </w:r>
          </w:p>
        </w:tc>
      </w:tr>
      <w:tr>
        <w:tc>
          <w:tcPr>
            <w:tcW w:type="dxa" w:w="4703"/>
            <w:shd w:fill="F0F8FF"/>
          </w:tcPr>
          <w:p>
            <w:pPr>
              <w:jc w:val="left"/>
            </w:pPr>
            <w:r>
              <w:rPr>
                <w:sz w:val="20"/>
              </w:rPr>
            </w:r>
            <w:r>
              <w:rPr>
                <w:sz w:val="20"/>
              </w:rPr>
              <w:t>Adding shadows or 3D effects to the logo</w:t>
            </w:r>
          </w:p>
        </w:tc>
        <w:tc>
          <w:tcPr>
            <w:tcW w:type="dxa" w:w="4703"/>
            <w:shd w:fill="F0F8FF"/>
          </w:tcPr>
          <w:p>
            <w:pPr>
              <w:jc w:val="left"/>
            </w:pPr>
            <w:r>
              <w:rPr>
                <w:sz w:val="20"/>
              </w:rPr>
            </w:r>
            <w:r>
              <w:rPr>
                <w:sz w:val="20"/>
              </w:rPr>
              <w:t>Violates logo integrity</w:t>
            </w:r>
          </w:p>
        </w:tc>
      </w:tr>
    </w:tbl>
    <w:p/>
    <w:p>
      <w:pPr>
        <w:spacing w:before="120" w:after="120"/>
        <w:pBdr>
          <w:bottom w:val="single" w:sz="4" w:space="1" w:color="00BFFF"/>
        </w:pBdr>
      </w:pPr>
    </w:p>
    <w:p>
      <w:r>
        <w:rPr>
          <w:b/>
        </w:rPr>
        <w:t>PECH Group Holdings Ltd</w:t>
      </w:r>
      <w:r>
        <w:t xml:space="preserve"> — </w:t>
      </w:r>
      <w:r>
        <w:rPr>
          <w:i/>
        </w:rPr>
        <w:t>Technology &amp; Infrastructure Enablers for People</w:t>
      </w:r>
    </w:p>
    <w:p>
      <w:r>
        <w:rPr>
          <w:i/>
        </w:rPr>
        <w:t>This Brand Guidelines document is effective as of March 2026. All marketing, communications, and design work produced for or by PECH Group Holdings Ltd must comply with these guidelines. For questions or approval of special applications, contact the Marketing Department.</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99CC"/>
        <w:sz w:val="16"/>
      </w:rPr>
      <w:t>PECH Group Holdings Ltd — Technology &amp; Infrastructure Enablers for People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