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700000" cy="390466"/>
            <wp:docPr id="1" name="Picture 1"/>
            <wp:cNvGraphicFramePr>
              <a:graphicFrameLocks noChangeAspect="1"/>
            </wp:cNvGraphicFramePr>
            <a:graphic>
              <a:graphicData uri="http://schemas.openxmlformats.org/drawingml/2006/picture">
                <pic:pic>
                  <pic:nvPicPr>
                    <pic:cNvPr id="0" name="color (2).png"/>
                    <pic:cNvPicPr/>
                  </pic:nvPicPr>
                  <pic:blipFill>
                    <a:blip r:embed="rId10"/>
                    <a:stretch>
                      <a:fillRect/>
                    </a:stretch>
                  </pic:blipFill>
                  <pic:spPr>
                    <a:xfrm>
                      <a:off x="0" y="0"/>
                      <a:ext cx="2700000" cy="390466"/>
                    </a:xfrm>
                    <a:prstGeom prst="rect"/>
                  </pic:spPr>
                </pic:pic>
              </a:graphicData>
            </a:graphic>
          </wp:inline>
        </w:drawing>
      </w:r>
    </w:p>
    <w:p>
      <w:pPr>
        <w:pStyle w:val="Title"/>
      </w:pPr>
      <w:r>
        <w:t>Техническое задание</w:t>
        <w:br/>
        <w:t>на лендинг CITYNET</w:t>
      </w:r>
    </w:p>
    <w:p>
      <w:pPr>
        <w:pStyle w:val="Subtitle"/>
      </w:pPr>
      <w:r>
        <w:t>Посадочная страница для рекламы Meta и Google</w:t>
      </w:r>
    </w:p>
    <w:p>
      <w:r>
        <w:t>Версия 1.0  •  20 сентября 2026 года</w:t>
      </w:r>
    </w:p>
    <w:p>
      <w:r>
        <w:t>Разработать адаптивный лендинг для привлечения заявок на домашний интернет CITYNET. Посетитель должен понять предложение, сравнить три тарифа и отправить контакты с адресом для проверки возможности подключения. Визуальная основа — приложенный референс с крупной типографикой, тёмным фоном и объёмными абстрактными формами в цветах CITYNET.</w:t>
      </w:r>
    </w:p>
    <w:p>
      <w:pPr>
        <w:pStyle w:val="Heading2"/>
      </w:pPr>
      <w:r>
        <w:t>Задача для команды</w:t>
      </w:r>
    </w:p>
    <w:p>
      <w:r>
        <w:t>Дизайнеру — подготовить макеты и состояния интерфейса. Разработчику — реализовать страницу, надёжный приём заявок, редактирование контента и измерение конверсий. Маркетологу — связать объявления, адресные варианты страницы и результаты обработки заявок.</w:t>
      </w:r>
    </w:p>
    <w:tbl>
      <w:tblPr>
        <w:tblW w:type="auto" w:w="0"/>
        <w:jc w:val="center"/>
        <w:tblLayout w:type="fixed"/>
        <w:tblLook w:firstColumn="1" w:firstRow="1" w:lastColumn="0" w:lastRow="0" w:noHBand="0" w:noVBand="1" w:val="04A0"/>
      </w:tblPr>
      <w:tblGrid>
        <w:gridCol w:w="2324"/>
        <w:gridCol w:w="7540"/>
      </w:tblGrid>
      <w:tr>
        <w:trPr>
          <w:cantSplit/>
          <w:tblHeader/>
        </w:trPr>
        <w:tc>
          <w:tcPr>
            <w:tcW w:type="dxa" w:w="2324"/>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Параметр</w:t>
            </w:r>
          </w:p>
        </w:tc>
        <w:tc>
          <w:tcPr>
            <w:tcW w:type="dxa" w:w="7540"/>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Требование</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Основной продукт</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Домашний интернет B2C в домах Ташкента с доступным покрытием CITYNET</w:t>
            </w:r>
          </w:p>
        </w:tc>
      </w:tr>
      <w:tr>
        <w:trPr>
          <w:cantSplit/>
        </w:trPr>
        <w:tc>
          <w:tcPr>
            <w:tcW w:type="dxa" w:w="2324"/>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Основное действие</w:t>
            </w:r>
          </w:p>
        </w:tc>
        <w:tc>
          <w:tcPr>
            <w:tcW w:type="dxa" w:w="7540"/>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Отправить заявку на проверку подключения по адресу</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Основной призыв</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«Проверить подключение»</w:t>
            </w:r>
          </w:p>
        </w:tc>
      </w:tr>
      <w:tr>
        <w:trPr>
          <w:cantSplit/>
        </w:trPr>
        <w:tc>
          <w:tcPr>
            <w:tcW w:type="dxa" w:w="2324"/>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Рекламный трафик</w:t>
            </w:r>
          </w:p>
        </w:tc>
        <w:tc>
          <w:tcPr>
            <w:tcW w:type="dxa" w:w="7540"/>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Google Ads и Meta Ads; один шаблон с вариантами по объектам</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Язык первой версии</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Русский; структура предусматривает узбекскую локализацию</w:t>
            </w:r>
          </w:p>
        </w:tc>
      </w:tr>
      <w:tr>
        <w:trPr>
          <w:cantSplit/>
        </w:trPr>
        <w:tc>
          <w:tcPr>
            <w:tcW w:type="dxa" w:w="2324"/>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Стиль</w:t>
            </w:r>
          </w:p>
        </w:tc>
        <w:tc>
          <w:tcPr>
            <w:tcW w:type="dxa" w:w="7540"/>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Технологичный, контрастный, просторный; приоритет читаемости и формы</w:t>
            </w:r>
          </w:p>
        </w:tc>
      </w:tr>
    </w:tbl>
    <w:p/>
    <w:p>
      <w:pPr>
        <w:pStyle w:val="Heading2"/>
      </w:pPr>
      <w:r>
        <w:t>Состав документа</w:t>
      </w:r>
    </w:p>
    <w:p>
      <w:r>
        <w:t>1. Продукт и границы проекта</w:t>
        <w:br/>
        <w:t>2. Структура по референсу</w:t>
        <w:br/>
        <w:t>3. Цвета, шрифты и логотип</w:t>
        <w:br/>
        <w:t>4. Первый экран и преимущества</w:t>
        <w:br/>
        <w:t>5. Тарифы, покрытие и доверие</w:t>
        <w:br/>
        <w:t>6. Подключение, FAQ и финальная форма</w:t>
        <w:br/>
        <w:t>7. Заявки и интеграции</w:t>
        <w:br/>
        <w:t>8. Реклама и аналитика</w:t>
        <w:br/>
        <w:t>9. Технические требования</w:t>
        <w:br/>
        <w:t>10. Приёмка и материалы для запуска</w:t>
      </w:r>
    </w:p>
    <w:p>
      <w:r>
        <w:br w:type="page"/>
      </w:r>
    </w:p>
    <w:p>
      <w:pPr>
        <w:pStyle w:val="Heading1"/>
      </w:pPr>
      <w:r>
        <w:t>1 Продукт и границы проекта</w:t>
      </w:r>
    </w:p>
    <w:p>
      <w:pPr>
        <w:pStyle w:val="Heading2"/>
      </w:pPr>
      <w:r>
        <w:t>Аудитория и позиционирование</w:t>
      </w:r>
    </w:p>
    <w:p>
      <w:r>
        <w:t>Базовый сценарий — новые подключения физических лиц. Приоритет: новосёлы и жители домов с инфраструктурой CITYNET, включая пользователей, которые хотят сменить провайдера. Позиционирование: «CITYNET — интернет вашего дома». Для действующих клиентов дать отдельную компактную ссылку на поддержку, чтобы обращения по обслуживанию не попадали в заявки на подключение.</w:t>
      </w:r>
    </w:p>
    <w:p>
      <w:r>
        <w:t>B2B не смешивать с домашними тарифами. Допустима вторичная ссылка «Интернет для бизнеса» на согласованный контакт или существующую страницу. Отдельный B2B лендинг, личный кабинет, оплата, биллинг и запуск рекламных кампаний не входят в эту разработку.</w:t>
      </w:r>
    </w:p>
    <w:p>
      <w:pPr>
        <w:pStyle w:val="Heading2"/>
      </w:pPr>
      <w:r>
        <w:t>Продуктовая основа</w:t>
      </w:r>
    </w:p>
    <w:tbl>
      <w:tblPr>
        <w:tblW w:type="auto" w:w="0"/>
        <w:jc w:val="center"/>
        <w:tblLayout w:type="fixed"/>
        <w:tblLook w:firstColumn="1" w:firstRow="1" w:lastColumn="0" w:lastRow="0" w:noHBand="0" w:noVBand="1" w:val="04A0"/>
      </w:tblPr>
      <w:tblGrid>
        <w:gridCol w:w="1417"/>
        <w:gridCol w:w="1701"/>
        <w:gridCol w:w="1984"/>
        <w:gridCol w:w="4762"/>
      </w:tblGrid>
      <w:tr>
        <w:trPr>
          <w:cantSplit/>
          <w:tblHeader/>
        </w:trPr>
        <w:tc>
          <w:tcPr>
            <w:tcW w:type="dxa" w:w="1417"/>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Тариф</w:t>
            </w:r>
          </w:p>
        </w:tc>
        <w:tc>
          <w:tcPr>
            <w:tcW w:type="dxa" w:w="1701"/>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Скорость</w:t>
            </w:r>
          </w:p>
        </w:tc>
        <w:tc>
          <w:tcPr>
            <w:tcW w:type="dxa" w:w="1984"/>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Цена в месяц</w:t>
            </w:r>
          </w:p>
        </w:tc>
        <w:tc>
          <w:tcPr>
            <w:tcW w:type="dxa" w:w="4762"/>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Роль на странице</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SMART</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50 Мбит/с</w:t>
            </w:r>
          </w:p>
        </w:tc>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145 000 сум</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Базовые повседневные задачи</w:t>
            </w:r>
          </w:p>
        </w:tc>
      </w:tr>
      <w:tr>
        <w:trPr>
          <w:cantSplit/>
        </w:trPr>
        <w:tc>
          <w:tcPr>
            <w:tcW w:type="dxa" w:w="1417"/>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PRO</w:t>
            </w:r>
          </w:p>
        </w:tc>
        <w:tc>
          <w:tcPr>
            <w:tcW w:type="dxa" w:w="1701"/>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100 Мбит/с</w:t>
            </w:r>
          </w:p>
        </w:tc>
        <w:tc>
          <w:tcPr>
            <w:tcW w:type="dxa" w:w="1984"/>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175 000 сум</w:t>
            </w:r>
          </w:p>
        </w:tc>
        <w:tc>
          <w:tcPr>
            <w:tcW w:type="dxa" w:w="4762"/>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Работа, учёба и развлечения дома</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MAX</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200 Мбит/с</w:t>
            </w:r>
          </w:p>
        </w:tc>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225 000 сум</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Повышенная нагрузка и несколько устройств</w:t>
            </w:r>
          </w:p>
        </w:tc>
      </w:tr>
    </w:tbl>
    <w:p/>
    <w:p>
      <w:r>
        <w:t>Основание: мастер-документ CITYNET от 9 сентября 2026 года, раздел 2. Значения включены в ТЗ для макетов; владелец продукта подтверждает их перед публикацией. Формулировку скорости «до» либо гарантированного значения сверить с договорными условиями. BASIC — архивный тариф, в новую линейку не включать.</w:t>
      </w:r>
    </w:p>
    <w:p>
      <w:r>
        <w:t>Подключение бесплатно при наличии технической возможности — условие из мастер-документа. До запуска уточнить состав бесплатных работ, стоимость оборудования и возможные дополнительные работы. Не приравнивать бесплатное подключение к бесплатному роутеру.</w:t>
      </w:r>
    </w:p>
    <w:p>
      <w:pPr>
        <w:pStyle w:val="Heading2"/>
      </w:pPr>
      <w:r>
        <w:t>Правила публичных обещаний</w:t>
      </w:r>
    </w:p>
    <w:p>
      <w:pPr>
        <w:pStyle w:val="ListBullet"/>
      </w:pPr>
      <w:r>
        <w:t>Не публиковать «без обрывов», «нулевой пинг», «лучший провайдер», «подключим за 15 минут» или «в день обращения» без подтверждённых условий.</w:t>
      </w:r>
    </w:p>
    <w:p>
      <w:pPr>
        <w:pStyle w:val="ListBullet"/>
      </w:pPr>
      <w:r>
        <w:t>Не показывать весь Ташкент как зону покрытия. Готовность конкретного дома подтверждается реестром CITYNET, а квартиры — технической проверкой.</w:t>
      </w:r>
    </w:p>
    <w:p>
      <w:pPr>
        <w:pStyle w:val="ListBullet"/>
      </w:pPr>
      <w:r>
        <w:t>Не использовать внутреннюю выручку, число портов и прогнозы роста как рекламные доказательства. Отзывы и рейтинги — только с проверяемым источником.</w:t>
      </w:r>
    </w:p>
    <w:p>
      <w:pPr>
        <w:pStyle w:val="ListBullet"/>
      </w:pPr>
      <w:r>
        <w:t>Названия объектов в запуске не означают действующее покрытие. При предзапуске использовать отдельный текст «Оставить заявку на запуск».</w:t>
      </w:r>
    </w:p>
    <w:p>
      <w:pPr>
        <w:pStyle w:val="Heading2"/>
      </w:pPr>
      <w:r>
        <w:t>Граница первой версии</w:t>
      </w:r>
    </w:p>
    <w:p>
      <w:r>
        <w:t>Включить страницу, адресные варианты, форму, экран благодарности, политику обработки данных, сбор согласий, интеграцию с приёмником заявок и базовую аналитику. Онлайн-проверку квартиры по API, узбекскую версию, серверную рекламную аналитику и передачу офлайн-конверсий выделить в отдельные этапы при наличии данных и доступов.</w:t>
      </w:r>
    </w:p>
    <w:p>
      <w:r>
        <w:br w:type="page"/>
      </w:r>
    </w:p>
    <w:p>
      <w:pPr>
        <w:pStyle w:val="Heading1"/>
      </w:pPr>
      <w:r>
        <w:t>2 Структура по референсу</w:t>
      </w:r>
    </w:p>
    <w:p>
      <w:r>
        <w:t>Сохранить визуальную драматургию референса: выразительный первый экран → преимущества → три карточки → доказательства → крупный финальный призыв. Дополнить её блоками, необходимыми для выбора интернет-провайдера. Не копировать текст DIGITALPRO и не использовать фрагменты чужого макета как готовые активы.</w:t>
      </w:r>
    </w:p>
    <w:tbl>
      <w:tblPr>
        <w:tblW w:type="auto" w:w="0"/>
        <w:jc w:val="center"/>
        <w:tblLayout w:type="fixed"/>
        <w:tblLook w:firstColumn="1" w:firstRow="1" w:lastColumn="0" w:lastRow="0" w:noHBand="0" w:noVBand="1" w:val="04A0"/>
      </w:tblPr>
      <w:tblGrid>
        <w:gridCol w:w="2324"/>
        <w:gridCol w:w="4762"/>
        <w:gridCol w:w="2778"/>
      </w:tblGrid>
      <w:tr>
        <w:trPr>
          <w:cantSplit/>
          <w:tblHeader/>
        </w:trPr>
        <w:tc>
          <w:tcPr>
            <w:tcW w:type="dxa" w:w="2324"/>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Блок референса</w:t>
            </w:r>
          </w:p>
        </w:tc>
        <w:tc>
          <w:tcPr>
            <w:tcW w:type="dxa" w:w="4762"/>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Адаптация для CITYNET</w:t>
            </w:r>
          </w:p>
        </w:tc>
        <w:tc>
          <w:tcPr>
            <w:tcW w:type="dxa" w:w="2778"/>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Задача</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Шапка</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Логотип, якоря, телефон, кнопка подключения</w:t>
            </w:r>
          </w:p>
        </w:tc>
        <w:tc>
          <w:tcPr>
            <w:tcW w:type="dxa" w:w="277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Быстрая навигация</w:t>
            </w:r>
          </w:p>
        </w:tc>
      </w:tr>
      <w:tr>
        <w:trPr>
          <w:cantSplit/>
        </w:trPr>
        <w:tc>
          <w:tcPr>
            <w:tcW w:type="dxa" w:w="2324"/>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EFFICIENT MARKETING SOLUTIONS</w:t>
            </w:r>
          </w:p>
        </w:tc>
        <w:tc>
          <w:tcPr>
            <w:tcW w:type="dxa" w:w="4762"/>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ИНТЕРНЕТ ВАШЕГО ДОМА + тарифный ориентир + CTA</w:t>
            </w:r>
          </w:p>
        </w:tc>
        <w:tc>
          <w:tcPr>
            <w:tcW w:type="dxa" w:w="2778"/>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Сразу объяснить продукт</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DIGITAL PRO и список преимуществ</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CITYNET РЯДОМ + 3–4 преимущества + 3D форма</w:t>
            </w:r>
          </w:p>
        </w:tc>
        <w:tc>
          <w:tcPr>
            <w:tcW w:type="dxa" w:w="277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Показать понятную пользу</w:t>
            </w:r>
          </w:p>
        </w:tc>
      </w:tr>
      <w:tr>
        <w:trPr>
          <w:cantSplit/>
        </w:trPr>
        <w:tc>
          <w:tcPr>
            <w:tcW w:type="dxa" w:w="2324"/>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SERVICES и три карточки</w:t>
            </w:r>
          </w:p>
        </w:tc>
        <w:tc>
          <w:tcPr>
            <w:tcW w:type="dxa" w:w="4762"/>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ТАРИФЫ ДЛЯ ДОМА: SMART / PRO / MAX</w:t>
            </w:r>
          </w:p>
        </w:tc>
        <w:tc>
          <w:tcPr>
            <w:tcW w:type="dxa" w:w="2778"/>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Помочь выбрать</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CASES</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CITYNET В ВАШЕМ ДОМЕ: объекты и подтверждённые отзывы</w:t>
            </w:r>
          </w:p>
        </w:tc>
        <w:tc>
          <w:tcPr>
            <w:tcW w:type="dxa" w:w="277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Показать локальность и доверие</w:t>
            </w:r>
          </w:p>
        </w:tc>
      </w:tr>
      <w:tr>
        <w:trPr>
          <w:cantSplit/>
        </w:trPr>
        <w:tc>
          <w:tcPr>
            <w:tcW w:type="dxa" w:w="2324"/>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Дополнение к структуре</w:t>
            </w:r>
          </w:p>
        </w:tc>
        <w:tc>
          <w:tcPr>
            <w:tcW w:type="dxa" w:w="4762"/>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КАК ПОДКЛЮЧИТЬСЯ + ответы на вопросы</w:t>
            </w:r>
          </w:p>
        </w:tc>
        <w:tc>
          <w:tcPr>
            <w:tcW w:type="dxa" w:w="2778"/>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Снять сомнения</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LET’S BEGIN COOPERATION</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ПОДКЛЮЧИМ ВАШ ДОМ + полноценная форма</w:t>
            </w:r>
          </w:p>
        </w:tc>
        <w:tc>
          <w:tcPr>
            <w:tcW w:type="dxa" w:w="277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Получить заявку</w:t>
            </w:r>
          </w:p>
        </w:tc>
      </w:tr>
      <w:tr>
        <w:trPr>
          <w:cantSplit/>
        </w:trPr>
        <w:tc>
          <w:tcPr>
            <w:tcW w:type="dxa" w:w="2324"/>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Подвал</w:t>
            </w:r>
          </w:p>
        </w:tc>
        <w:tc>
          <w:tcPr>
            <w:tcW w:type="dxa" w:w="4762"/>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Контакты, реквизиты, поддержка, правовые ссылки</w:t>
            </w:r>
          </w:p>
        </w:tc>
        <w:tc>
          <w:tcPr>
            <w:tcW w:type="dxa" w:w="2778"/>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Дать сведения о компании</w:t>
            </w:r>
          </w:p>
        </w:tc>
      </w:tr>
    </w:tbl>
    <w:p/>
    <w:p>
      <w:pPr>
        <w:pStyle w:val="Heading2"/>
      </w:pPr>
      <w:r>
        <w:t>Порядок блоков и переходы</w:t>
      </w:r>
    </w:p>
    <w:p>
      <w:r>
        <w:t>Шапка → первый экран → преимущества → тарифы → объекты и отзывы → этапы подключения → FAQ → форма → подвал. Кнопки в шапке, первом экране и блоке покрытия ведут к одной форме. Выбор тарифа прокручивает к форме и подставляет выбранный тариф. Переход не должен очищать введённые поля.</w:t>
      </w:r>
    </w:p>
    <w:p>
      <w:pPr>
        <w:pStyle w:val="Heading2"/>
      </w:pPr>
      <w:r>
        <w:t>Композиция</w:t>
      </w:r>
    </w:p>
    <w:p>
      <w:r>
        <w:t>На широком экране — ограниченный контейнер 1200–1280 px, крупные заголовки, асимметричное сочетание текста и графики. Карточки тарифов в три колонки. В преимуществах текст слева, объёмный объект справа. Финальный блок повторяет крупную типографику первого экрана, но содержит форму непосредственно под заголовком.</w:t>
      </w:r>
    </w:p>
    <w:p>
      <w:r>
        <w:t>На телефоне — одна колонка, все тарифы доступны вертикально без обязательной карусели. Уменьшить декоративные пустоты референса. Основной смысл, цена «от» и кнопка видны без ожидания анимации. Фоновая графика не перекрывает текст и элементы формы.</w:t>
      </w:r>
    </w:p>
    <w:p>
      <w:pPr>
        <w:pStyle w:val="Heading2"/>
      </w:pPr>
      <w:r>
        <w:t>Макеты для передачи</w:t>
      </w:r>
    </w:p>
    <w:p>
      <w:r>
        <w:t>Подготовить desktop 1440 px и mobile 390 px, проверить промежуточную ширину 768 px и узкий экран 360 px. В комплекте — компоненты, hover/focus/disabled, ошибки полей, загрузка, успешная отправка, сбой и адрес вне списка.</w:t>
      </w:r>
    </w:p>
    <w:p>
      <w:r>
        <w:br w:type="page"/>
      </w:r>
    </w:p>
    <w:p>
      <w:pPr>
        <w:pStyle w:val="Heading1"/>
      </w:pPr>
      <w:r>
        <w:t>3 Цвета шрифты и логотип</w:t>
      </w:r>
    </w:p>
    <w:tbl>
      <w:tblPr>
        <w:tblW w:type="auto" w:w="0"/>
        <w:jc w:val="center"/>
        <w:tblLayout w:type="fixed"/>
        <w:tblLook w:firstColumn="1" w:firstRow="1" w:lastColumn="0" w:lastRow="0" w:noHBand="0" w:noVBand="1" w:val="04A0"/>
      </w:tblPr>
      <w:tblGrid>
        <w:gridCol w:w="1701"/>
        <w:gridCol w:w="2324"/>
        <w:gridCol w:w="5839"/>
      </w:tblGrid>
      <w:tr>
        <w:trPr>
          <w:cantSplit/>
          <w:tblHeader/>
        </w:trPr>
        <w:tc>
          <w:tcPr>
            <w:tcW w:type="dxa" w:w="1701"/>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Цвет</w:t>
            </w:r>
          </w:p>
        </w:tc>
        <w:tc>
          <w:tcPr>
            <w:tcW w:type="dxa" w:w="2324"/>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Роль</w:t>
            </w:r>
          </w:p>
        </w:tc>
        <w:tc>
          <w:tcPr>
            <w:tcW w:type="dxa" w:w="5839"/>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Применение</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#161A46</w:t>
            </w:r>
          </w:p>
        </w:tc>
        <w:tc>
          <w:tcPr>
            <w:tcW w:type="dxa" w:w="23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Основной фон</w:t>
            </w:r>
          </w:p>
        </w:tc>
        <w:tc>
          <w:tcPr>
            <w:tcW w:type="dxa" w:w="583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Тёмные секции, шапка, подвал</w:t>
            </w:r>
          </w:p>
        </w:tc>
      </w:tr>
      <w:tr>
        <w:trPr>
          <w:cantSplit/>
        </w:trPr>
        <w:tc>
          <w:tcPr>
            <w:tcW w:type="dxa" w:w="1701"/>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#13E2F1</w:t>
            </w:r>
          </w:p>
        </w:tc>
        <w:tc>
          <w:tcPr>
            <w:tcW w:type="dxa" w:w="2324"/>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Бирюзовый акцент</w:t>
            </w:r>
          </w:p>
        </w:tc>
        <w:tc>
          <w:tcPr>
            <w:tcW w:type="dxa" w:w="5839"/>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Акцентные слова, иконки, фокус, световые линии</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#0644F4</w:t>
            </w:r>
          </w:p>
        </w:tc>
        <w:tc>
          <w:tcPr>
            <w:tcW w:type="dxa" w:w="23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Синий акцент</w:t>
            </w:r>
          </w:p>
        </w:tc>
        <w:tc>
          <w:tcPr>
            <w:tcW w:type="dxa" w:w="583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Основные кнопки, активные состояния, графика</w:t>
            </w:r>
          </w:p>
        </w:tc>
      </w:tr>
      <w:tr>
        <w:trPr>
          <w:cantSplit/>
        </w:trPr>
        <w:tc>
          <w:tcPr>
            <w:tcW w:type="dxa" w:w="1701"/>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#FFFFFF</w:t>
            </w:r>
          </w:p>
        </w:tc>
        <w:tc>
          <w:tcPr>
            <w:tcW w:type="dxa" w:w="2324"/>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Белый</w:t>
            </w:r>
          </w:p>
        </w:tc>
        <w:tc>
          <w:tcPr>
            <w:tcW w:type="dxa" w:w="5839"/>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Основной текст на тёмном фоне, светлые поверхности</w:t>
            </w:r>
          </w:p>
        </w:tc>
      </w:tr>
    </w:tbl>
    <w:p/>
    <w:p>
      <w:r>
        <w:t>Допустимый градиент: linear-gradient(135deg, #13E2F1 0%, #0644F4 100%). Применять к абстрактным формам, крупным акцентным словам и деталям. Для основных CTA предпочтительна сплошная синяя заливка с белым текстом; бирюзовая кнопка требует тёмного текста. Не ставить мелкий белый текст поверх яркой части градиента.</w:t>
      </w:r>
    </w:p>
    <w:p>
      <w:pPr>
        <w:pStyle w:val="Heading2"/>
      </w:pPr>
      <w:r>
        <w:t>Типографика</w:t>
      </w:r>
    </w:p>
    <w:p>
      <w:r>
        <w:t>Goodtime Grotesk — заголовки и короткие акценты. Helvetica — основной текст, цены, поля и кнопки. Написание «helvetika» трактуется как Helvetica; перед вёрсткой получить точные файлы обеих гарнитур и подтвердить начертания. Проверить кириллицу и узбекские символы. При отсутствии нужных глифов согласовать замену, не допускать случайного смешения гарнитур внутри слова.</w:t>
      </w:r>
    </w:p>
    <w:tbl>
      <w:tblPr>
        <w:tblW w:type="auto" w:w="0"/>
        <w:jc w:val="center"/>
        <w:tblLayout w:type="fixed"/>
        <w:tblLook w:firstColumn="1" w:firstRow="1" w:lastColumn="0" w:lastRow="0" w:noHBand="0" w:noVBand="1" w:val="04A0"/>
      </w:tblPr>
      <w:tblGrid>
        <w:gridCol w:w="3515"/>
        <w:gridCol w:w="3175"/>
        <w:gridCol w:w="3175"/>
      </w:tblGrid>
      <w:tr>
        <w:trPr>
          <w:cantSplit/>
          <w:tblHeader/>
        </w:trPr>
        <w:tc>
          <w:tcPr>
            <w:tcW w:type="dxa" w:w="3515"/>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Элемент</w:t>
            </w:r>
          </w:p>
        </w:tc>
        <w:tc>
          <w:tcPr>
            <w:tcW w:type="dxa" w:w="3175"/>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Desktop</w:t>
            </w:r>
          </w:p>
        </w:tc>
        <w:tc>
          <w:tcPr>
            <w:tcW w:type="dxa" w:w="3175"/>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Mobile</w:t>
            </w:r>
          </w:p>
        </w:tc>
      </w:tr>
      <w:tr>
        <w:trPr>
          <w:cantSplit/>
        </w:trPr>
        <w:tc>
          <w:tcPr>
            <w:tcW w:type="dxa" w:w="35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H1</w:t>
            </w:r>
          </w:p>
        </w:tc>
        <w:tc>
          <w:tcPr>
            <w:tcW w:type="dxa" w:w="31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72–88 px, интерлиньяж 0,98–1,08</w:t>
            </w:r>
          </w:p>
        </w:tc>
        <w:tc>
          <w:tcPr>
            <w:tcW w:type="dxa" w:w="31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36–44 px, интерлиньяж 1,05–1,12</w:t>
            </w:r>
          </w:p>
        </w:tc>
      </w:tr>
      <w:tr>
        <w:trPr>
          <w:cantSplit/>
        </w:trPr>
        <w:tc>
          <w:tcPr>
            <w:tcW w:type="dxa" w:w="3515"/>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H2</w:t>
            </w:r>
          </w:p>
        </w:tc>
        <w:tc>
          <w:tcPr>
            <w:tcW w:type="dxa" w:w="3175"/>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40–56 px</w:t>
            </w:r>
          </w:p>
        </w:tc>
        <w:tc>
          <w:tcPr>
            <w:tcW w:type="dxa" w:w="3175"/>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28–34 px</w:t>
            </w:r>
          </w:p>
        </w:tc>
      </w:tr>
      <w:tr>
        <w:trPr>
          <w:cantSplit/>
        </w:trPr>
        <w:tc>
          <w:tcPr>
            <w:tcW w:type="dxa" w:w="35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Основной текст</w:t>
            </w:r>
          </w:p>
        </w:tc>
        <w:tc>
          <w:tcPr>
            <w:tcW w:type="dxa" w:w="31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18 px, интерлиньяж 1,45–1,6</w:t>
            </w:r>
          </w:p>
        </w:tc>
        <w:tc>
          <w:tcPr>
            <w:tcW w:type="dxa" w:w="31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16 px, интерлиньяж 1,45–1,6</w:t>
            </w:r>
          </w:p>
        </w:tc>
      </w:tr>
      <w:tr>
        <w:trPr>
          <w:cantSplit/>
        </w:trPr>
        <w:tc>
          <w:tcPr>
            <w:tcW w:type="dxa" w:w="3515"/>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Кнопки и поля</w:t>
            </w:r>
          </w:p>
        </w:tc>
        <w:tc>
          <w:tcPr>
            <w:tcW w:type="dxa" w:w="3175"/>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16–18 px</w:t>
            </w:r>
          </w:p>
        </w:tc>
        <w:tc>
          <w:tcPr>
            <w:tcW w:type="dxa" w:w="3175"/>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Не менее 16 px</w:t>
            </w:r>
          </w:p>
        </w:tc>
      </w:tr>
      <w:tr>
        <w:trPr>
          <w:cantSplit/>
        </w:trPr>
        <w:tc>
          <w:tcPr>
            <w:tcW w:type="dxa" w:w="35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Условия и подписи</w:t>
            </w:r>
          </w:p>
        </w:tc>
        <w:tc>
          <w:tcPr>
            <w:tcW w:type="dxa" w:w="31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14 px</w:t>
            </w:r>
          </w:p>
        </w:tc>
        <w:tc>
          <w:tcPr>
            <w:tcW w:type="dxa" w:w="31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14 px</w:t>
            </w:r>
          </w:p>
        </w:tc>
      </w:tr>
    </w:tbl>
    <w:p/>
    <w:p>
      <w:pPr>
        <w:pStyle w:val="Heading2"/>
      </w:pPr>
      <w:r>
        <w:t>Логотип</w:t>
      </w:r>
    </w:p>
    <w:p>
      <w:r>
        <w:t>Использовать приложенный white (2).png на тёмном фоне, color (2).png — на белом или светлом. Сохранять фирменный знак, написание и исходное соотношение сторон. Не перерисовывать, не растягивать и не перекрашивать логотип. Для вёрстки запросить SVG; до его получения разрешён исходный PNG без увеличения сверх его разрешения.</w:t>
      </w:r>
    </w:p>
    <w:p>
      <w:r>
        <w:t>Ориентир ширины: 180–220 px на desktop и 140–170 px на mobile. Свободное поле со всех сторон — не менее половины высоты знака. Alt: «CITYNET». Логотип в шапке ведёт к началу страницы.</w:t>
      </w:r>
    </w:p>
    <w:p>
      <w:pPr>
        <w:pStyle w:val="Heading2"/>
      </w:pPr>
      <w:r>
        <w:t>Графика и движение</w:t>
      </w:r>
    </w:p>
    <w:p>
      <w:r>
        <w:t>Использовать собственные 3D ленты, волны или кольца в сине-бирюзовой гамме — визуальную ассоциацию со связью. До двух крупных декоративных объектов на странице. Для первой версии достаточно статичных WebP/AVIF с плавным появлением 300–500 мс. Не использовать тяжёлый WebGL, автозапуск видео и анимацию, задерживающую доступ к форме. Учесть prefers-reduced-motion.</w:t>
      </w:r>
    </w:p>
    <w:p>
      <w:r>
        <w:br w:type="page"/>
      </w:r>
    </w:p>
    <w:p>
      <w:pPr>
        <w:pStyle w:val="Heading1"/>
      </w:pPr>
      <w:r>
        <w:t>4 Первый экран и преимущества</w:t>
      </w:r>
    </w:p>
    <w:p>
      <w:pPr>
        <w:pStyle w:val="Heading2"/>
      </w:pPr>
      <w:r>
        <w:t>Шапка</w:t>
      </w:r>
    </w:p>
    <w:p>
      <w:r>
        <w:t>Слева логотип, справа якоря «Тарифы», «Покрытие», «Как подключиться», телефон и CTA «Проверить подключение». В мобильной шапке — логотип и компактное меню. Телефон и часы работы берутся из утверждённого контактного блока. Если включена фиксированная шапка, она не закрывает заголовки при переходе по якорям.</w:t>
      </w:r>
    </w:p>
    <w:p>
      <w:pPr>
        <w:pStyle w:val="Heading2"/>
      </w:pPr>
      <w:r>
        <w:t>Первый экран</w:t>
      </w:r>
    </w:p>
    <w:p>
      <w:r>
        <w:t>Надзаголовок: «ДОМАШНИЙ ИНТЕРНЕТ CITYNET».</w:t>
        <w:br/>
        <w:t>H1 в 2–3 строки: «ИНТЕРНЕТ / ВАШЕГО ДОМА».</w:t>
        <w:br/>
        <w:t>Подзаголовок: «Для работы, учёбы и отдыха. Тарифы от 145 000 сум в месяц. Оставьте адрес — проверим возможность подключения».</w:t>
        <w:br/>
        <w:t>Основная кнопка: «Проверить подключение».</w:t>
        <w:br/>
        <w:t>Вторичная текстовая ссылка: «Посмотреть тарифы».</w:t>
        <w:br/>
        <w:t>Под кнопкой: «Подключение бесплатно при наличии технической возможности».</w:t>
      </w:r>
    </w:p>
    <w:p>
      <w:r>
        <w:t>«ВАШЕГО ДОМА» можно выделить градиентом. Фон — #161A46 с абстрактной волной справа или за свободной частью композиции. Текст остаётся HTML, не встраивается в изображение. Не размещать на первом экране неподтверждённые счётчики клиентов и рейтинги.</w:t>
      </w:r>
    </w:p>
    <w:p>
      <w:pPr>
        <w:pStyle w:val="Heading2"/>
      </w:pPr>
      <w:r>
        <w:t>Вариант для рекламы конкретного объекта</w:t>
      </w:r>
    </w:p>
    <w:p>
      <w:r>
        <w:t>H1: «Интернет CITYNET в [название ЖК]».</w:t>
        <w:br/>
        <w:t>Подзаголовок: «Выберите тариф и оставьте заявку — проверим подключение вашей квартиры».</w:t>
        <w:br/>
        <w:t>Название объекта и object_id берутся только из утверждённого реестра. При неизвестном объекте показывается общий вариант. Формулировка «CITYNET уже в вашем доме» допустима только для подтверждённого покрытия.</w:t>
      </w:r>
    </w:p>
    <w:p>
      <w:pPr>
        <w:pStyle w:val="Heading2"/>
      </w:pPr>
      <w:r>
        <w:t>Преимущества</w:t>
      </w:r>
    </w:p>
    <w:p>
      <w:r>
        <w:t>Заголовок: «CITYNET РЯДОМ». Подзаголовок: «Понятный выбор тарифа и подключение по вашему адресу». Слева — четыре компактных пункта с иконками и разделителями, справа — объёмный графический объект как в референсе.</w:t>
      </w:r>
    </w:p>
    <w:tbl>
      <w:tblPr>
        <w:tblW w:type="auto" w:w="0"/>
        <w:jc w:val="center"/>
        <w:tblLayout w:type="fixed"/>
        <w:tblLook w:firstColumn="1" w:firstRow="1" w:lastColumn="0" w:lastRow="0" w:noHBand="0" w:noVBand="1" w:val="04A0"/>
      </w:tblPr>
      <w:tblGrid>
        <w:gridCol w:w="2948"/>
        <w:gridCol w:w="6917"/>
      </w:tblGrid>
      <w:tr>
        <w:trPr>
          <w:cantSplit/>
          <w:tblHeader/>
        </w:trPr>
        <w:tc>
          <w:tcPr>
            <w:tcW w:type="dxa" w:w="2948"/>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Заголовок пункта</w:t>
            </w:r>
          </w:p>
        </w:tc>
        <w:tc>
          <w:tcPr>
            <w:tcW w:type="dxa" w:w="6917"/>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Текст для макета</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Проверка вашего адреса</w:t>
            </w:r>
          </w:p>
        </w:tc>
        <w:tc>
          <w:tcPr>
            <w:tcW w:type="dxa" w:w="69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Уточним техническую возможность подключения в вашем доме.</w:t>
            </w:r>
          </w:p>
        </w:tc>
      </w:tr>
      <w:tr>
        <w:trPr>
          <w:cantSplit/>
        </w:trPr>
        <w:tc>
          <w:tcPr>
            <w:tcW w:type="dxa" w:w="2948"/>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Три понятных тарифа</w:t>
            </w:r>
          </w:p>
        </w:tc>
        <w:tc>
          <w:tcPr>
            <w:tcW w:type="dxa" w:w="6917"/>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Выберите скорость под работу, учёбу и домашние развлечения.</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Бесплатное подключение</w:t>
            </w:r>
          </w:p>
        </w:tc>
        <w:tc>
          <w:tcPr>
            <w:tcW w:type="dxa" w:w="69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При наличии технической возможности. Условия оборудования уточняются отдельно.</w:t>
            </w:r>
          </w:p>
        </w:tc>
      </w:tr>
      <w:tr>
        <w:trPr>
          <w:cantSplit/>
        </w:trPr>
        <w:tc>
          <w:tcPr>
            <w:tcW w:type="dxa" w:w="2948"/>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Согласуем следующий шаг</w:t>
            </w:r>
          </w:p>
        </w:tc>
        <w:tc>
          <w:tcPr>
            <w:tcW w:type="dxa" w:w="6917"/>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После проверки адреса согласуем условия и время подключения.</w:t>
            </w:r>
          </w:p>
        </w:tc>
      </w:tr>
    </w:tbl>
    <w:p/>
    <w:p>
      <w:r>
        <w:t>Тексты описывают предлагаемый клиентский процесс. Руководитель подключения подтверждает, что он реализован. Не заменять их заявлениями о круглосуточной поддержке, гарантированной стабильности или скорости монтажа без основания.</w:t>
      </w:r>
    </w:p>
    <w:p>
      <w:r>
        <w:br w:type="page"/>
      </w:r>
    </w:p>
    <w:p>
      <w:pPr>
        <w:pStyle w:val="Heading1"/>
      </w:pPr>
      <w:r>
        <w:t>5 Тарифы покрытие и доверие</w:t>
      </w:r>
    </w:p>
    <w:p>
      <w:pPr>
        <w:pStyle w:val="Heading2"/>
      </w:pPr>
      <w:r>
        <w:t>Карточки тарифов</w:t>
      </w:r>
    </w:p>
    <w:p>
      <w:r>
        <w:t>Заголовок: «ТАРИФЫ ДЛЯ ДОМА». Подзаголовок: «Выберите подходящую скорость. Возможность подключения проверим по адресу». В каждой карточке: название, скорость, цена с «сум/мес», короткий сценарий, условия подключения и кнопка.</w:t>
      </w:r>
    </w:p>
    <w:tbl>
      <w:tblPr>
        <w:tblW w:type="auto" w:w="0"/>
        <w:jc w:val="center"/>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SMART</w:t>
            </w:r>
          </w:p>
        </w:tc>
        <w:tc>
          <w:tcPr>
            <w:tcW w:type="dxa" w:w="3288"/>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PRO</w:t>
            </w:r>
          </w:p>
        </w:tc>
        <w:tc>
          <w:tcPr>
            <w:tcW w:type="dxa" w:w="3288"/>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MAX</w:t>
            </w:r>
          </w:p>
        </w:tc>
      </w:tr>
      <w:tr>
        <w:trPr>
          <w:cantSplit/>
        </w:trPr>
        <w:tc>
          <w:tcPr>
            <w:tcW w:type="dxa" w:w="32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50 Мбит/с</w:t>
              <w:br/>
              <w:t>145 000 сум/мес</w:t>
            </w:r>
          </w:p>
        </w:tc>
        <w:tc>
          <w:tcPr>
            <w:tcW w:type="dxa" w:w="32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100 Мбит/с</w:t>
              <w:br/>
              <w:t>175 000 сум/мес</w:t>
            </w:r>
          </w:p>
        </w:tc>
        <w:tc>
          <w:tcPr>
            <w:tcW w:type="dxa" w:w="32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200 Мбит/с</w:t>
              <w:br/>
              <w:t>225 000 сум/мес</w:t>
            </w:r>
          </w:p>
        </w:tc>
      </w:tr>
      <w:tr>
        <w:trPr>
          <w:cantSplit/>
        </w:trPr>
        <w:tc>
          <w:tcPr>
            <w:tcW w:type="dxa" w:w="3288"/>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Для повседневных задач</w:t>
            </w:r>
          </w:p>
        </w:tc>
        <w:tc>
          <w:tcPr>
            <w:tcW w:type="dxa" w:w="3288"/>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Для работы и отдыха дома</w:t>
            </w:r>
          </w:p>
        </w:tc>
        <w:tc>
          <w:tcPr>
            <w:tcW w:type="dxa" w:w="3288"/>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Для повышенной нагрузки</w:t>
            </w:r>
          </w:p>
        </w:tc>
      </w:tr>
      <w:tr>
        <w:trPr>
          <w:cantSplit/>
        </w:trPr>
        <w:tc>
          <w:tcPr>
            <w:tcW w:type="dxa" w:w="32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«Выбрать SMART»</w:t>
            </w:r>
          </w:p>
        </w:tc>
        <w:tc>
          <w:tcPr>
            <w:tcW w:type="dxa" w:w="32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«Выбрать PRO»</w:t>
            </w:r>
          </w:p>
        </w:tc>
        <w:tc>
          <w:tcPr>
            <w:tcW w:type="dxa" w:w="32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«Выбрать MAX»</w:t>
            </w:r>
          </w:p>
        </w:tc>
      </w:tr>
    </w:tbl>
    <w:p/>
    <w:p>
      <w:r>
        <w:t>PRO можно выделить обводкой и размером цены, без бейджа «самый популярный», пока нет статистики продаж. Не указывать фиксированное количество устройств как гарантированное. Под карточками: «Скорость по Wi-Fi зависит от оборудования, планировки и условий использования. Условия подключения и оборудования уточним после проверки адреса».</w:t>
      </w:r>
    </w:p>
    <w:p>
      <w:r>
        <w:t>Все три карточки используют единый источник данных с названием, скоростью, ценой и датой актуализации. Изменение тарифа обновляет карточку, выбранное значение в форме и связанные тексты. Не присваивать абонплату денежной ценности заявки в аналитике автоматически.</w:t>
      </w:r>
    </w:p>
    <w:p>
      <w:pPr>
        <w:pStyle w:val="Heading2"/>
      </w:pPr>
      <w:r>
        <w:t>Объекты и покрытие</w:t>
      </w:r>
    </w:p>
    <w:p>
      <w:r>
        <w:t>Заголовок: «CITYNET В ВАШЕМ ДОМЕ». Поисковое поле или список по утверждённым ЖК и адресам. В первой версии это справочник объектов, а не автоматическое подтверждение доступности квартиры. Выбор подставляет объект в форму; полный адрес посетитель уточняет сам.</w:t>
      </w:r>
    </w:p>
    <w:p>
      <w:pPr>
        <w:pStyle w:val="ListBullet"/>
      </w:pPr>
      <w:r>
        <w:t>Найден действующий объект: «CITYNET работает в этом доме. Оставьте заявку — проверим подключение вашей квартиры».</w:t>
      </w:r>
    </w:p>
    <w:p>
      <w:pPr>
        <w:pStyle w:val="ListBullet"/>
      </w:pPr>
      <w:r>
        <w:t>Объект в запуске: «Подключение готовится. Оставьте контакты, чтобы узнать о запуске». Лид помечается как предзаявка.</w:t>
      </w:r>
    </w:p>
    <w:p>
      <w:pPr>
        <w:pStyle w:val="ListBullet"/>
      </w:pPr>
      <w:r>
        <w:t>Объект не найден: «Не нашли адрес? Укажите его вручную — мы уточним возможность подключения».</w:t>
      </w:r>
    </w:p>
    <w:p>
      <w:pPr>
        <w:pStyle w:val="ListBullet"/>
      </w:pPr>
      <w:r>
        <w:t>При отсутствии утверждённого реестра публиковать только ручной ввод адреса без карты и заявлений о наличии покрытия.</w:t>
      </w:r>
    </w:p>
    <w:p>
      <w:pPr>
        <w:pStyle w:val="Heading2"/>
      </w:pPr>
      <w:r>
        <w:t>Доверие вместо блока CASES</w:t>
      </w:r>
    </w:p>
    <w:p>
      <w:r>
        <w:t>Показать 2–3 карточки действующих объектов: настоящее фото, название ЖК, подтверждённый статус. При наличии — 2–3 реальных отзыва с разрешением на использование, датой и источником. Не публиковать номера квартир и полные персональные данные. Слайдер необязателен; на мобильном карточки идут вертикально.</w:t>
      </w:r>
    </w:p>
    <w:p>
      <w:r>
        <w:t>Если отзывов нет, оставить подтверждённые объекты и этапы подключения. Не заполнять макет вымышленными цитатами и оценками. Любые числовые показатели требуют даты среза и согласования публичного использования.</w:t>
      </w:r>
    </w:p>
    <w:p>
      <w:r>
        <w:br w:type="page"/>
      </w:r>
    </w:p>
    <w:p>
      <w:pPr>
        <w:pStyle w:val="Heading1"/>
      </w:pPr>
      <w:r>
        <w:t>6 Подключение FAQ и финальный блок</w:t>
      </w:r>
    </w:p>
    <w:p>
      <w:pPr>
        <w:pStyle w:val="Heading2"/>
      </w:pPr>
      <w:r>
        <w:t>Как подключиться</w:t>
      </w:r>
    </w:p>
    <w:p>
      <w:r>
        <w:t>Заголовок: «ТРИ ШАГА ДО ПОДКЛЮЧЕНИЯ».</w:t>
        <w:br/>
        <w:t>1. Оставьте адрес и телефон — отправьте заявку через форму.</w:t>
        <w:br/>
        <w:t>2. Дождитесь проверки — уточним техническую возможность и условия.</w:t>
        <w:br/>
        <w:t>3. Согласуйте подключение — выберем доступное время визита.</w:t>
        <w:br/>
        <w:t>Срок ответа и монтажа показывать только после подтверждения операционной командой.</w:t>
      </w:r>
    </w:p>
    <w:p>
      <w:pPr>
        <w:pStyle w:val="Heading2"/>
      </w:pPr>
      <w:r>
        <w:t>Частые вопросы</w:t>
      </w:r>
    </w:p>
    <w:p>
      <w:r>
        <w:t>Раскрывающиеся ответы доступны с клавиатуры; открытие не смещает страницу неожиданно. Ответы ниже — база для согласования продукта.</w:t>
      </w:r>
    </w:p>
    <w:tbl>
      <w:tblPr>
        <w:tblW w:type="auto" w:w="0"/>
        <w:jc w:val="center"/>
        <w:tblLayout w:type="fixed"/>
        <w:tblLook w:firstColumn="1" w:firstRow="1" w:lastColumn="0" w:lastRow="0" w:noHBand="0" w:noVBand="1" w:val="04A0"/>
      </w:tblPr>
      <w:tblGrid>
        <w:gridCol w:w="2891"/>
        <w:gridCol w:w="6973"/>
      </w:tblGrid>
      <w:tr>
        <w:trPr>
          <w:cantSplit/>
          <w:tblHeader/>
        </w:trPr>
        <w:tc>
          <w:tcPr>
            <w:tcW w:type="dxa" w:w="2891"/>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Вопрос</w:t>
            </w:r>
          </w:p>
        </w:tc>
        <w:tc>
          <w:tcPr>
            <w:tcW w:type="dxa" w:w="6973"/>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Ответ для страницы</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Есть ли CITYNET в моём доме?</w:t>
            </w:r>
          </w:p>
        </w:tc>
        <w:tc>
          <w:tcPr>
            <w:tcW w:type="dxa" w:w="697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Укажите адрес в форме. Мы проверим техническую возможность подключения. Наличие дома в списке ещё не подтверждает подключение конкретной квартиры.</w:t>
            </w:r>
          </w:p>
        </w:tc>
      </w:tr>
      <w:tr>
        <w:trPr>
          <w:cantSplit/>
        </w:trPr>
        <w:tc>
          <w:tcPr>
            <w:tcW w:type="dxa" w:w="2891"/>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Сколько стоит подключение?</w:t>
            </w:r>
          </w:p>
        </w:tc>
        <w:tc>
          <w:tcPr>
            <w:tcW w:type="dxa" w:w="6973"/>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Подключение бесплатно при наличии технической возможности. Условия оборудования и дополнительных работ уточним до согласования подключения.</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Какой тариф выбрать?</w:t>
            </w:r>
          </w:p>
        </w:tc>
        <w:tc>
          <w:tcPr>
            <w:tcW w:type="dxa" w:w="697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SMART — 50, PRO — 100, MAX — 200 Мбит/с. Оставьте заявку, и мы поможем подобрать тариф под ваши задачи.</w:t>
            </w:r>
          </w:p>
        </w:tc>
      </w:tr>
      <w:tr>
        <w:trPr>
          <w:cantSplit/>
        </w:trPr>
        <w:tc>
          <w:tcPr>
            <w:tcW w:type="dxa" w:w="2891"/>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Нужен ли новый роутер?</w:t>
            </w:r>
          </w:p>
        </w:tc>
        <w:tc>
          <w:tcPr>
            <w:tcW w:type="dxa" w:w="6973"/>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Сообщите модель вашего роутера. Специалист уточнит совместимость и условия использования или приобретения оборудования.</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Когда меня подключат?</w:t>
            </w:r>
          </w:p>
        </w:tc>
        <w:tc>
          <w:tcPr>
            <w:tcW w:type="dxa" w:w="697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После проверки адреса согласуем доступное время. Точный срок зависит от технической возможности и графика работ.</w:t>
            </w:r>
          </w:p>
        </w:tc>
      </w:tr>
      <w:tr>
        <w:trPr>
          <w:cantSplit/>
        </w:trPr>
        <w:tc>
          <w:tcPr>
            <w:tcW w:type="dxa" w:w="2891"/>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Будет ли такая же скорость по Wi-Fi?</w:t>
            </w:r>
          </w:p>
        </w:tc>
        <w:tc>
          <w:tcPr>
            <w:tcW w:type="dxa" w:w="6973"/>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Скорость по Wi-Fi зависит от роутера, устройства, расстояния и помех. Условия скорости по тарифу уточняются при подключении.</w:t>
            </w:r>
          </w:p>
        </w:tc>
      </w:tr>
    </w:tbl>
    <w:p/>
    <w:p>
      <w:pPr>
        <w:pStyle w:val="Heading2"/>
      </w:pPr>
      <w:r>
        <w:t>Финальный призыв и форма</w:t>
      </w:r>
    </w:p>
    <w:p>
      <w:r>
        <w:t>Заголовок: «ПОДКЛЮЧИМ / ВАШ ДОМ». Подзаголовок: «Оставьте номер и адрес — проверим возможность подключения CITYNET». Рядом или под заголовком разместить форму из раздела 7. На desktop допустимы две колонки, на mobile — одна. Основная кнопка: «Отправить заявку».</w:t>
      </w:r>
    </w:p>
    <w:p>
      <w:r>
        <w:t>Под формой повторить условие бесплатного подключения и ссылку на политику обработки данных. Фоновая форма из первого экрана может повторяться в более спокойном виде. Крупный заголовок не должен оттеснять форму за несколько экранов прокрутки.</w:t>
      </w:r>
    </w:p>
    <w:p>
      <w:pPr>
        <w:pStyle w:val="Heading2"/>
      </w:pPr>
      <w:r>
        <w:t>Подвал</w:t>
      </w:r>
    </w:p>
    <w:p>
      <w:r>
        <w:t>Логотип white (2).png, утверждённый телефон с tel-ссылкой, часы работы, адрес и реквизиты компании, ссылка на поддержку, политика обработки данных и условия услуги. Telegram — только с подтверждённым адресом и при наличии ответственного за канал. Не публиковать пустые ссылки и фиктивные контакты.</w:t>
      </w:r>
    </w:p>
    <w:p>
      <w:r>
        <w:br w:type="page"/>
      </w:r>
    </w:p>
    <w:p>
      <w:pPr>
        <w:pStyle w:val="Heading1"/>
      </w:pPr>
      <w:r>
        <w:t>7 Заявки и интеграции</w:t>
      </w:r>
    </w:p>
    <w:tbl>
      <w:tblPr>
        <w:tblW w:type="auto" w:w="0"/>
        <w:jc w:val="center"/>
        <w:tblLayout w:type="fixed"/>
        <w:tblLook w:firstColumn="1" w:firstRow="1" w:lastColumn="0" w:lastRow="0" w:noHBand="0" w:noVBand="1" w:val="04A0"/>
      </w:tblPr>
      <w:tblGrid>
        <w:gridCol w:w="2041"/>
        <w:gridCol w:w="1701"/>
        <w:gridCol w:w="6123"/>
      </w:tblGrid>
      <w:tr>
        <w:trPr>
          <w:cantSplit/>
          <w:tblHeader/>
        </w:trPr>
        <w:tc>
          <w:tcPr>
            <w:tcW w:type="dxa" w:w="2041"/>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Поле</w:t>
            </w:r>
          </w:p>
        </w:tc>
        <w:tc>
          <w:tcPr>
            <w:tcW w:type="dxa" w:w="1701"/>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Обязательность</w:t>
            </w:r>
          </w:p>
        </w:tc>
        <w:tc>
          <w:tcPr>
            <w:tcW w:type="dxa" w:w="6123"/>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Поведение</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Имя</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Да</w:t>
            </w:r>
          </w:p>
        </w:tc>
        <w:tc>
          <w:tcPr>
            <w:tcW w:type="dxa" w:w="612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Понятная подпись; 2–60 символов, без запрета на национальные буквы</w:t>
            </w:r>
          </w:p>
        </w:tc>
      </w:tr>
      <w:tr>
        <w:trPr>
          <w:cantSplit/>
        </w:trPr>
        <w:tc>
          <w:tcPr>
            <w:tcW w:type="dxa" w:w="2041"/>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Телефон</w:t>
            </w:r>
          </w:p>
        </w:tc>
        <w:tc>
          <w:tcPr>
            <w:tcW w:type="dxa" w:w="1701"/>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Да</w:t>
            </w:r>
          </w:p>
        </w:tc>
        <w:tc>
          <w:tcPr>
            <w:tcW w:type="dxa" w:w="6123"/>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inputmode tel, +998; вставка и нормализация пробелов; 9 цифр после кода</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Дом или ЖК и адрес</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Да</w:t>
            </w:r>
          </w:p>
        </w:tc>
        <w:tc>
          <w:tcPr>
            <w:tcW w:type="dxa" w:w="612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Список с ручным вводом; улица и дом обязательны, квартира необязательна</w:t>
            </w:r>
          </w:p>
        </w:tc>
      </w:tr>
      <w:tr>
        <w:trPr>
          <w:cantSplit/>
        </w:trPr>
        <w:tc>
          <w:tcPr>
            <w:tcW w:type="dxa" w:w="2041"/>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Тариф</w:t>
            </w:r>
          </w:p>
        </w:tc>
        <w:tc>
          <w:tcPr>
            <w:tcW w:type="dxa" w:w="1701"/>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Нет</w:t>
            </w:r>
          </w:p>
        </w:tc>
        <w:tc>
          <w:tcPr>
            <w:tcW w:type="dxa" w:w="6123"/>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SMART / PRO / MAX / «Помогите выбрать»; подстановка из карточки</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Согласие</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Да</w:t>
            </w:r>
          </w:p>
        </w:tc>
        <w:tc>
          <w:tcPr>
            <w:tcW w:type="dxa" w:w="612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Не отмечено заранее; утверждённый текст и ссылка на политику</w:t>
            </w:r>
          </w:p>
        </w:tc>
      </w:tr>
    </w:tbl>
    <w:p/>
    <w:p>
      <w:pPr>
        <w:pStyle w:val="Heading2"/>
      </w:pPr>
      <w:r>
        <w:t>Состояния формы</w:t>
      </w:r>
    </w:p>
    <w:p>
      <w:r>
        <w:t>Пустая → заполнение → проверка → отправка → успех или ошибка. Ошибку показывать у поля, связывать с ним программно и переводить фокус к первому ошибочному полю. При отправке кнопка блокируется и показывает «Отправляем…». Не сбрасывать значения при сбое.</w:t>
      </w:r>
    </w:p>
    <w:p>
      <w:r>
        <w:t>Успех показывать только после подтверждённого сохранения заявки сервером: «Заявка принята. Мы проверим возможность подключения по вашему адресу и свяжемся с вами». Показать согласованный срок ответа, если он задан. При ошибке: «Не удалось отправить заявку. Попробуйте ещё раз или позвоните нам». Не запускать конверсию при ошибке или простой загрузке страницы благодарности.</w:t>
      </w:r>
    </w:p>
    <w:p>
      <w:pPr>
        <w:pStyle w:val="Heading2"/>
      </w:pPr>
      <w:r>
        <w:t>Приём и обработка</w:t>
      </w:r>
    </w:p>
    <w:p>
      <w:pPr>
        <w:pStyle w:val="ListBullet"/>
      </w:pPr>
      <w:r>
        <w:t>Форма отправляет данные на защищённый серверный endpoint. Сервер валидирует поля, создаёт lead_id, фиксирует время и сохраняет заявку в CRM либо надёжном журнале с последующей доставкой в CRM.</w:t>
      </w:r>
    </w:p>
    <w:p>
      <w:pPr>
        <w:pStyle w:val="ListBullet"/>
      </w:pPr>
      <w:r>
        <w:t>Одна попытка имеет idempotency_key: повторный клик и повтор сети не создают второй лид. Доставка в CRM повторяется при временном сбое; статус и причина ошибки сохраняются.</w:t>
      </w:r>
    </w:p>
    <w:p>
      <w:pPr>
        <w:pStyle w:val="ListBullet"/>
      </w:pPr>
      <w:r>
        <w:t>Telegram или email допустимы как уведомление ответственному, но не единственное хранилище. Ключи интеграций хранятся на сервере, не в коде страницы.</w:t>
      </w:r>
    </w:p>
    <w:p>
      <w:pPr>
        <w:pStyle w:val="ListBullet"/>
      </w:pPr>
      <w:r>
        <w:t>В CRM передать контакты, адрес, object_id, выбранный тариф, язык, вариант страницы, источник, время, версию согласия и статус предзаявки. Назначить ответственного и уведомление о новой заявке.</w:t>
      </w:r>
    </w:p>
    <w:p>
      <w:pPr>
        <w:pStyle w:val="ListBullet"/>
      </w:pPr>
      <w:r>
        <w:t>Статусы: новая → связались → техвозможность подтверждена → назначено → подключено; отдельно отказ с причиной и предзаявка. У заявки должен сохраняться один идентификатор по всей цепочке.</w:t>
      </w:r>
    </w:p>
    <w:p>
      <w:pPr>
        <w:pStyle w:val="Heading2"/>
      </w:pPr>
      <w:r>
        <w:t>Защита и согласия</w:t>
      </w:r>
    </w:p>
    <w:p>
      <w:r>
        <w:t>HTTPS, серверная валидация, ограничение частоты, honeypot; дополнительная проверка при подозрении на спам. Не передавать телефон, имя и адрес в URL, обычные события аналитики и публичные логи. Текст политики, срок хранения и модель согласий утверждает CITYNET с учётом применимых требований. Согласие на обработку заявки не объединять автоматически с подпиской на рекламу.</w:t>
      </w:r>
    </w:p>
    <w:p>
      <w:r>
        <w:br w:type="page"/>
      </w:r>
    </w:p>
    <w:p>
      <w:pPr>
        <w:pStyle w:val="Heading1"/>
      </w:pPr>
      <w:r>
        <w:t>8 Реклама и аналитика</w:t>
      </w:r>
    </w:p>
    <w:p>
      <w:pPr>
        <w:pStyle w:val="Heading2"/>
      </w:pPr>
      <w:r>
        <w:t>Соответствие объявления и страницы</w:t>
      </w:r>
    </w:p>
    <w:p>
      <w:r>
        <w:t>Google Search ведёт на общий либо адресный вариант с тем же объектом, тарифом и условиями, что в объявлении. Meta ведёт на вариант с тем же визуальным предложением и CTA. URL-параметры выбирают только заранее заданные безопасные варианты; произвольный текст из ссылки не подставляется в HTML. Пример пути: /internet/[object-slug].</w:t>
      </w:r>
    </w:p>
    <w:p>
      <w:r>
        <w:t>Сохранять utm_source, utm_medium, utm_campaign, utm_content, utm_term и при наличии gclid, gbraid, wbraid, fbclid. Источник первого входа и последний недиректный источник хранить раздельно в пределах согласованного срока и модели согласий. Переходы по якорям, отправка формы и редиректы не должны терять атрибуцию.</w:t>
      </w:r>
    </w:p>
    <w:p>
      <w:pPr>
        <w:pStyle w:val="Heading2"/>
      </w:pPr>
      <w:r>
        <w:t>События первой версии</w:t>
      </w:r>
    </w:p>
    <w:tbl>
      <w:tblPr>
        <w:tblW w:type="auto" w:w="0"/>
        <w:jc w:val="center"/>
        <w:tblLayout w:type="fixed"/>
        <w:tblLook w:firstColumn="1" w:firstRow="1" w:lastColumn="0" w:lastRow="0" w:noHBand="0" w:noVBand="1" w:val="04A0"/>
      </w:tblPr>
      <w:tblGrid>
        <w:gridCol w:w="2721"/>
        <w:gridCol w:w="4535"/>
        <w:gridCol w:w="2608"/>
      </w:tblGrid>
      <w:tr>
        <w:trPr>
          <w:cantSplit/>
          <w:tblHeader/>
        </w:trPr>
        <w:tc>
          <w:tcPr>
            <w:tcW w:type="dxa" w:w="2721"/>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Событие</w:t>
            </w:r>
          </w:p>
        </w:tc>
        <w:tc>
          <w:tcPr>
            <w:tcW w:type="dxa" w:w="4535"/>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Когда отправляется</w:t>
            </w:r>
          </w:p>
        </w:tc>
        <w:tc>
          <w:tcPr>
            <w:tcW w:type="dxa" w:w="2608"/>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Назначение</w:t>
            </w:r>
          </w:p>
        </w:tc>
      </w:tr>
      <w:tr>
        <w:trPr>
          <w:cantSplit/>
        </w:trPr>
        <w:tc>
          <w:tcPr>
            <w:tcW w:type="dxa" w:w="272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page_view</w:t>
            </w:r>
          </w:p>
        </w:tc>
        <w:tc>
          <w:tcPr>
            <w:tcW w:type="dxa" w:w="45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При просмотре страницы</w:t>
            </w:r>
          </w:p>
        </w:tc>
        <w:tc>
          <w:tcPr>
            <w:tcW w:type="dxa" w:w="2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Посещения в GA4</w:t>
            </w:r>
          </w:p>
        </w:tc>
      </w:tr>
      <w:tr>
        <w:trPr>
          <w:cantSplit/>
        </w:trPr>
        <w:tc>
          <w:tcPr>
            <w:tcW w:type="dxa" w:w="2721"/>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cta_click</w:t>
            </w:r>
          </w:p>
        </w:tc>
        <w:tc>
          <w:tcPr>
            <w:tcW w:type="dxa" w:w="4535"/>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Нажатие CTA с позицией кнопки</w:t>
            </w:r>
          </w:p>
        </w:tc>
        <w:tc>
          <w:tcPr>
            <w:tcW w:type="dxa" w:w="2608"/>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Диагностика интереса</w:t>
            </w:r>
          </w:p>
        </w:tc>
      </w:tr>
      <w:tr>
        <w:trPr>
          <w:cantSplit/>
        </w:trPr>
        <w:tc>
          <w:tcPr>
            <w:tcW w:type="dxa" w:w="272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select_tariff</w:t>
            </w:r>
          </w:p>
        </w:tc>
        <w:tc>
          <w:tcPr>
            <w:tcW w:type="dxa" w:w="45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Выбор SMART / PRO / MAX</w:t>
            </w:r>
          </w:p>
        </w:tc>
        <w:tc>
          <w:tcPr>
            <w:tcW w:type="dxa" w:w="2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Интерес к тарифу</w:t>
            </w:r>
          </w:p>
        </w:tc>
      </w:tr>
      <w:tr>
        <w:trPr>
          <w:cantSplit/>
        </w:trPr>
        <w:tc>
          <w:tcPr>
            <w:tcW w:type="dxa" w:w="2721"/>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form_start</w:t>
            </w:r>
          </w:p>
        </w:tc>
        <w:tc>
          <w:tcPr>
            <w:tcW w:type="dxa" w:w="4535"/>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Первое взаимодействие с формой</w:t>
            </w:r>
          </w:p>
        </w:tc>
        <w:tc>
          <w:tcPr>
            <w:tcW w:type="dxa" w:w="2608"/>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Начало заполнения</w:t>
            </w:r>
          </w:p>
        </w:tc>
      </w:tr>
      <w:tr>
        <w:trPr>
          <w:cantSplit/>
        </w:trPr>
        <w:tc>
          <w:tcPr>
            <w:tcW w:type="dxa" w:w="272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form_error</w:t>
            </w:r>
          </w:p>
        </w:tc>
        <w:tc>
          <w:tcPr>
            <w:tcW w:type="dxa" w:w="45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Ошибка проверки или отправки, без значений полей</w:t>
            </w:r>
          </w:p>
        </w:tc>
        <w:tc>
          <w:tcPr>
            <w:tcW w:type="dxa" w:w="2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Диагностика потерь</w:t>
            </w:r>
          </w:p>
        </w:tc>
      </w:tr>
      <w:tr>
        <w:trPr>
          <w:cantSplit/>
        </w:trPr>
        <w:tc>
          <w:tcPr>
            <w:tcW w:type="dxa" w:w="2721"/>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generate_lead / Lead</w:t>
            </w:r>
          </w:p>
        </w:tc>
        <w:tc>
          <w:tcPr>
            <w:tcW w:type="dxa" w:w="4535"/>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Только после успешного сохранения заявки</w:t>
            </w:r>
          </w:p>
        </w:tc>
        <w:tc>
          <w:tcPr>
            <w:tcW w:type="dxa" w:w="2608"/>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GA4 / Meta, основная конверсия</w:t>
            </w:r>
          </w:p>
        </w:tc>
      </w:tr>
      <w:tr>
        <w:trPr>
          <w:cantSplit/>
        </w:trPr>
        <w:tc>
          <w:tcPr>
            <w:tcW w:type="dxa" w:w="272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click_phone / click_telegram</w:t>
            </w:r>
          </w:p>
        </w:tc>
        <w:tc>
          <w:tcPr>
            <w:tcW w:type="dxa" w:w="45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Нажатие контакта</w:t>
            </w:r>
          </w:p>
        </w:tc>
        <w:tc>
          <w:tcPr>
            <w:tcW w:type="dxa" w:w="2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Микроконверсия, не факт обращения</w:t>
            </w:r>
          </w:p>
        </w:tc>
      </w:tr>
    </w:tbl>
    <w:p/>
    <w:p>
      <w:r>
        <w:t>GA4 generate_lead — рекомендованное событие заявки [1]; form_start также доступно через автоматический сбор взаимодействий с формами. Остальные диагностические события задаются проектом. Параметры: form_id, cta_location, tariff_id, object_id, language, page_variant; без персональных данных. Для лида использовать уникальный event_id. Выбрать один источник form_start, исключив двойной сбор.</w:t>
      </w:r>
    </w:p>
    <w:p>
      <w:pPr>
        <w:pStyle w:val="Heading2"/>
      </w:pPr>
      <w:r>
        <w:t>Подключение рекламных систем</w:t>
      </w:r>
    </w:p>
    <w:p>
      <w:r>
        <w:t>Установить GTM и GA4, Google Ads conversion tag [2] и Meta Pixel с PageView в аккаунтах CITYNET. Для Google Ads выбрать один основной способ учёта заявки: прямой тег либо импорт события GA4. Не считать оба основными для одной заявки. Клики по контактам оставить вторичными. Проверить теги через Tag Assistant, GA4 DebugView и Meta Test Events.</w:t>
      </w:r>
    </w:p>
    <w:p>
      <w:r>
        <w:t>Дополнительный этап: Meta Conversions API с согласованной дедупликацией браузерного и серверного события; экспорт квалификации и подключений из CRM в рекламные системы. Реализовывать после проверки текущей документации, доступов и модели согласий. Базовая версия должна сохранять идентификаторы, необходимые для такой связи.</w:t>
      </w:r>
    </w:p>
    <w:p>
      <w:pPr>
        <w:pStyle w:val="Heading2"/>
      </w:pPr>
      <w:r>
        <w:t>Оценка результата</w:t>
      </w:r>
    </w:p>
    <w:p>
      <w:r>
        <w:t>Отчёт по каналу, кампании, объекту и варианту: визиты → уникальные заявки → технически возможные → подключения. CR = заявки / сеансы; CPL = расходы / заявки; стоимость подключения = расходы / подключения. Целевые бизнес-значения утвердить после накопления данных, не выдавать прогнозы проекта за гарантию результата.</w:t>
      </w:r>
    </w:p>
    <w:p>
      <w:r>
        <w:br w:type="page"/>
      </w:r>
    </w:p>
    <w:p>
      <w:pPr>
        <w:pStyle w:val="Heading1"/>
      </w:pPr>
      <w:r>
        <w:t>9 Технические требования</w:t>
      </w:r>
    </w:p>
    <w:p>
      <w:pPr>
        <w:pStyle w:val="Heading2"/>
      </w:pPr>
      <w:r>
        <w:t>Адаптивность и доступность</w:t>
      </w:r>
    </w:p>
    <w:p>
      <w:pPr>
        <w:pStyle w:val="ListBullet"/>
      </w:pPr>
      <w:r>
        <w:t>Рабочий диапазон ширин от 360 px; проверить 360, 390, 768, 1024 и 1440 px. Нет горизонтального скролла, обрезанных цен и перекрытых полей. При увеличении текста до 200% интерфейс остаётся пригодным.</w:t>
      </w:r>
    </w:p>
    <w:p>
      <w:pPr>
        <w:pStyle w:val="ListBullet"/>
      </w:pPr>
      <w:r>
        <w:t>Размер активных зон не менее 44 × 44 px. Видимый фокус, подписи полей, управление меню и FAQ с клавиатуры. Контраст текста: целевой минимум 4,5:1 для обычного и 3:1 для крупного.</w:t>
      </w:r>
    </w:p>
    <w:p>
      <w:pPr>
        <w:pStyle w:val="ListBullet"/>
      </w:pPr>
      <w:r>
        <w:t>Фиксированная нижняя кнопка на mobile допустима; скрывать её при видимой форме и открытой клавиатуре. Она не закрывает согласие, контакты и сообщения об ошибке.</w:t>
      </w:r>
    </w:p>
    <w:p>
      <w:pPr>
        <w:pStyle w:val="ListBullet"/>
      </w:pPr>
      <w:r>
        <w:t>Проверить Chrome Android, Safari iOS, современные Chrome, Edge и Safari на desktop, а также встроенные браузеры Instagram и Facebook.</w:t>
      </w:r>
    </w:p>
    <w:p>
      <w:pPr>
        <w:pStyle w:val="Heading2"/>
      </w:pPr>
      <w:r>
        <w:t>Скорость</w:t>
      </w:r>
    </w:p>
    <w:p>
      <w:r>
        <w:t>Целевые Core Web Vitals: LCP ≤ 2,5 с, INP ≤ 200 мс, CLS ≤ 0,1 на 75-м процентиле реальных посещений отдельно для mobile и desktop. До запуска — лабораторная проверка мобильного сценария с зафиксированными условиями; Lighthouse не подменяет полевой замер INP. После накопления трафика проверить реальные метрики [3].</w:t>
      </w:r>
    </w:p>
    <w:p>
      <w:r>
        <w:t>Бюджет первой загрузки: ориентир до 1,5 МБ переданных данных, главная иллюстрация до 250 КБ, шрифты по возможности до 200 КБ суммарно. Задать размеры изображений, отложить загрузку графики ниже первого экрана, не откладывать главный LCP-ресурс. Подключать только используемые начертания WOFF2 с font-display: swap и правом веб-использования.</w:t>
      </w:r>
    </w:p>
    <w:p>
      <w:pPr>
        <w:pStyle w:val="Heading2"/>
      </w:pPr>
      <w:r>
        <w:t>Архитектура и редактирование</w:t>
      </w:r>
    </w:p>
    <w:p>
      <w:r>
        <w:t>Допустимы статическая генерация или лёгкая серверная вёрстка с отдельным обработчиком формы. Выбор платформы фиксирует разработчик по инфраструктуре CITYNET. Основной контент доступен в HTML, форма обрабатывается сервером. Визуальные эффекты не блокируют загрузку.</w:t>
      </w:r>
    </w:p>
    <w:p>
      <w:r>
        <w:t>Без правки вёрстки должны меняться: тарифы и условия, список объектов и статусы, контакты, FAQ, отзывы, тексты первого экрана и срок ответа. Использовать простую CMS либо документированный конфигурационный файл с предпросмотром и откатом. CRM и её API согласовать до разработки интеграции.</w:t>
      </w:r>
    </w:p>
    <w:p>
      <w:pPr>
        <w:pStyle w:val="Heading2"/>
      </w:pPr>
      <w:r>
        <w:t>Публикация и поисковые настройки</w:t>
      </w:r>
    </w:p>
    <w:p>
      <w:r>
        <w:t>Согласованный домен CITYNET, HTTPS, favicon из утверждённого знака, один H1, последовательные H2/H3, title/description, Open Graph. Пример title: «Домашний интернет CITYNET — тарифы и подключение». Тестовый стенд закрыть от индексации; на публичной странице снять тестовые запреты. Для вариантов с рекламными параметрами задать canonical без UTM; адресные страницы индексировать только при уникальном полезном содержании.</w:t>
      </w:r>
    </w:p>
    <w:p>
      <w:r>
        <w:t>Обеспечить страницу 404, работоспособность прямых ссылок на объект и благодарность, резервную копию, мониторинг доступности формы и журнал ошибок без персональных данных. Сценарий заявки работает при отказе рекламных тегов и отклонении необязательных cookies.</w:t>
      </w:r>
    </w:p>
    <w:p>
      <w:r>
        <w:br w:type="page"/>
      </w:r>
    </w:p>
    <w:p>
      <w:pPr>
        <w:pStyle w:val="Heading1"/>
      </w:pPr>
      <w:r>
        <w:t>10 Приёмка и материалы для запуска</w:t>
      </w:r>
    </w:p>
    <w:p>
      <w:pPr>
        <w:pStyle w:val="Heading2"/>
      </w:pPr>
      <w:r>
        <w:t>Критерии готовности</w:t>
      </w:r>
    </w:p>
    <w:tbl>
      <w:tblPr>
        <w:tblW w:type="auto" w:w="0"/>
        <w:jc w:val="center"/>
        <w:tblLayout w:type="fixed"/>
        <w:tblLook w:firstColumn="1" w:firstRow="1" w:lastColumn="0" w:lastRow="0" w:noHBand="0" w:noVBand="1" w:val="04A0"/>
      </w:tblPr>
      <w:tblGrid>
        <w:gridCol w:w="2324"/>
        <w:gridCol w:w="7540"/>
      </w:tblGrid>
      <w:tr>
        <w:trPr>
          <w:cantSplit/>
          <w:tblHeader/>
        </w:trPr>
        <w:tc>
          <w:tcPr>
            <w:tcW w:type="dxa" w:w="2324"/>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Проверка</w:t>
            </w:r>
          </w:p>
        </w:tc>
        <w:tc>
          <w:tcPr>
            <w:tcW w:type="dxa" w:w="7540"/>
            <w:vAlign w:val="center"/>
            <w:shd w:fill="161A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18"/>
              </w:rPr>
              <w:t>Результат для приёмки</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Дизайн</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Утверждены desktop/mobile, все блоки и состояния; цвета и оригинальные логотипы соблюдены</w:t>
            </w:r>
          </w:p>
        </w:tc>
      </w:tr>
      <w:tr>
        <w:trPr>
          <w:cantSplit/>
        </w:trPr>
        <w:tc>
          <w:tcPr>
            <w:tcW w:type="dxa" w:w="2324"/>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Контент</w:t>
            </w:r>
          </w:p>
        </w:tc>
        <w:tc>
          <w:tcPr>
            <w:tcW w:type="dxa" w:w="7540"/>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Тарифы, покрытие, контакты, условия оборудования и тексты подтверждены CITYNET</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Форма</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Валидная заявка сохранена с lead_id; ошибки понятны; повторный клик не создаёт дубль</w:t>
            </w:r>
          </w:p>
        </w:tc>
      </w:tr>
      <w:tr>
        <w:trPr>
          <w:cantSplit/>
        </w:trPr>
        <w:tc>
          <w:tcPr>
            <w:tcW w:type="dxa" w:w="2324"/>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Сбой интеграции</w:t>
            </w:r>
          </w:p>
        </w:tc>
        <w:tc>
          <w:tcPr>
            <w:tcW w:type="dxa" w:w="7540"/>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Нет ложного успеха до сохранения; заявка доставляется повторно; ответственный видит сбой</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Источники</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Тестовые переходы из Google и Meta сохраняют UTM и доступные click ID в заявке</w:t>
            </w:r>
          </w:p>
        </w:tc>
      </w:tr>
      <w:tr>
        <w:trPr>
          <w:cantSplit/>
        </w:trPr>
        <w:tc>
          <w:tcPr>
            <w:tcW w:type="dxa" w:w="2324"/>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Конверсии</w:t>
            </w:r>
          </w:p>
        </w:tc>
        <w:tc>
          <w:tcPr>
            <w:tcW w:type="dxa" w:w="7540"/>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Один успешный лид даёт одно событие в каждой системе; ошибка, клик и перезагрузка не дают лид</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Мобильная версия</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Форма, меню, тарифы и согласие работают на заявленных ширинах и браузерах</w:t>
            </w:r>
          </w:p>
        </w:tc>
      </w:tr>
      <w:tr>
        <w:trPr>
          <w:cantSplit/>
        </w:trPr>
        <w:tc>
          <w:tcPr>
            <w:tcW w:type="dxa" w:w="2324"/>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Скорость и доступность</w:t>
            </w:r>
          </w:p>
        </w:tc>
        <w:tc>
          <w:tcPr>
            <w:tcW w:type="dxa" w:w="7540"/>
            <w:vAlign w:val="center"/>
            <w:shd w:fill="F2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Передан отчёт измерений, нет критических проблем с загрузкой, контрастом и клавиатурой</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Передача</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color w:val="000000"/>
                <w:sz w:val="18"/>
              </w:rPr>
              <w:t>Макеты, исходники, доступы, конфигурация тегов и инструкция обновления принадлежат CITYNET</w:t>
            </w:r>
          </w:p>
        </w:tc>
      </w:tr>
    </w:tbl>
    <w:p/>
    <w:p>
      <w:pPr>
        <w:pStyle w:val="Heading2"/>
      </w:pPr>
      <w:r>
        <w:t>Что передаёт CITYNET</w:t>
      </w:r>
    </w:p>
    <w:p>
      <w:r>
        <w:t>До финальной публикации: актуальные тарифы и договорные условия; список действующих и запускаемых объектов; телефон, Telegram и часы работы; реквизиты и утверждённые правовые тексты; домен и хостинг; CRM и её доступы; идентификаторы GTM, GA4, Google Ads и Meta Pixel; файлы шрифтов с лицензиями; фотографии и разрешённые отзывы; ответственный за обработку заявок и согласованный срок ответа.</w:t>
      </w:r>
    </w:p>
    <w:p>
      <w:pPr>
        <w:pStyle w:val="Heading2"/>
      </w:pPr>
      <w:r>
        <w:t>Что сдаёт исполнитель</w:t>
      </w:r>
    </w:p>
    <w:p>
      <w:r>
        <w:t>1. Макеты и интерактивный прототип с компонентами и мобильной версией.</w:t>
        <w:br/>
        <w:t>2. Работающую страницу и адресные варианты на тестовом стенде.</w:t>
        <w:br/>
        <w:t>3. Приём заявок и подтверждённую доставку в выбранную систему.</w:t>
        <w:br/>
        <w:t>4. Настроенные события, схему атрибуции и результаты тестовых отправок.</w:t>
        <w:br/>
        <w:t>5. Исходники, оптимизированные активы и краткую инструкцию изменения контента.</w:t>
        <w:br/>
        <w:t>6. Публикацию после проверки материалов и согласования приёмки CITYNET.</w:t>
      </w:r>
    </w:p>
    <w:p>
      <w:pPr>
        <w:pStyle w:val="Heading2"/>
      </w:pPr>
      <w:r>
        <w:t>Источники и технические ссылки</w:t>
      </w:r>
    </w:p>
    <w:p>
      <w:r>
        <w:t>Материалы проекта: CITYNET_Мастер_документ_2026_2027.docx от 09.09.2026 — разделы 2, 3, 5, 7 и 8; CITYNET.xlsx — листы «ЦА», «CJM», «Strategy» и «SWOT». Приложения пользователя: визуальный референс 082cfc6d-c624-4206-9a99-b6ca39331db3.jpg, color (2).png и white (2).png. Проектные рекламные гипотезы не являются подтверждением публичных обещаний.</w:t>
      </w:r>
    </w:p>
    <w:p>
      <w:r>
        <w:t>[1] Google Analytics — рекомендованные события</w:t>
        <w:br/>
        <w:t>https://support.google.com/analytics/answer/9267735?hl=en</w:t>
      </w:r>
    </w:p>
    <w:p>
      <w:r>
        <w:t>[2] Google Ads — отслеживание конверсий</w:t>
        <w:br/>
        <w:t>https://support.google.com/google-ads/answer/7548399?hl=en</w:t>
      </w:r>
    </w:p>
    <w:p>
      <w:r>
        <w:t>[3] Google web.dev — Core Web Vitals</w:t>
        <w:br/>
        <w:t>https://web.dev/articles/vitals</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CITYNET  /  ТЗ лендинга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лендинг CITYNET</dc:title>
  <dc:subject>Посадочная страница для рекламы Meta и Google</dc:subject>
  <dc:creator>CITYNET</dc:creator>
  <cp:keywords/>
  <dc:description>generated by python-docx</dc:description>
  <cp:lastModifiedBy/>
  <cp:revision>1</cp:revision>
  <dcterms:created xsi:type="dcterms:W3CDTF">2013-12-23T23:15:00Z</dcterms:created>
  <dcterms:modified xsi:type="dcterms:W3CDTF">2013-12-23T23:15:00Z</dcterms:modified>
  <cp:category/>
</cp:coreProperties>
</file>