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CHAPTER ONE</w:t>
      </w:r>
    </w:p>
    <w:p>
      <w:pPr>
        <w:bidi w:val="0"/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INTRODUCTION</w:t>
      </w:r>
    </w:p>
    <w:p>
      <w:pPr>
        <w:bidi w:val="0"/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1.1 Background of study.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1.2 Statement of Problem.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1.3 Objectives of the Study.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1.4 Research Questions.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1.5 Scope of Study.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1.6 Significance of Study.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1.7 Research Methodology.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1.8 Definition of Terms.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>
      <w:pPr>
        <w:bidi w:val="0"/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CHAPTER TWO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LITERATURE REVIEW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30"/>
          <w:szCs w:val="30"/>
          <w:lang w:val="en-US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2.1 Conceptual Review.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2.2 Theoretical Framework.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2.3 Legislative Review.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2.4 Summary of Literature </w:t>
      </w:r>
      <w:bookmarkStart w:id="0" w:name="_GoBack"/>
      <w:bookmarkEnd w:id="0"/>
      <w:r>
        <w:rPr>
          <w:rFonts w:hint="default"/>
          <w:sz w:val="24"/>
          <w:szCs w:val="24"/>
          <w:lang w:val="en-US"/>
        </w:rPr>
        <w:t>Review.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>
      <w:pPr>
        <w:bidi w:val="0"/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CHAPTER THREE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LEGAL AND INSTITUTIONAL FRAMEWORK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30"/>
          <w:szCs w:val="30"/>
          <w:lang w:val="en-US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3.1 Overview of Cybercrimes Act 2015.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3.2 Role of Law Enforcement Agencies (EFCC, POLICE CYBERCRIME UNIT, etc.).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3.3 Judicial Framework.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3.4 International Legal Instruments.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>
      <w:pPr>
        <w:bidi w:val="0"/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CHAPTER FOUR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CHALLENGES OF PROSECUTING CYBERCRIME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30"/>
          <w:szCs w:val="30"/>
          <w:lang w:val="en-US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4.1 Admissibility of Digital Evidence.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4.2 </w:t>
      </w:r>
      <w:r>
        <w:rPr>
          <w:rFonts w:hint="default"/>
          <w:sz w:val="24"/>
          <w:szCs w:val="24"/>
          <w:lang w:val="en-US" w:eastAsia="zh-CN"/>
        </w:rPr>
        <w:t>Technical Capacity and Investigative Limitations.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4.3 Jurisdictional and Cross-Border Issues (Offenders abroad, extradition challenges.)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4.4 Institutional Coordination (Overlapping mandates, weak cooperation.)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4.5 Legislative Gaps.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p>
      <w:pPr>
        <w:bidi w:val="0"/>
        <w:spacing w:line="360" w:lineRule="auto"/>
        <w:jc w:val="center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CHAPTER FIVE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t>SUMMARY, FINDINGS, CONCLUSION AND RECOMMENDATIONS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b/>
          <w:bCs/>
          <w:sz w:val="30"/>
          <w:szCs w:val="30"/>
          <w:lang w:val="en-US" w:eastAsia="zh-CN"/>
        </w:rPr>
      </w:pPr>
    </w:p>
    <w:p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5.1 </w:t>
      </w:r>
      <w:r>
        <w:t>Summary of Study</w:t>
      </w:r>
      <w:r>
        <w:rPr>
          <w:rFonts w:hint="default"/>
          <w:lang w:val="en-US"/>
        </w:rPr>
        <w:t>.</w:t>
      </w:r>
    </w:p>
    <w:p>
      <w:pPr>
        <w:pStyle w:val="6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5.2 </w:t>
      </w:r>
      <w:r>
        <w:t>Major Findings</w:t>
      </w:r>
      <w:r>
        <w:rPr>
          <w:rFonts w:hint="default"/>
          <w:lang w:val="en-US"/>
        </w:rPr>
        <w:t xml:space="preserve"> and </w:t>
      </w:r>
      <w:r>
        <w:t>General observations</w:t>
      </w:r>
    </w:p>
    <w:p>
      <w:pPr>
        <w:pStyle w:val="6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5.3 </w:t>
      </w:r>
      <w:r>
        <w:t>Conclusion</w:t>
      </w:r>
      <w:r>
        <w:rPr>
          <w:rFonts w:hint="default"/>
          <w:lang w:val="en-US"/>
        </w:rPr>
        <w:t>.</w:t>
      </w:r>
    </w:p>
    <w:p>
      <w:pPr>
        <w:pStyle w:val="6"/>
        <w:keepNext w:val="0"/>
        <w:keepLines w:val="0"/>
        <w:widowControl/>
        <w:suppressLineNumbers w:val="0"/>
        <w:rPr>
          <w:rFonts w:hint="default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5.4 </w:t>
      </w:r>
      <w:r>
        <w:t>Recommendation</w:t>
      </w:r>
      <w:r>
        <w:rPr>
          <w:rFonts w:hint="default"/>
          <w:lang w:val="en-US"/>
        </w:rPr>
        <w:t>s.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B06D4"/>
    <w:rsid w:val="7FDB06D4"/>
    <w:rsid w:val="93FFA021"/>
    <w:rsid w:val="FA3EF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2025-12-10T16:53:00Z</dcterms:created>
  <dc:creator>ugo.b</dc:creator>
  <cp:lastModifiedBy>ugo.b</cp:lastModifiedBy>
  <dcterms:modified xsi:type="dcterms:W3CDTF">2026-01-21T14:46:20Z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