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ABSTRACT</w:t>
      </w:r>
    </w:p>
    <w:p>
      <w:pPr>
        <w:pStyle w:val="5"/>
        <w:keepNext w:val="0"/>
        <w:keepLines w:val="0"/>
        <w:widowControl/>
        <w:suppressLineNumbers w:val="0"/>
        <w:spacing w:line="240" w:lineRule="auto"/>
        <w:jc w:val="both"/>
      </w:pPr>
      <w:r>
        <w:t>Cybercrime has become one of the fastest</w:t>
      </w:r>
      <w:r>
        <w:rPr>
          <w:rFonts w:hint="default"/>
          <w:lang w:val="en-US"/>
        </w:rPr>
        <w:t xml:space="preserve"> </w:t>
      </w:r>
      <w:r>
        <w:t>growing forms of criminal activity in Nigeria, affecting individuals,</w:t>
      </w:r>
      <w:r>
        <w:rPr>
          <w:rFonts w:hint="default"/>
          <w:lang w:val="en-US"/>
        </w:rPr>
        <w:t xml:space="preserve"> businesses,</w:t>
      </w:r>
      <w:r>
        <w:t xml:space="preserve"> financial institutions and government agencies. In response to this development, the Cybercrimes (Prohibition, Prevention, etc.) Act 2015 was enacted to provide a legal framework for preventing and prosecuting </w:t>
      </w:r>
      <w:r>
        <w:rPr>
          <w:lang w:val="en-US"/>
        </w:rPr>
        <w:t>cyber-related</w:t>
      </w:r>
      <w:r>
        <w:t xml:space="preserve"> offences. However, despite the existence of this legislation, the effective prosecution of cybercr</w:t>
      </w:r>
      <w:r>
        <w:rPr>
          <w:rFonts w:hint="default"/>
          <w:lang w:val="en-US"/>
        </w:rPr>
        <w:t>i</w:t>
      </w:r>
      <w:r>
        <w:t>me</w:t>
      </w:r>
      <w:r>
        <w:rPr>
          <w:rFonts w:hint="default"/>
          <w:lang w:val="en-US"/>
        </w:rPr>
        <w:t xml:space="preserve"> </w:t>
      </w:r>
      <w:r>
        <w:t>in Nigeria remains fraught with numerous challenges.</w:t>
      </w:r>
    </w:p>
    <w:p>
      <w:pPr>
        <w:pStyle w:val="5"/>
        <w:keepNext w:val="0"/>
        <w:keepLines w:val="0"/>
        <w:widowControl/>
        <w:suppressLineNumbers w:val="0"/>
        <w:jc w:val="both"/>
      </w:pPr>
      <w:r>
        <w:t>This study</w:t>
      </w:r>
      <w:r>
        <w:rPr>
          <w:rFonts w:hint="default"/>
          <w:lang w:val="en-US"/>
        </w:rPr>
        <w:t xml:space="preserve"> seeks to</w:t>
      </w:r>
      <w:r>
        <w:t xml:space="preserve"> examine</w:t>
      </w:r>
      <w:r>
        <w:rPr>
          <w:rFonts w:hint="default"/>
          <w:lang w:val="en-US"/>
        </w:rPr>
        <w:t xml:space="preserve"> </w:t>
      </w:r>
      <w:r>
        <w:t>the major obstacles confronting the prosecution of cybercrime under the Cybercrimes Act 2015. The research</w:t>
      </w:r>
      <w:r>
        <w:rPr>
          <w:rFonts w:hint="default"/>
          <w:lang w:val="en-US"/>
        </w:rPr>
        <w:t xml:space="preserve"> will</w:t>
      </w:r>
      <w:r>
        <w:t xml:space="preserve"> adopt</w:t>
      </w:r>
      <w:r>
        <w:rPr>
          <w:rFonts w:hint="default"/>
          <w:lang w:val="en-US"/>
        </w:rPr>
        <w:t xml:space="preserve"> </w:t>
      </w:r>
      <w:r>
        <w:t>a doctrinal methodology, relying on statutory analysis, judicial decisions, academic literature</w:t>
      </w:r>
      <w:r>
        <w:rPr>
          <w:rFonts w:hint="default"/>
          <w:lang w:val="en-US"/>
        </w:rPr>
        <w:t xml:space="preserve"> and commentary,</w:t>
      </w:r>
      <w:r>
        <w:t xml:space="preserve"> and relevant </w:t>
      </w:r>
      <w:r>
        <w:rPr>
          <w:rFonts w:hint="default"/>
          <w:lang w:val="en-US"/>
        </w:rPr>
        <w:t>online</w:t>
      </w:r>
      <w:r>
        <w:t xml:space="preserve"> materials. The study</w:t>
      </w:r>
      <w:r>
        <w:rPr>
          <w:rFonts w:hint="default"/>
          <w:lang w:val="en-US"/>
        </w:rPr>
        <w:t xml:space="preserve"> intends to</w:t>
      </w:r>
      <w:r>
        <w:t xml:space="preserve"> </w:t>
      </w:r>
      <w:r>
        <w:rPr>
          <w:rFonts w:hint="default"/>
          <w:lang w:val="en-US"/>
        </w:rPr>
        <w:t xml:space="preserve">explore </w:t>
      </w:r>
      <w:r>
        <w:t xml:space="preserve">difficulties in obtaining and admitting digital evidence, inadequate technical capacity </w:t>
      </w:r>
      <w:r>
        <w:rPr>
          <w:rFonts w:hint="default"/>
          <w:lang w:val="en-US"/>
        </w:rPr>
        <w:t>within</w:t>
      </w:r>
      <w:r>
        <w:t xml:space="preserve"> law</w:t>
      </w:r>
      <w:r>
        <w:rPr>
          <w:rFonts w:hint="default"/>
          <w:lang w:val="en-US"/>
        </w:rPr>
        <w:t xml:space="preserve"> </w:t>
      </w:r>
      <w:r>
        <w:t>enforcement agencies, jurisdictional complexities</w:t>
      </w:r>
      <w:r>
        <w:rPr>
          <w:rFonts w:hint="default"/>
          <w:lang w:val="en-US"/>
        </w:rPr>
        <w:t xml:space="preserve">, </w:t>
      </w:r>
      <w:r>
        <w:t xml:space="preserve">weak </w:t>
      </w:r>
      <w:r>
        <w:rPr>
          <w:lang w:val="en-US"/>
        </w:rPr>
        <w:t>inter-agency</w:t>
      </w:r>
      <w:r>
        <w:t xml:space="preserve"> coordination </w:t>
      </w:r>
      <w:r>
        <w:rPr>
          <w:rFonts w:hint="default"/>
          <w:lang w:val="en-US"/>
        </w:rPr>
        <w:t xml:space="preserve">as well as potential </w:t>
      </w:r>
      <w:r>
        <w:t>gaps within the Act that limit its practical effectiveness.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The research is expected to provide insight into the extent to which the current legal and institutional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framework facilitates or hinders the prosecution of cybercrime in Nigeria, and it will propose reforms aimed at strengthening the effectiveness of the Act.</w:t>
      </w:r>
    </w:p>
    <w:p>
      <w:pPr>
        <w:pStyle w:val="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Comfortaa SemiBold">
    <w:panose1 w:val="00000000000000000000"/>
    <w:charset w:val="00"/>
    <w:family w:val="auto"/>
    <w:pitch w:val="default"/>
    <w:sig w:usb0="A00002FF" w:usb1="4000007B" w:usb2="00000000" w:usb3="00000000" w:csb0="2000019F" w:csb1="00000000"/>
  </w:font>
  <w:font w:name="Noto Serif SemiBold">
    <w:panose1 w:val="02020702060505020204"/>
    <w:charset w:val="00"/>
    <w:family w:val="auto"/>
    <w:pitch w:val="default"/>
    <w:sig w:usb0="E00002FF" w:usb1="4000201F" w:usb2="08000029" w:usb3="00100000" w:csb0="0000019F" w:csb1="00000000"/>
  </w:font>
  <w:font w:name="Noto Serif Telugu">
    <w:panose1 w:val="00000000000000000000"/>
    <w:charset w:val="00"/>
    <w:family w:val="auto"/>
    <w:pitch w:val="default"/>
    <w:sig w:usb0="80208003" w:usb1="00002042" w:usb2="00000000" w:usb3="00000000" w:csb0="00000001" w:csb1="00000000"/>
  </w:font>
  <w:font w:name="PakType Naskh Basic Wide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RIT Meera New">
    <w:panose1 w:val="00000500000000000000"/>
    <w:charset w:val="00"/>
    <w:family w:val="auto"/>
    <w:pitch w:val="default"/>
    <w:sig w:usb0="80800001" w:usb1="00002002" w:usb2="00000000" w:usb3="00000000" w:csb0="00000001" w:csb1="00000000"/>
  </w:font>
  <w:font w:name="RIT Rachana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Open Sans Light">
    <w:panose1 w:val="020B0306030504020204"/>
    <w:charset w:val="00"/>
    <w:family w:val="auto"/>
    <w:pitch w:val="default"/>
    <w:sig w:usb0="E00002EF" w:usb1="4000205B" w:usb2="00000028" w:usb3="00000000" w:csb0="2000019F" w:csb1="00000000"/>
  </w:font>
  <w:font w:name="P052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tandard Symbols PS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a">
    <w:panose1 w:val="02020503060805020204"/>
    <w:charset w:val="00"/>
    <w:family w:val="auto"/>
    <w:pitch w:val="default"/>
    <w:sig w:usb0="E00002FF" w:usb1="4200FFFF" w:usb2="0F040021" w:usb3="0580A068" w:csb0="6000019F" w:csb1="DFD70000"/>
  </w:font>
  <w:font w:name="URW Bookman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zirmatn">
    <w:panose1 w:val="00000000000000000000"/>
    <w:charset w:val="00"/>
    <w:family w:val="auto"/>
    <w:pitch w:val="default"/>
    <w:sig w:usb0="8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F92F3"/>
    <w:rsid w:val="4ABB0BF5"/>
    <w:rsid w:val="6F7EB21B"/>
    <w:rsid w:val="7DBF9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2025-12-10T13:58:00Z</dcterms:created>
  <dc:creator>ugo.b</dc:creator>
  <cp:lastModifiedBy>ugo.b</cp:lastModifiedBy>
  <dcterms:modified xsi:type="dcterms:W3CDTF">2025-12-10T14:53:37Z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