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c8jghhlmb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Template Builder Documentation (custom_template)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10kkrz389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custom_template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User-Defined — set per instance, not fixed by the template itself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None of the fixed templates in this library (RFP, RFQ, RFI, SOW, contracts, scorecard, PO) fit the document being requested — a one-off or novel document type with its own sections and its own governing tone.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meta-template: rather than a fixed set of sections, it's a pattern for composing sections on demand from a short spec — a tone, and a list of section names with brief descriptions. Every fixed template in this library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rfp_enterprise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sow_agile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contract_msa</w:t>
      </w:r>
      <w:r w:rsidDel="00000000" w:rsidR="00000000" w:rsidRPr="00000000">
        <w:rPr>
          <w:rtl w:val="0"/>
        </w:rPr>
        <w:t xml:space="preserve">, and the rest) was itself built by applying this pattern once and then locking the result.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custom_template</w:t>
      </w:r>
      <w:r w:rsidDel="00000000" w:rsidR="00000000" w:rsidRPr="00000000">
        <w:rPr>
          <w:rtl w:val="0"/>
        </w:rPr>
        <w:t xml:space="preserve"> directly only for a document that won't be reused as-is; if a custom document turns out to be needed repeatedly, it's worth promoting it into its own fixed template afterward.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recommended for:</w:t>
      </w:r>
      <w:r w:rsidDel="00000000" w:rsidR="00000000" w:rsidRPr="00000000">
        <w:rPr>
          <w:rtl w:val="0"/>
        </w:rPr>
        <w:t xml:space="preserve"> a document that matches or nearly matches an existing fixed template — adapt that template instead of starting from scratch, since consistency across documents of the same type is usually more valuable than a bespoke structure.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ztn7tr9qj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Dynamic Section Composition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Defines how a requester specifies an arbitrary set of sections for a document that doesn't match any fixed template — the input this pattern needs to produce a coherent structure.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when requesting a custom template: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name and a short template ID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partner_onboarding_packet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one-line tone descriptor (e.g., "Formal &amp; Evaluative", "Exploratory &amp; Open") that sets word choice and level of hedging throughout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ordered list of section names, each with a few words of intent (what that section needs to accomplish)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sections that must reference or stay consistent with sections in another template already in this library (cross-references)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intended audience and end use of the document, if it affects structure (internal-only vs. shared externally, one-time vs. recurring)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Drafting guidance:</w:t>
      </w:r>
      <w:r w:rsidDel="00000000" w:rsidR="00000000" w:rsidRPr="00000000">
        <w:rPr>
          <w:rtl w:val="0"/>
        </w:rPr>
        <w:t xml:space="preserve"> Keep section count reasonable (typically 3–8) and each section's intent distinct — overlapping section intents produce duplicated content, and this is the most common quality issue in a first-pass custom composition.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szl9dhvjt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Custom Guidance Instructions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Every section in this library's fixed templates follows the same internal shape — Purpose, Include, Drafting guidance — because that shape is what makes a template actually usable rather than just a list of headings. This section defines that shape for custom sections too.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composed section should contain: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one to two sentences on why this section exists and what it accomplishes in the document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Include:</w:t>
      </w:r>
      <w:r w:rsidDel="00000000" w:rsidR="00000000" w:rsidRPr="00000000">
        <w:rPr>
          <w:rtl w:val="0"/>
        </w:rPr>
        <w:t xml:space="preserve"> a bulleted list of the concrete content items the section should contain — specific enough that two different people filling in the template would include the same things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Drafting guidance:</w:t>
      </w:r>
      <w:r w:rsidDel="00000000" w:rsidR="00000000" w:rsidRPr="00000000">
        <w:rPr>
          <w:rtl w:val="0"/>
        </w:rPr>
        <w:t xml:space="preserve"> one practical tip addressing the most common mistake or highest-value choice when writing this section — not generic advice, but something specific to this section's role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Drafting guidance:</w:t>
      </w:r>
      <w:r w:rsidDel="00000000" w:rsidR="00000000" w:rsidRPr="00000000">
        <w:rPr>
          <w:rtl w:val="0"/>
        </w:rPr>
        <w:t xml:space="preserve"> Write the Drafting guidance line last, after the Include list is final — it should address a real risk or trade-off in that specific list, not a generic writing tip that could apply to any section.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k3zbnf8jp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Worked Example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illustration of the pattern end-to-end, using a hypothetical request: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"A one-page brief for onboarding a new subcontractor, tone: Friendly &amp; Practical, sections: Welcome &amp; Key Contacts, Access &amp; Systems Checklist, First-Week Expectations."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pattern produces for one section ("Access &amp; Systems Checklist"):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Gets the subcontractor into every system they need before their first task is due, avoiding day-one delays.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Systems requiring account provisioning (email, ticketing, code repo, shared drive) with who to contact for each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Required hardware or VPN setup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Security training or NDA sign-off needed before access is granted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Estimated provisioning turnaround time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Drafting guidance:</w:t>
      </w:r>
      <w:r w:rsidDel="00000000" w:rsidR="00000000" w:rsidRPr="00000000">
        <w:rPr>
          <w:rtl w:val="0"/>
        </w:rPr>
        <w:t xml:space="preserve"> List a named owner per system, not just the system name — an unowned checklist item is the most common reason onboarding stalls.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other two sections would follow the same three-part shape, each tailored to its own intent, and the whole document would carry the Friendly &amp; Practical tone throughout rather than the Formal tone used elsewhere in this library.</w:t>
      </w:r>
    </w:p>
    <w:p w:rsidR="00000000" w:rsidDel="00000000" w:rsidP="00000000" w:rsidRDefault="00000000" w:rsidRPr="00000000" w14:paraId="00000023">
      <w:pPr>
        <w:rPr>
          <w:color w:val="1d1c1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