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376"/>
          <w:sz w:val="44"/>
        </w:rPr>
        <w:t>Well Production Forecasting &amp;</w:t>
        <w:br/>
        <w:t>Performance Analytics</w:t>
      </w:r>
    </w:p>
    <w:p/>
    <w:p>
      <w:pPr>
        <w:jc w:val="center"/>
      </w:pPr>
      <w:r>
        <w:rPr>
          <w:i/>
          <w:sz w:val="28"/>
        </w:rPr>
        <w:t>Technical Design Document</w:t>
      </w:r>
    </w:p>
    <w:p/>
    <w:p>
      <w:pPr>
        <w:jc w:val="center"/>
      </w:pPr>
      <w:r>
        <w:rPr>
          <w:sz w:val="20"/>
        </w:rPr>
        <w:t>Shell UnextGen Hackathon — Sept / Oct 2023</w:t>
        <w:br/>
      </w:r>
      <w:r>
        <w:rPr>
          <w:sz w:val="20"/>
        </w:rPr>
        <w:t>GitHub: https://github.com/DoomDust7/well-production-analytics</w:t>
        <w:br/>
      </w:r>
      <w:r>
        <w:rPr>
          <w:sz w:val="20"/>
        </w:rPr>
        <w:t>Dashboard: https://oilgas-well-analytics.streamlit.app</w:t>
        <w:br/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  <w:i w:val="0"/>
          <w:sz w:val="20"/>
        </w:rPr>
        <w:t>This document describes the architecture, data model, pipeline design, analytics methodology, and dashboard implementation of the Well Production Forecasting &amp; Performance Analytics platform. The system ingests ten real CSV files from the Bakken / Williston Basin (North Dakota) via the DoomDust7/Wells-Dataset repository, processes them through a three-layer Medallion architecture (Bronze → Silver → Gold) using Apache PySpark 3.5 and Delta Lake 3.1, computes nine Gold KPI tables, fits Arps decline curves to real well production histories, and exposes results through a five-page Streamlit dashboard.</w:t>
      </w:r>
    </w:p>
    <w:p/>
    <w:p>
      <w:r>
        <w:rPr>
          <w:b/>
          <w:i w:val="0"/>
          <w:sz w:val="20"/>
        </w:rPr>
        <w:t>Key outcomes: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040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Real wells ingested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2,132</w:t>
            </w:r>
          </w:p>
        </w:tc>
      </w:tr>
      <w:tr>
        <w:tc>
          <w:tcPr>
            <w:tcW w:type="dxa" w:w="4320"/>
            <w:shd w:val="clear" w:color="auto" w:fill="EAF2F8"/>
          </w:tcPr>
          <w:p>
            <w:r>
              <w:rPr>
                <w:sz w:val="18"/>
              </w:rPr>
              <w:t>Active operators</w:t>
            </w:r>
          </w:p>
        </w:tc>
        <w:tc>
          <w:tcPr>
            <w:tcW w:type="dxa" w:w="5040"/>
            <w:shd w:val="clear" w:color="auto" w:fill="EAF2F8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Cumulative oil production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698.1 M BBL (2014 – 2025)</w:t>
            </w:r>
          </w:p>
        </w:tc>
      </w:tr>
      <w:tr>
        <w:tc>
          <w:tcPr>
            <w:tcW w:type="dxa" w:w="4320"/>
            <w:shd w:val="clear" w:color="auto" w:fill="EAF2F8"/>
          </w:tcPr>
          <w:p>
            <w:r>
              <w:rPr>
                <w:sz w:val="18"/>
              </w:rPr>
              <w:t>Silver production records</w:t>
            </w:r>
          </w:p>
        </w:tc>
        <w:tc>
          <w:tcPr>
            <w:tcW w:type="dxa" w:w="5040"/>
            <w:shd w:val="clear" w:color="auto" w:fill="EAF2F8"/>
          </w:tcPr>
          <w:p>
            <w:r>
              <w:rPr>
                <w:sz w:val="18"/>
              </w:rPr>
              <w:t>489,124 rows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Arps forecast rows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3,432 (real well decline profiles)</w:t>
            </w:r>
          </w:p>
        </w:tc>
      </w:tr>
      <w:tr>
        <w:tc>
          <w:tcPr>
            <w:tcW w:type="dxa" w:w="4320"/>
            <w:shd w:val="clear" w:color="auto" w:fill="EAF2F8"/>
          </w:tcPr>
          <w:p>
            <w:r>
              <w:rPr>
                <w:sz w:val="18"/>
              </w:rPr>
              <w:t>Gold KPI tables</w:t>
            </w:r>
          </w:p>
        </w:tc>
        <w:tc>
          <w:tcPr>
            <w:tcW w:type="dxa" w:w="5040"/>
            <w:shd w:val="clear" w:color="auto" w:fill="EAF2F8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Streamlit dashboard pages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  <w:shd w:val="clear" w:color="auto" w:fill="EAF2F8"/>
          </w:tcPr>
          <w:p>
            <w:r>
              <w:rPr>
                <w:sz w:val="18"/>
              </w:rPr>
              <w:t>Sample CSVs (Streamlit Cloud)</w:t>
            </w:r>
          </w:p>
        </w:tc>
        <w:tc>
          <w:tcPr>
            <w:tcW w:type="dxa" w:w="5040"/>
            <w:shd w:val="clear" w:color="auto" w:fill="EAF2F8"/>
          </w:tcPr>
          <w:p>
            <w:r>
              <w:rPr>
                <w:sz w:val="18"/>
              </w:rPr>
              <w:t>11 files</w:t>
            </w:r>
          </w:p>
        </w:tc>
      </w:tr>
    </w:tbl>
    <w:p>
      <w:r>
        <w:br w:type="page"/>
      </w:r>
    </w:p>
    <w:p>
      <w:pPr>
        <w:pStyle w:val="Heading1"/>
      </w:pPr>
      <w:r>
        <w:t>2. System Architecture</w:t>
      </w:r>
    </w:p>
    <w:p>
      <w:r>
        <w:rPr>
          <w:b w:val="0"/>
          <w:i w:val="0"/>
          <w:sz w:val="20"/>
        </w:rPr>
        <w:t>The platform follows the Databricks Medallion Architecture pattern: raw data lands in Bronze (all columns as StringType, zero transformation), is cleaned and typed in Silver (business keys, date construction, deduplication, enrichment joins), and aggregated into Gold (pre-computed KPIs optimised for BI and dashboards). An optional Forecasting stage runs Arps DCA on the Silver production table.</w:t>
      </w:r>
    </w:p>
    <w:p>
      <w:pPr>
        <w:pStyle w:val="Heading2"/>
      </w:pPr>
      <w:r>
        <w:t>2.1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752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1440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Distributed compute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Apache PySpark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3.5.0</w:t>
            </w:r>
          </w:p>
        </w:tc>
      </w:tr>
      <w:tr>
        <w:tc>
          <w:tcPr>
            <w:tcW w:type="dxa" w:w="3168"/>
            <w:shd w:val="clear" w:color="auto" w:fill="EAF2F8"/>
          </w:tcPr>
          <w:p>
            <w:r>
              <w:rPr>
                <w:sz w:val="18"/>
              </w:rPr>
              <w:t>Storage format</w:t>
            </w:r>
          </w:p>
        </w:tc>
        <w:tc>
          <w:tcPr>
            <w:tcW w:type="dxa" w:w="4752"/>
            <w:shd w:val="clear" w:color="auto" w:fill="EAF2F8"/>
          </w:tcPr>
          <w:p>
            <w:r>
              <w:rPr>
                <w:sz w:val="18"/>
              </w:rPr>
              <w:t>Delta Lake (ACID transactions, time-travel)</w:t>
            </w:r>
          </w:p>
        </w:tc>
        <w:tc>
          <w:tcPr>
            <w:tcW w:type="dxa" w:w="1440"/>
            <w:shd w:val="clear" w:color="auto" w:fill="EAF2F8"/>
          </w:tcPr>
          <w:p>
            <w:r>
              <w:rPr>
                <w:sz w:val="18"/>
              </w:rPr>
              <w:t>3.1.0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Orchestration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run_pipeline.py (Python CLI)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68"/>
            <w:shd w:val="clear" w:color="auto" w:fill="EAF2F8"/>
          </w:tcPr>
          <w:p>
            <w:r>
              <w:rPr>
                <w:sz w:val="18"/>
              </w:rPr>
              <w:t>Decline curve fitting</w:t>
            </w:r>
          </w:p>
        </w:tc>
        <w:tc>
          <w:tcPr>
            <w:tcW w:type="dxa" w:w="4752"/>
            <w:shd w:val="clear" w:color="auto" w:fill="EAF2F8"/>
          </w:tcPr>
          <w:p>
            <w:r>
              <w:rPr>
                <w:sz w:val="18"/>
              </w:rPr>
              <w:t>SciPy curve_fit</w:t>
            </w:r>
          </w:p>
        </w:tc>
        <w:tc>
          <w:tcPr>
            <w:tcW w:type="dxa" w:w="1440"/>
            <w:shd w:val="clear" w:color="auto" w:fill="EAF2F8"/>
          </w:tcPr>
          <w:p>
            <w:r>
              <w:rPr>
                <w:sz w:val="18"/>
              </w:rPr>
              <w:t>1.13+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Streamlit + Plotly Express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Latest</w:t>
            </w:r>
          </w:p>
        </w:tc>
      </w:tr>
      <w:tr>
        <w:tc>
          <w:tcPr>
            <w:tcW w:type="dxa" w:w="3168"/>
            <w:shd w:val="clear" w:color="auto" w:fill="EAF2F8"/>
          </w:tcPr>
          <w:p>
            <w:r>
              <w:rPr>
                <w:sz w:val="18"/>
              </w:rPr>
              <w:t>Data download</w:t>
            </w:r>
          </w:p>
        </w:tc>
        <w:tc>
          <w:tcPr>
            <w:tcW w:type="dxa" w:w="4752"/>
            <w:shd w:val="clear" w:color="auto" w:fill="EAF2F8"/>
          </w:tcPr>
          <w:p>
            <w:r>
              <w:rPr>
                <w:sz w:val="18"/>
              </w:rPr>
              <w:t>requests (chunked streaming)</w:t>
            </w:r>
          </w:p>
        </w:tc>
        <w:tc>
          <w:tcPr>
            <w:tcW w:type="dxa" w:w="1440"/>
            <w:shd w:val="clear" w:color="auto" w:fill="EAF2F8"/>
          </w:tcPr>
          <w:p>
            <w:r>
              <w:rPr>
                <w:sz w:val="18"/>
              </w:rPr>
              <w:t>2.31+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Numeric processing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NumPy / Pandas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2.0+</w:t>
            </w:r>
          </w:p>
        </w:tc>
      </w:tr>
    </w:tbl>
    <w:p>
      <w:pPr>
        <w:pStyle w:val="Heading2"/>
      </w:pPr>
      <w:r>
        <w:t>2.2 Data Flow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1E1E1E"/>
          <w:sz w:val="17"/>
        </w:rPr>
        <w:br/>
        <w:t>GitHub (DoomDust7/Wells-Dataset)</w:t>
        <w:br/>
        <w:t xml:space="preserve">    │  chunked HTTP streaming for files &gt; 9 MB</w:t>
        <w:br/>
        <w:t xml:space="preserve">    ▼</w:t>
        <w:br/>
        <w:t>data/raw/*.csv  (10 files, ~69 MB total)</w:t>
        <w:br/>
        <w:t xml:space="preserve">    │</w:t>
        <w:br/>
        <w:t xml:space="preserve">    ▼  bronze_ingestion.py</w:t>
        <w:br/>
        <w:t>Bronze Delta Tables  (14 tables, ~800K+ rows)</w:t>
        <w:br/>
        <w:t xml:space="preserve">  • All StringType   • Metadata columns   • ND API filter (prefix "33")</w:t>
        <w:br/>
        <w:t xml:space="preserve">    │</w:t>
        <w:br/>
        <w:t xml:space="preserve">    ▼  silver_transform.py</w:t>
        <w:br/>
        <w:t>Silver Delta Tables  (11 tables, ~489K production records)</w:t>
        <w:br/>
        <w:t xml:space="preserve">  • Typed   • Deduped   • Operator-normalised   • Date-constructed</w:t>
        <w:br/>
        <w:t xml:space="preserve">    │</w:t>
        <w:br/>
        <w:t xml:space="preserve">    ▼  gold_analytics.py</w:t>
        <w:br/>
        <w:t>Gold Delta Tables  (9 KPI tables)</w:t>
        <w:br/>
        <w:t xml:space="preserve">    │</w:t>
        <w:br/>
        <w:t xml:space="preserve">    ▼  forecasting.py</w:t>
        <w:br/>
        <w:t>gold_production_forecast  (3,432 Arps forecast rows)</w:t>
        <w:br/>
        <w:t xml:space="preserve">    │</w:t>
        <w:br/>
        <w:t xml:space="preserve">    ▼  sample_exporter.py</w:t>
        <w:br/>
        <w:t>data/sample/*.csv  (11 files for Streamlit Cloud)</w:t>
        <w:br/>
        <w:t xml:space="preserve">    │</w:t>
        <w:br/>
        <w:t xml:space="preserve">    ▼  dashboard.py (Streamlit)</w:t>
        <w:br/>
        <w:t>5-page interactive dashboard</w:t>
        <w:br/>
      </w:r>
    </w:p>
    <w:p>
      <w:r>
        <w:br w:type="page"/>
      </w:r>
    </w:p>
    <w:p>
      <w:pPr>
        <w:pStyle w:val="Heading1"/>
      </w:pPr>
      <w:r>
        <w:t>3. Data Sources</w:t>
      </w:r>
    </w:p>
    <w:p>
      <w:r>
        <w:rPr>
          <w:b w:val="0"/>
          <w:i w:val="0"/>
          <w:sz w:val="20"/>
        </w:rPr>
        <w:t>All data originates from the DoomDust7/Wells-Dataset GitHub repository (https://github.com/DoomDust7/Wells-Dataset) and covers Bakken / Williston Basin, North Dakota. Files are downloaded automatically by the pipeline at runtime.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1728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Approx. Size</w:t>
            </w:r>
          </w:p>
        </w:tc>
        <w:tc>
          <w:tcPr>
            <w:tcW w:type="dxa" w:w="4752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PRODUCTION.csv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~45 MB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Monthly oil &amp; gas production per well (API number, year, month, commodity type)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r>
              <w:rPr>
                <w:sz w:val="18"/>
              </w:rPr>
              <w:t>PRODUCTIONFLARING.csv</w:t>
            </w:r>
          </w:p>
        </w:tc>
        <w:tc>
          <w:tcPr>
            <w:tcW w:type="dxa" w:w="1728"/>
            <w:shd w:val="clear" w:color="auto" w:fill="EAF2F8"/>
          </w:tcPr>
          <w:p>
            <w:r>
              <w:rPr>
                <w:sz w:val="18"/>
              </w:rPr>
              <w:t>~12 MB</w:t>
            </w:r>
          </w:p>
        </w:tc>
        <w:tc>
          <w:tcPr>
            <w:tcW w:type="dxa" w:w="4752"/>
            <w:shd w:val="clear" w:color="auto" w:fill="EAF2F8"/>
          </w:tcPr>
          <w:p>
            <w:r>
              <w:rPr>
                <w:sz w:val="18"/>
              </w:rPr>
              <w:t>Monthly flared gas and gross gas production per well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WATERPRODUCTION.csv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~9 MB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Monthly water production and days on production per well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r>
              <w:rPr>
                <w:sz w:val="18"/>
              </w:rPr>
              <w:t>WELLHEADER.csv</w:t>
            </w:r>
          </w:p>
        </w:tc>
        <w:tc>
          <w:tcPr>
            <w:tcW w:type="dxa" w:w="1728"/>
            <w:shd w:val="clear" w:color="auto" w:fill="EAF2F8"/>
          </w:tcPr>
          <w:p>
            <w:r>
              <w:rPr>
                <w:sz w:val="18"/>
              </w:rPr>
              <w:t>~3 MB</w:t>
            </w:r>
          </w:p>
        </w:tc>
        <w:tc>
          <w:tcPr>
            <w:tcW w:type="dxa" w:w="4752"/>
            <w:shd w:val="clear" w:color="auto" w:fill="EAF2F8"/>
          </w:tcPr>
          <w:p>
            <w:r>
              <w:rPr>
                <w:sz w:val="18"/>
              </w:rPr>
              <w:t>228-column well header: lateral length, TVD, spud/completion dates, formation, proppant, breakeven, IRR, NPV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WELLEUR.csv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~0.5 MB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Estimated Ultimate Recovery (EUR) per well by commodity group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r>
              <w:rPr>
                <w:sz w:val="18"/>
              </w:rPr>
              <w:t>EUR.csv</w:t>
            </w:r>
          </w:p>
        </w:tc>
        <w:tc>
          <w:tcPr>
            <w:tcW w:type="dxa" w:w="1728"/>
            <w:shd w:val="clear" w:color="auto" w:fill="EAF2F8"/>
          </w:tcPr>
          <w:p>
            <w:r>
              <w:rPr>
                <w:sz w:val="18"/>
              </w:rPr>
              <w:t>~0.5 MB</w:t>
            </w:r>
          </w:p>
        </w:tc>
        <w:tc>
          <w:tcPr>
            <w:tcW w:type="dxa" w:w="4752"/>
            <w:shd w:val="clear" w:color="auto" w:fill="EAF2F8"/>
          </w:tcPr>
          <w:p>
            <w:r>
              <w:rPr>
                <w:sz w:val="18"/>
              </w:rPr>
              <w:t>Secondary EUR source coalesced with WELLEUR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INITIALPRODUCTION.csv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~0.5 MB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IP30, IP90, IP180, IP365 rates per well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r>
              <w:rPr>
                <w:sz w:val="18"/>
              </w:rPr>
              <w:t>ECONOMICSCOST.csv</w:t>
            </w:r>
          </w:p>
        </w:tc>
        <w:tc>
          <w:tcPr>
            <w:tcW w:type="dxa" w:w="1728"/>
            <w:shd w:val="clear" w:color="auto" w:fill="EAF2F8"/>
          </w:tcPr>
          <w:p>
            <w:r>
              <w:rPr>
                <w:sz w:val="18"/>
              </w:rPr>
              <w:t>~0.5 MB</w:t>
            </w:r>
          </w:p>
        </w:tc>
        <w:tc>
          <w:tcPr>
            <w:tcW w:type="dxa" w:w="4752"/>
            <w:shd w:val="clear" w:color="auto" w:fill="EAF2F8"/>
          </w:tcPr>
          <w:p>
            <w:r>
              <w:rPr>
                <w:sz w:val="18"/>
              </w:rPr>
              <w:t>Well costs by category (MUSD)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PRICES.csv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~0.1 MB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Monthly WTI, Brent, WCS commodity prices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r>
              <w:rPr>
                <w:sz w:val="18"/>
              </w:rPr>
              <w:t>OPERATOR.csv</w:t>
            </w:r>
          </w:p>
        </w:tc>
        <w:tc>
          <w:tcPr>
            <w:tcW w:type="dxa" w:w="1728"/>
            <w:shd w:val="clear" w:color="auto" w:fill="EAF2F8"/>
          </w:tcPr>
          <w:p>
            <w:r>
              <w:rPr>
                <w:sz w:val="18"/>
              </w:rPr>
              <w:t>~0.1 MB</w:t>
            </w:r>
          </w:p>
        </w:tc>
        <w:tc>
          <w:tcPr>
            <w:tcW w:type="dxa" w:w="4752"/>
            <w:shd w:val="clear" w:color="auto" w:fill="EAF2F8"/>
          </w:tcPr>
          <w:p>
            <w:r>
              <w:rPr>
                <w:sz w:val="18"/>
              </w:rPr>
              <w:t>Operator ticker symbols and public/private classification</w:t>
            </w:r>
          </w:p>
        </w:tc>
      </w:tr>
    </w:tbl>
    <w:p>
      <w:r>
        <w:rPr>
          <w:b/>
          <w:i w:val="0"/>
          <w:sz w:val="20"/>
        </w:rPr>
        <w:br/>
        <w:t>Large-file handling:</w:t>
      </w:r>
    </w:p>
    <w:p>
      <w:r>
        <w:rPr>
          <w:b w:val="0"/>
          <w:i w:val="0"/>
          <w:sz w:val="20"/>
        </w:rPr>
        <w:t>PRODUCTION.csv, WATERPRODUCTION.csv, and PRODUCTIONFLARING.csv exceed 9 MB. These are downloaded using chunked HTTP streaming (8 MB chunks) via requests.get(..., stream=True) + iter_content() to avoid loading the entire response into memory. Standard single-request download is used for the remaining files.</w:t>
      </w:r>
    </w:p>
    <w:p>
      <w:r>
        <w:rPr>
          <w:b/>
          <w:i w:val="0"/>
          <w:sz w:val="20"/>
        </w:rPr>
        <w:br/>
        <w:t>Geographic scope filter:</w:t>
      </w:r>
    </w:p>
    <w:p>
      <w:r>
        <w:rPr>
          <w:b w:val="0"/>
          <w:i w:val="0"/>
          <w:sz w:val="20"/>
        </w:rPr>
        <w:t>At Bronze ingestion, only rows where the API number begins with '33' (the North Dakota state prefix) are retained. This scopes analysis to the Bakken/Williston Basin and removes out-of-state records before writing to Delta Lake.</w:t>
      </w:r>
    </w:p>
    <w:p>
      <w:r>
        <w:br w:type="page"/>
      </w:r>
    </w:p>
    <w:p>
      <w:pPr>
        <w:pStyle w:val="Heading1"/>
      </w:pPr>
      <w:r>
        <w:t>4. Medallion Architecture Layers</w:t>
      </w:r>
    </w:p>
    <w:p>
      <w:pPr>
        <w:pStyle w:val="Heading2"/>
      </w:pPr>
      <w:r>
        <w:t>4.1 Bronze Layer — Raw Ingestion</w:t>
      </w:r>
    </w:p>
    <w:p>
      <w:r>
        <w:rPr>
          <w:b w:val="0"/>
          <w:i w:val="0"/>
          <w:sz w:val="20"/>
        </w:rPr>
        <w:t>Bronze tables are a faithful record of the source data. No business logic is applied. All columns are stored as StringType to preserve raw fidelity. Three metadata columns are appended to every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60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TimestampType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UTC time of ingestion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r>
              <w:rPr>
                <w:sz w:val="18"/>
              </w:rPr>
              <w:t>source_file</w:t>
            </w:r>
          </w:p>
        </w:tc>
        <w:tc>
          <w:tcPr>
            <w:tcW w:type="dxa" w:w="2160"/>
            <w:shd w:val="clear" w:color="auto" w:fill="EAF2F8"/>
          </w:tcPr>
          <w:p>
            <w:r>
              <w:rPr>
                <w:sz w:val="18"/>
              </w:rPr>
              <w:t>StringType</w:t>
            </w:r>
          </w:p>
        </w:tc>
        <w:tc>
          <w:tcPr>
            <w:tcW w:type="dxa" w:w="4320"/>
            <w:shd w:val="clear" w:color="auto" w:fill="EAF2F8"/>
          </w:tcPr>
          <w:p>
            <w:r>
              <w:rPr>
                <w:sz w:val="18"/>
              </w:rPr>
              <w:t>Original CSV filename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data_source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StringType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doomdust7_wells_dataset</w:t>
            </w:r>
          </w:p>
        </w:tc>
      </w:tr>
    </w:tbl>
    <w:p>
      <w:r>
        <w:rPr>
          <w:b/>
          <w:i w:val="0"/>
          <w:sz w:val="20"/>
        </w:rPr>
        <w:br/>
        <w:t>Column name sanitisation: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1E1E1E"/>
          <w:sz w:val="17"/>
        </w:rPr>
        <w:t>re.sub(r"[ ,;{}()\n\t=]+", "_", col_name).strip("_").lower()</w:t>
      </w:r>
    </w:p>
    <w:p>
      <w:r>
        <w:rPr>
          <w:b w:val="0"/>
          <w:i w:val="0"/>
          <w:sz w:val="20"/>
        </w:rPr>
        <w:br/>
        <w:t>bronze_production_real is partitioned by the 'year' column. The North Dakota API filter (prefix '33') is applied before the Delta write to limit Bronze table size.</w:t>
      </w:r>
    </w:p>
    <w:p>
      <w:pPr>
        <w:pStyle w:val="Heading2"/>
      </w:pPr>
      <w:r>
        <w:t>4.2 Silver Layer — Cleansed &amp; Conformed</w:t>
      </w:r>
    </w:p>
    <w:p>
      <w:r>
        <w:rPr>
          <w:b w:val="0"/>
          <w:i w:val="0"/>
          <w:sz w:val="20"/>
        </w:rPr>
        <w:t>Silver tables are strongly typed, deduplicated, and enriched. Key transformation patterns: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5760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Date construction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to_date(concat(year, '-', lpad(month, 2, '0'), '-01'))</w:t>
            </w:r>
          </w:p>
        </w:tc>
      </w:tr>
      <w:tr>
        <w:tc>
          <w:tcPr>
            <w:tcW w:type="dxa" w:w="3600"/>
            <w:shd w:val="clear" w:color="auto" w:fill="EAF2F8"/>
          </w:tcPr>
          <w:p>
            <w:r>
              <w:rPr>
                <w:sz w:val="18"/>
              </w:rPr>
              <w:t>Numeric casting</w:t>
            </w:r>
          </w:p>
        </w:tc>
        <w:tc>
          <w:tcPr>
            <w:tcW w:type="dxa" w:w="5760"/>
            <w:shd w:val="clear" w:color="auto" w:fill="EAF2F8"/>
          </w:tcPr>
          <w:p>
            <w:r>
              <w:rPr>
                <w:sz w:val="18"/>
              </w:rPr>
              <w:t>regexp_replace(col, ',', '') → cast(DoubleType)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Operator resolution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first_reported_operator from WELLHEADER → TRIM(UPPER) → join to production</w:t>
            </w:r>
          </w:p>
        </w:tc>
      </w:tr>
      <w:tr>
        <w:tc>
          <w:tcPr>
            <w:tcW w:type="dxa" w:w="3600"/>
            <w:shd w:val="clear" w:color="auto" w:fill="EAF2F8"/>
          </w:tcPr>
          <w:p>
            <w:r>
              <w:rPr>
                <w:sz w:val="18"/>
              </w:rPr>
              <w:t>EUR categorisation</w:t>
            </w:r>
          </w:p>
        </w:tc>
        <w:tc>
          <w:tcPr>
            <w:tcW w:type="dxa" w:w="5760"/>
            <w:shd w:val="clear" w:color="auto" w:fill="EAF2F8"/>
          </w:tcPr>
          <w:p>
            <w:r>
              <w:rPr>
                <w:sz w:val="18"/>
              </w:rPr>
              <w:t>Low (&lt;100K BOE) / Medium (100K–500K) / High (&gt;500K)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Flaring intensity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flared_gas_mcf / gross_gas_production_mcf (null-safe)</w:t>
            </w:r>
          </w:p>
        </w:tc>
      </w:tr>
      <w:tr>
        <w:tc>
          <w:tcPr>
            <w:tcW w:type="dxa" w:w="3600"/>
            <w:shd w:val="clear" w:color="auto" w:fill="EAF2F8"/>
          </w:tcPr>
          <w:p>
            <w:r>
              <w:rPr>
                <w:sz w:val="18"/>
              </w:rPr>
              <w:t>Deduplication</w:t>
            </w:r>
          </w:p>
        </w:tc>
        <w:tc>
          <w:tcPr>
            <w:tcW w:type="dxa" w:w="5760"/>
            <w:shd w:val="clear" w:color="auto" w:fill="EAF2F8"/>
          </w:tcPr>
          <w:p>
            <w:r>
              <w:rPr>
                <w:sz w:val="18"/>
              </w:rPr>
              <w:t>dropDuplicates on (api_number, production_month, oil_and_gas_group)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Partitioning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silver_production_real partitioned by production_year</w:t>
            </w:r>
          </w:p>
        </w:tc>
      </w:tr>
    </w:tbl>
    <w:p>
      <w:r>
        <w:rPr>
          <w:b w:val="0"/>
          <w:i w:val="0"/>
          <w:sz w:val="20"/>
        </w:rPr>
        <w:br/>
        <w:t>All downstream Gold and Forecasting modules use a fallback pattern: silver_production_real is preferred when it exists on disk; the legacy synthetic silver_production is used otherwise. This ensures backward compatibility.</w:t>
      </w:r>
    </w:p>
    <w:p>
      <w:pPr>
        <w:pStyle w:val="Heading2"/>
      </w:pPr>
      <w:r>
        <w:t>4.3 Gold Layer — Analytics KPIs</w:t>
      </w:r>
    </w:p>
    <w:p>
      <w:r>
        <w:rPr>
          <w:b w:val="0"/>
          <w:i w:val="0"/>
          <w:sz w:val="20"/>
        </w:rPr>
        <w:t>Nine Gold tables are computed from Silver sources: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56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1152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Rows</w:t>
            </w:r>
          </w:p>
        </w:tc>
        <w:tc>
          <w:tcPr>
            <w:tcW w:type="dxa" w:w="4752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gold_operator_performance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Operator rankings: total oil/gas, well count, flaring intensity ratio, production rank, ticker, public/private</w:t>
            </w:r>
          </w:p>
        </w:tc>
      </w:tr>
      <w:tr>
        <w:tc>
          <w:tcPr>
            <w:tcW w:type="dxa" w:w="3456"/>
            <w:shd w:val="clear" w:color="auto" w:fill="EAF2F8"/>
          </w:tcPr>
          <w:p>
            <w:r>
              <w:rPr>
                <w:sz w:val="18"/>
              </w:rPr>
              <w:t>gold_basin_production_trends</w:t>
            </w:r>
          </w:p>
        </w:tc>
        <w:tc>
          <w:tcPr>
            <w:tcW w:type="dxa" w:w="1152"/>
            <w:shd w:val="clear" w:color="auto" w:fill="EAF2F8"/>
          </w:tcPr>
          <w:p>
            <w:r>
              <w:rPr>
                <w:sz w:val="18"/>
              </w:rPr>
              <w:t>971</w:t>
            </w:r>
          </w:p>
        </w:tc>
        <w:tc>
          <w:tcPr>
            <w:tcW w:type="dxa" w:w="4752"/>
            <w:shd w:val="clear" w:color="auto" w:fill="EAF2F8"/>
          </w:tcPr>
          <w:p>
            <w:r>
              <w:rPr>
                <w:sz w:val="18"/>
              </w:rPr>
              <w:t>Monthly production by basin with MoM (LAG 1) and YoY (LAG 12) growth percentages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gold_flaring_intensity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ESG-focused operator flaring KPIs with Low/Medium/High category assignment</w:t>
            </w:r>
          </w:p>
        </w:tc>
      </w:tr>
      <w:tr>
        <w:tc>
          <w:tcPr>
            <w:tcW w:type="dxa" w:w="3456"/>
            <w:shd w:val="clear" w:color="auto" w:fill="EAF2F8"/>
          </w:tcPr>
          <w:p>
            <w:r>
              <w:rPr>
                <w:sz w:val="18"/>
              </w:rPr>
              <w:t>gold_ethane_dry_gas</w:t>
            </w:r>
          </w:p>
        </w:tc>
        <w:tc>
          <w:tcPr>
            <w:tcW w:type="dxa" w:w="1152"/>
            <w:shd w:val="clear" w:color="auto" w:fill="EAF2F8"/>
          </w:tcPr>
          <w:p>
            <w:r>
              <w:rPr>
                <w:sz w:val="18"/>
              </w:rPr>
              <w:t>~100</w:t>
            </w:r>
          </w:p>
        </w:tc>
        <w:tc>
          <w:tcPr>
            <w:tcW w:type="dxa" w:w="4752"/>
            <w:shd w:val="clear" w:color="auto" w:fill="EAF2F8"/>
          </w:tcPr>
          <w:p>
            <w:r>
              <w:rPr>
                <w:sz w:val="18"/>
              </w:rPr>
              <w:t>Oil vs gas production mix per operator per year; liquid-rich vs dry gas classification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gold_well_summary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2,132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Per-well lifetime metrics: cumulative oil/gas, peak month, active months, formation, lateral length, EUR</w:t>
            </w:r>
          </w:p>
        </w:tc>
      </w:tr>
      <w:tr>
        <w:tc>
          <w:tcPr>
            <w:tcW w:type="dxa" w:w="3456"/>
            <w:shd w:val="clear" w:color="auto" w:fill="EAF2F8"/>
          </w:tcPr>
          <w:p>
            <w:r>
              <w:rPr>
                <w:sz w:val="18"/>
              </w:rPr>
              <w:t>gold_well_economics</w:t>
            </w:r>
          </w:p>
        </w:tc>
        <w:tc>
          <w:tcPr>
            <w:tcW w:type="dxa" w:w="1152"/>
            <w:shd w:val="clear" w:color="auto" w:fill="EAF2F8"/>
          </w:tcPr>
          <w:p>
            <w:r>
              <w:rPr>
                <w:sz w:val="18"/>
              </w:rPr>
              <w:t>2,132</w:t>
            </w:r>
          </w:p>
        </w:tc>
        <w:tc>
          <w:tcPr>
            <w:tcW w:type="dxa" w:w="4752"/>
            <w:shd w:val="clear" w:color="auto" w:fill="EAF2F8"/>
          </w:tcPr>
          <w:p>
            <w:r>
              <w:rPr>
                <w:sz w:val="18"/>
              </w:rPr>
              <w:t>Breakeven price, IRR, NPV, cumulative revenue, economics category (Economic/Marginal/Uneconomic)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gold_ip_benchmarks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2,129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IP30/90/180/365 normalized per 1,000 ft lateral; P10/P50/P90 by formation; performance tier</w:t>
            </w:r>
          </w:p>
        </w:tc>
      </w:tr>
      <w:tr>
        <w:tc>
          <w:tcPr>
            <w:tcW w:type="dxa" w:w="3456"/>
            <w:shd w:val="clear" w:color="auto" w:fill="EAF2F8"/>
          </w:tcPr>
          <w:p>
            <w:r>
              <w:rPr>
                <w:sz w:val="18"/>
              </w:rPr>
              <w:t>gold_flaring_timeseries</w:t>
            </w:r>
          </w:p>
        </w:tc>
        <w:tc>
          <w:tcPr>
            <w:tcW w:type="dxa" w:w="1152"/>
            <w:shd w:val="clear" w:color="auto" w:fill="EAF2F8"/>
          </w:tcPr>
          <w:p>
            <w:r>
              <w:rPr>
                <w:sz w:val="18"/>
              </w:rPr>
              <w:t>153,700</w:t>
            </w:r>
          </w:p>
        </w:tc>
        <w:tc>
          <w:tcPr>
            <w:tcW w:type="dxa" w:w="4752"/>
            <w:shd w:val="clear" w:color="auto" w:fill="EAF2F8"/>
          </w:tcPr>
          <w:p>
            <w:r>
              <w:rPr>
                <w:sz w:val="18"/>
              </w:rPr>
              <w:t>Monthly flaring per well with operator and basin — enables ESG trend analysis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gold_three_stream_production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246,551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Oil + gas + water joined by (api_number, production_month); water cut %; GOR</w:t>
            </w:r>
          </w:p>
        </w:tc>
      </w:tr>
    </w:tbl>
    <w:p>
      <w:r>
        <w:br w:type="page"/>
      </w:r>
    </w:p>
    <w:p>
      <w:pPr>
        <w:pStyle w:val="Heading1"/>
      </w:pPr>
      <w:r>
        <w:t>5. Key Silver Table Schemas</w:t>
      </w:r>
    </w:p>
    <w:p>
      <w:pPr>
        <w:pStyle w:val="Heading2"/>
      </w:pPr>
      <w:r>
        <w:t>5.1 silver_wellheader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752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Source Field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api_number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APINumber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r>
              <w:rPr>
                <w:sz w:val="18"/>
              </w:rPr>
              <w:t>well_name</w:t>
            </w:r>
          </w:p>
        </w:tc>
        <w:tc>
          <w:tcPr>
            <w:tcW w:type="dxa" w:w="1728"/>
            <w:shd w:val="clear" w:color="auto" w:fill="EAF2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752"/>
            <w:shd w:val="clear" w:color="auto" w:fill="EAF2F8"/>
          </w:tcPr>
          <w:p>
            <w:r>
              <w:rPr>
                <w:sz w:val="18"/>
              </w:rPr>
              <w:t>WellName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operator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first_reported_operator (TRIM UPPER)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r>
              <w:rPr>
                <w:sz w:val="18"/>
              </w:rPr>
              <w:t>latitude / longitude</w:t>
            </w:r>
          </w:p>
        </w:tc>
        <w:tc>
          <w:tcPr>
            <w:tcW w:type="dxa" w:w="1728"/>
            <w:shd w:val="clear" w:color="auto" w:fill="EAF2F8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4752"/>
            <w:shd w:val="clear" w:color="auto" w:fill="EAF2F8"/>
          </w:tcPr>
          <w:p>
            <w:r>
              <w:rPr>
                <w:sz w:val="18"/>
              </w:rPr>
              <w:t>SurfaceHoleLatitude / Longitude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spud_date / completion_date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SpudDate / CompletionDate (M/d/yyyy)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r>
              <w:rPr>
                <w:sz w:val="18"/>
              </w:rPr>
              <w:t>lateral_length_ft</w:t>
            </w:r>
          </w:p>
        </w:tc>
        <w:tc>
          <w:tcPr>
            <w:tcW w:type="dxa" w:w="1728"/>
            <w:shd w:val="clear" w:color="auto" w:fill="EAF2F8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4752"/>
            <w:shd w:val="clear" w:color="auto" w:fill="EAF2F8"/>
          </w:tcPr>
          <w:p>
            <w:r>
              <w:rPr>
                <w:sz w:val="18"/>
              </w:rPr>
              <w:t>lateral_length (ft)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tvd_ft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true_vertical_depth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r>
              <w:rPr>
                <w:sz w:val="18"/>
              </w:rPr>
              <w:t>formation</w:t>
            </w:r>
          </w:p>
        </w:tc>
        <w:tc>
          <w:tcPr>
            <w:tcW w:type="dxa" w:w="1728"/>
            <w:shd w:val="clear" w:color="auto" w:fill="EAF2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752"/>
            <w:shd w:val="clear" w:color="auto" w:fill="EAF2F8"/>
          </w:tcPr>
          <w:p>
            <w:r>
              <w:rPr>
                <w:sz w:val="18"/>
              </w:rPr>
              <w:t>Formation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proppant_type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proppant_type_category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r>
              <w:rPr>
                <w:sz w:val="18"/>
              </w:rPr>
              <w:t>proppant_intensity</w:t>
            </w:r>
          </w:p>
        </w:tc>
        <w:tc>
          <w:tcPr>
            <w:tcW w:type="dxa" w:w="1728"/>
            <w:shd w:val="clear" w:color="auto" w:fill="EAF2F8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4752"/>
            <w:shd w:val="clear" w:color="auto" w:fill="EAF2F8"/>
          </w:tcPr>
          <w:p>
            <w:r>
              <w:rPr>
                <w:sz w:val="18"/>
              </w:rPr>
              <w:t>proppant_thousand_pounds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breakeven_oil_price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wti_breakeven_full_cycle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r>
              <w:rPr>
                <w:sz w:val="18"/>
              </w:rPr>
              <w:t>irr</w:t>
            </w:r>
          </w:p>
        </w:tc>
        <w:tc>
          <w:tcPr>
            <w:tcW w:type="dxa" w:w="1728"/>
            <w:shd w:val="clear" w:color="auto" w:fill="EAF2F8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4752"/>
            <w:shd w:val="clear" w:color="auto" w:fill="EAF2F8"/>
          </w:tcPr>
          <w:p>
            <w:r>
              <w:rPr>
                <w:sz w:val="18"/>
              </w:rPr>
              <w:t>irr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npv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npv</w:t>
            </w:r>
          </w:p>
        </w:tc>
      </w:tr>
    </w:tbl>
    <w:p>
      <w:pPr>
        <w:pStyle w:val="Heading2"/>
      </w:pPr>
      <w:r>
        <w:t>5.2 silver_production_real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752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api_number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Primary key component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r>
              <w:rPr>
                <w:sz w:val="18"/>
              </w:rPr>
              <w:t>production_month</w:t>
            </w:r>
          </w:p>
        </w:tc>
        <w:tc>
          <w:tcPr>
            <w:tcW w:type="dxa" w:w="1728"/>
            <w:shd w:val="clear" w:color="auto" w:fill="EAF2F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4752"/>
            <w:shd w:val="clear" w:color="auto" w:fill="EAF2F8"/>
          </w:tcPr>
          <w:p>
            <w:r>
              <w:rPr>
                <w:sz w:val="18"/>
              </w:rPr>
              <w:t>Constructed from Year + Month integer columns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production_year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Derived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r>
              <w:rPr>
                <w:sz w:val="18"/>
              </w:rPr>
              <w:t>production_quarter</w:t>
            </w:r>
          </w:p>
        </w:tc>
        <w:tc>
          <w:tcPr>
            <w:tcW w:type="dxa" w:w="1728"/>
            <w:shd w:val="clear" w:color="auto" w:fill="EAF2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752"/>
            <w:shd w:val="clear" w:color="auto" w:fill="EAF2F8"/>
          </w:tcPr>
          <w:p>
            <w:r>
              <w:rPr>
                <w:sz w:val="18"/>
              </w:rPr>
              <w:t>Q1–Q4 derived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oil_and_gas_group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Oil / Gas commodity type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r>
              <w:rPr>
                <w:sz w:val="18"/>
              </w:rPr>
              <w:t>production</w:t>
            </w:r>
          </w:p>
        </w:tc>
        <w:tc>
          <w:tcPr>
            <w:tcW w:type="dxa" w:w="1728"/>
            <w:shd w:val="clear" w:color="auto" w:fill="EAF2F8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4752"/>
            <w:shd w:val="clear" w:color="auto" w:fill="EAF2F8"/>
          </w:tcPr>
          <w:p>
            <w:r>
              <w:rPr>
                <w:sz w:val="18"/>
              </w:rPr>
              <w:t>Monthly production volume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operator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Resolved via silver_wellheader join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r>
              <w:rPr>
                <w:sz w:val="18"/>
              </w:rPr>
              <w:t>basin</w:t>
            </w:r>
          </w:p>
        </w:tc>
        <w:tc>
          <w:tcPr>
            <w:tcW w:type="dxa" w:w="1728"/>
            <w:shd w:val="clear" w:color="auto" w:fill="EAF2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752"/>
            <w:shd w:val="clear" w:color="auto" w:fill="EAF2F8"/>
          </w:tcPr>
          <w:p>
            <w:r>
              <w:rPr>
                <w:sz w:val="18"/>
              </w:rPr>
              <w:t>Formation used as proxy (no explicit basin column)</w:t>
            </w:r>
          </w:p>
        </w:tc>
      </w:tr>
    </w:tbl>
    <w:p>
      <w:r>
        <w:br w:type="page"/>
      </w:r>
    </w:p>
    <w:p>
      <w:pPr>
        <w:pStyle w:val="Heading1"/>
      </w:pPr>
      <w:r>
        <w:t>6. Key Gold Table Schemas</w:t>
      </w:r>
    </w:p>
    <w:p>
      <w:pPr>
        <w:pStyle w:val="Heading2"/>
      </w:pPr>
      <w:r>
        <w:t>6.1 gold_well_economics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464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api_number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8"/>
              </w:rPr>
              <w:t>Unique well identifier</w:t>
            </w:r>
          </w:p>
        </w:tc>
      </w:tr>
      <w:tr>
        <w:tc>
          <w:tcPr>
            <w:tcW w:type="dxa" w:w="3168"/>
            <w:shd w:val="clear" w:color="auto" w:fill="EAF2F8"/>
          </w:tcPr>
          <w:p>
            <w:r>
              <w:rPr>
                <w:sz w:val="18"/>
              </w:rPr>
              <w:t>operator</w:t>
            </w:r>
          </w:p>
        </w:tc>
        <w:tc>
          <w:tcPr>
            <w:tcW w:type="dxa" w:w="1728"/>
            <w:shd w:val="clear" w:color="auto" w:fill="EAF2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464"/>
            <w:shd w:val="clear" w:color="auto" w:fill="EAF2F8"/>
          </w:tcPr>
          <w:p>
            <w:r>
              <w:rPr>
                <w:sz w:val="18"/>
              </w:rPr>
              <w:t>Normalized operator name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formation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8"/>
              </w:rPr>
              <w:t>Geological formation</w:t>
            </w:r>
          </w:p>
        </w:tc>
      </w:tr>
      <w:tr>
        <w:tc>
          <w:tcPr>
            <w:tcW w:type="dxa" w:w="3168"/>
            <w:shd w:val="clear" w:color="auto" w:fill="EAF2F8"/>
          </w:tcPr>
          <w:p>
            <w:r>
              <w:rPr>
                <w:sz w:val="18"/>
              </w:rPr>
              <w:t>cumulative_oil_bbl</w:t>
            </w:r>
          </w:p>
        </w:tc>
        <w:tc>
          <w:tcPr>
            <w:tcW w:type="dxa" w:w="1728"/>
            <w:shd w:val="clear" w:color="auto" w:fill="EAF2F8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4464"/>
            <w:shd w:val="clear" w:color="auto" w:fill="EAF2F8"/>
          </w:tcPr>
          <w:p>
            <w:r>
              <w:rPr>
                <w:sz w:val="18"/>
              </w:rPr>
              <w:t>Lifetime oil production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avg_wti_price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8"/>
              </w:rPr>
              <w:t>Average WTI over well's active months</w:t>
            </w:r>
          </w:p>
        </w:tc>
      </w:tr>
      <w:tr>
        <w:tc>
          <w:tcPr>
            <w:tcW w:type="dxa" w:w="3168"/>
            <w:shd w:val="clear" w:color="auto" w:fill="EAF2F8"/>
          </w:tcPr>
          <w:p>
            <w:r>
              <w:rPr>
                <w:sz w:val="18"/>
              </w:rPr>
              <w:t>breakeven_oil_price</w:t>
            </w:r>
          </w:p>
        </w:tc>
        <w:tc>
          <w:tcPr>
            <w:tcW w:type="dxa" w:w="1728"/>
            <w:shd w:val="clear" w:color="auto" w:fill="EAF2F8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4464"/>
            <w:shd w:val="clear" w:color="auto" w:fill="EAF2F8"/>
          </w:tcPr>
          <w:p>
            <w:r>
              <w:rPr>
                <w:sz w:val="18"/>
              </w:rPr>
              <w:t>Full-cycle breakeven from WELLHEADER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irr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8"/>
              </w:rPr>
              <w:t>Internal rate of return</w:t>
            </w:r>
          </w:p>
        </w:tc>
      </w:tr>
      <w:tr>
        <w:tc>
          <w:tcPr>
            <w:tcW w:type="dxa" w:w="3168"/>
            <w:shd w:val="clear" w:color="auto" w:fill="EAF2F8"/>
          </w:tcPr>
          <w:p>
            <w:r>
              <w:rPr>
                <w:sz w:val="18"/>
              </w:rPr>
              <w:t>npv</w:t>
            </w:r>
          </w:p>
        </w:tc>
        <w:tc>
          <w:tcPr>
            <w:tcW w:type="dxa" w:w="1728"/>
            <w:shd w:val="clear" w:color="auto" w:fill="EAF2F8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4464"/>
            <w:shd w:val="clear" w:color="auto" w:fill="EAF2F8"/>
          </w:tcPr>
          <w:p>
            <w:r>
              <w:rPr>
                <w:sz w:val="18"/>
              </w:rPr>
              <w:t>Net present value ($M)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eur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8"/>
              </w:rPr>
              <w:t>Estimated ultimate recovery (BOE)</w:t>
            </w:r>
          </w:p>
        </w:tc>
      </w:tr>
      <w:tr>
        <w:tc>
          <w:tcPr>
            <w:tcW w:type="dxa" w:w="3168"/>
            <w:shd w:val="clear" w:color="auto" w:fill="EAF2F8"/>
          </w:tcPr>
          <w:p>
            <w:r>
              <w:rPr>
                <w:sz w:val="18"/>
              </w:rPr>
              <w:t>total_well_cost_musd</w:t>
            </w:r>
          </w:p>
        </w:tc>
        <w:tc>
          <w:tcPr>
            <w:tcW w:type="dxa" w:w="1728"/>
            <w:shd w:val="clear" w:color="auto" w:fill="EAF2F8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4464"/>
            <w:shd w:val="clear" w:color="auto" w:fill="EAF2F8"/>
          </w:tcPr>
          <w:p>
            <w:r>
              <w:rPr>
                <w:sz w:val="18"/>
              </w:rPr>
              <w:t>Summed from ECONOMICSCOST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cumulative_revenue_usd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8"/>
              </w:rPr>
              <w:t>cumulative_oil_bbl × avg_wti_price</w:t>
            </w:r>
          </w:p>
        </w:tc>
      </w:tr>
      <w:tr>
        <w:tc>
          <w:tcPr>
            <w:tcW w:type="dxa" w:w="3168"/>
            <w:shd w:val="clear" w:color="auto" w:fill="EAF2F8"/>
          </w:tcPr>
          <w:p>
            <w:r>
              <w:rPr>
                <w:sz w:val="18"/>
              </w:rPr>
              <w:t>economics_category</w:t>
            </w:r>
          </w:p>
        </w:tc>
        <w:tc>
          <w:tcPr>
            <w:tcW w:type="dxa" w:w="1728"/>
            <w:shd w:val="clear" w:color="auto" w:fill="EAF2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464"/>
            <w:shd w:val="clear" w:color="auto" w:fill="EAF2F8"/>
          </w:tcPr>
          <w:p>
            <w:r>
              <w:rPr>
                <w:sz w:val="18"/>
              </w:rPr>
              <w:t>Economic / Marginal / Uneconomic</w:t>
            </w:r>
          </w:p>
        </w:tc>
      </w:tr>
    </w:tbl>
    <w:p>
      <w:pPr>
        <w:pStyle w:val="Heading2"/>
      </w:pPr>
      <w:r>
        <w:t>6.2 gold_ip_benchmarks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464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api_number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8"/>
              </w:rPr>
              <w:t>Unique well identifier</w:t>
            </w:r>
          </w:p>
        </w:tc>
      </w:tr>
      <w:tr>
        <w:tc>
          <w:tcPr>
            <w:tcW w:type="dxa" w:w="3168"/>
            <w:shd w:val="clear" w:color="auto" w:fill="EAF2F8"/>
          </w:tcPr>
          <w:p>
            <w:r>
              <w:rPr>
                <w:sz w:val="18"/>
              </w:rPr>
              <w:t>formation</w:t>
            </w:r>
          </w:p>
        </w:tc>
        <w:tc>
          <w:tcPr>
            <w:tcW w:type="dxa" w:w="1728"/>
            <w:shd w:val="clear" w:color="auto" w:fill="EAF2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464"/>
            <w:shd w:val="clear" w:color="auto" w:fill="EAF2F8"/>
          </w:tcPr>
          <w:p>
            <w:r>
              <w:rPr>
                <w:sz w:val="18"/>
              </w:rPr>
              <w:t>Geological formation for peer grouping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ip30 / ip90 / ip180 / ip365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8"/>
              </w:rPr>
              <w:t>Initial production rates (BOE)</w:t>
            </w:r>
          </w:p>
        </w:tc>
      </w:tr>
      <w:tr>
        <w:tc>
          <w:tcPr>
            <w:tcW w:type="dxa" w:w="3168"/>
            <w:shd w:val="clear" w:color="auto" w:fill="EAF2F8"/>
          </w:tcPr>
          <w:p>
            <w:r>
              <w:rPr>
                <w:sz w:val="18"/>
              </w:rPr>
              <w:t>ip30_per_1000ft</w:t>
            </w:r>
          </w:p>
        </w:tc>
        <w:tc>
          <w:tcPr>
            <w:tcW w:type="dxa" w:w="1728"/>
            <w:shd w:val="clear" w:color="auto" w:fill="EAF2F8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4464"/>
            <w:shd w:val="clear" w:color="auto" w:fill="EAF2F8"/>
          </w:tcPr>
          <w:p>
            <w:r>
              <w:rPr>
                <w:sz w:val="18"/>
              </w:rPr>
              <w:t>ip30 / (lateral_length_ft / 1000)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lateral_length_ft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8"/>
              </w:rPr>
              <w:t>Horizontal lateral length</w:t>
            </w:r>
          </w:p>
        </w:tc>
      </w:tr>
      <w:tr>
        <w:tc>
          <w:tcPr>
            <w:tcW w:type="dxa" w:w="3168"/>
            <w:shd w:val="clear" w:color="auto" w:fill="EAF2F8"/>
          </w:tcPr>
          <w:p>
            <w:r>
              <w:rPr>
                <w:sz w:val="18"/>
              </w:rPr>
              <w:t>p50_ip30_formation</w:t>
            </w:r>
          </w:p>
        </w:tc>
        <w:tc>
          <w:tcPr>
            <w:tcW w:type="dxa" w:w="1728"/>
            <w:shd w:val="clear" w:color="auto" w:fill="EAF2F8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4464"/>
            <w:shd w:val="clear" w:color="auto" w:fill="EAF2F8"/>
          </w:tcPr>
          <w:p>
            <w:r>
              <w:rPr>
                <w:sz w:val="18"/>
              </w:rPr>
              <w:t>Median IP30 for formation (percentile_approx)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performance_tier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8"/>
              </w:rPr>
              <w:t>Top / Mid / Bottom vs formation peers</w:t>
            </w:r>
          </w:p>
        </w:tc>
      </w:tr>
    </w:tbl>
    <w:p>
      <w:pPr>
        <w:pStyle w:val="Heading2"/>
      </w:pPr>
      <w:r>
        <w:t>6.3 gold_production_forecast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752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entity_type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well / operator / basin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r>
              <w:rPr>
                <w:sz w:val="18"/>
              </w:rPr>
              <w:t>entity_id</w:t>
            </w:r>
          </w:p>
        </w:tc>
        <w:tc>
          <w:tcPr>
            <w:tcW w:type="dxa" w:w="1728"/>
            <w:shd w:val="clear" w:color="auto" w:fill="EAF2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752"/>
            <w:shd w:val="clear" w:color="auto" w:fill="EAF2F8"/>
          </w:tcPr>
          <w:p>
            <w:r>
              <w:rPr>
                <w:sz w:val="18"/>
              </w:rPr>
              <w:t>API number or name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forecast_month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24 months forward from last historical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r>
              <w:rPr>
                <w:sz w:val="18"/>
              </w:rPr>
              <w:t>forecast_oil_bbl</w:t>
            </w:r>
          </w:p>
        </w:tc>
        <w:tc>
          <w:tcPr>
            <w:tcW w:type="dxa" w:w="1728"/>
            <w:shd w:val="clear" w:color="auto" w:fill="EAF2F8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4752"/>
            <w:shd w:val="clear" w:color="auto" w:fill="EAF2F8"/>
          </w:tcPr>
          <w:p>
            <w:r>
              <w:rPr>
                <w:sz w:val="18"/>
              </w:rPr>
              <w:t>Projected monthly oil volume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forecast_gas_mcf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Projected monthly gas volume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r>
              <w:rPr>
                <w:sz w:val="18"/>
              </w:rPr>
              <w:t>model_type</w:t>
            </w:r>
          </w:p>
        </w:tc>
        <w:tc>
          <w:tcPr>
            <w:tcW w:type="dxa" w:w="1728"/>
            <w:shd w:val="clear" w:color="auto" w:fill="EAF2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752"/>
            <w:shd w:val="clear" w:color="auto" w:fill="EAF2F8"/>
          </w:tcPr>
          <w:p>
            <w:r>
              <w:rPr>
                <w:sz w:val="18"/>
              </w:rPr>
              <w:t>exponential / hyperbolic / harmonic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r2_score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Goodness of fit on historical data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r>
              <w:rPr>
                <w:sz w:val="18"/>
              </w:rPr>
              <w:t>qi</w:t>
            </w:r>
          </w:p>
        </w:tc>
        <w:tc>
          <w:tcPr>
            <w:tcW w:type="dxa" w:w="1728"/>
            <w:shd w:val="clear" w:color="auto" w:fill="EAF2F8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4752"/>
            <w:shd w:val="clear" w:color="auto" w:fill="EAF2F8"/>
          </w:tcPr>
          <w:p>
            <w:r>
              <w:rPr>
                <w:sz w:val="18"/>
              </w:rPr>
              <w:t>Initial production parameter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di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Initial decline rate parameter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r>
              <w:rPr>
                <w:sz w:val="18"/>
              </w:rPr>
              <w:t>b_factor</w:t>
            </w:r>
          </w:p>
        </w:tc>
        <w:tc>
          <w:tcPr>
            <w:tcW w:type="dxa" w:w="1728"/>
            <w:shd w:val="clear" w:color="auto" w:fill="EAF2F8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4752"/>
            <w:shd w:val="clear" w:color="auto" w:fill="EAF2F8"/>
          </w:tcPr>
          <w:p>
            <w:r>
              <w:rPr>
                <w:sz w:val="18"/>
              </w:rPr>
              <w:t>Hyperbolic exponent</w:t>
            </w:r>
          </w:p>
        </w:tc>
      </w:tr>
    </w:tbl>
    <w:p>
      <w:r>
        <w:br w:type="page"/>
      </w:r>
    </w:p>
    <w:p>
      <w:pPr>
        <w:pStyle w:val="Heading1"/>
      </w:pPr>
      <w:r>
        <w:t>7. Forecasting Methodology</w:t>
      </w:r>
    </w:p>
    <w:p>
      <w:pPr>
        <w:pStyle w:val="Heading2"/>
      </w:pPr>
      <w:r>
        <w:t>7.1 Arps Decline Curve Analysis</w:t>
      </w:r>
    </w:p>
    <w:p>
      <w:r>
        <w:rPr>
          <w:b w:val="0"/>
          <w:i w:val="0"/>
          <w:sz w:val="20"/>
        </w:rPr>
        <w:t>Production from oil and gas wells follows predictable decline patterns described by the Arps equations (Arps, J.J., 1945). Three models are evaluated for each entity: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600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Equation</w:t>
            </w:r>
          </w:p>
        </w:tc>
        <w:tc>
          <w:tcPr>
            <w:tcW w:type="dxa" w:w="3168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Applicability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Exponential (b=0)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q(t) = Qi × exp(−Di × t)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Constant-pressure boundary-dominated flow; conservative estimates</w:t>
            </w:r>
          </w:p>
        </w:tc>
      </w:tr>
      <w:tr>
        <w:tc>
          <w:tcPr>
            <w:tcW w:type="dxa" w:w="2592"/>
            <w:shd w:val="clear" w:color="auto" w:fill="EAF2F8"/>
          </w:tcPr>
          <w:p>
            <w:r>
              <w:rPr>
                <w:sz w:val="18"/>
              </w:rPr>
              <w:t>Hyperbolic (0&lt;b&lt;1)</w:t>
            </w:r>
          </w:p>
        </w:tc>
        <w:tc>
          <w:tcPr>
            <w:tcW w:type="dxa" w:w="3600"/>
            <w:shd w:val="clear" w:color="auto" w:fill="EAF2F8"/>
          </w:tcPr>
          <w:p>
            <w:r>
              <w:rPr>
                <w:sz w:val="18"/>
              </w:rPr>
              <w:t>q(t) = Qi / (1 + b×Di×t)^(1/b)</w:t>
            </w:r>
          </w:p>
        </w:tc>
        <w:tc>
          <w:tcPr>
            <w:tcW w:type="dxa" w:w="3168"/>
            <w:shd w:val="clear" w:color="auto" w:fill="EAF2F8"/>
          </w:tcPr>
          <w:p>
            <w:r>
              <w:rPr>
                <w:sz w:val="18"/>
              </w:rPr>
              <w:t>Shale well standard; captures transient flow concave-up decline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Harmonic (b=1)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q(t) = Qi / (1 + Di×t)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Gravity-drainage mechanisms; most optimistic case</w:t>
            </w:r>
          </w:p>
        </w:tc>
      </w:tr>
    </w:tbl>
    <w:p>
      <w:pPr>
        <w:pStyle w:val="Heading2"/>
      </w:pPr>
      <w:r>
        <w:t>7.2 Parameter Fitting</w:t>
      </w:r>
    </w:p>
    <w:p>
      <w:r>
        <w:rPr>
          <w:b w:val="0"/>
          <w:i w:val="0"/>
          <w:sz w:val="20"/>
        </w:rPr>
        <w:t>scipy.optimize.curve_fit minimises least-squares error against historical monthly production data. Physical bounds are applied: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1E1E1E"/>
          <w:sz w:val="17"/>
        </w:rPr>
        <w:t>Qi  bounds: [0,  10 × initial_production]</w:t>
        <w:br/>
        <w:t>Di  bounds: [1e-6,  5.0]   # per month</w:t>
        <w:br/>
        <w:t>b   bounds: [0.001, 0.999]</w:t>
      </w:r>
    </w:p>
    <w:p>
      <w:r>
        <w:rPr>
          <w:b w:val="0"/>
          <w:i w:val="0"/>
          <w:sz w:val="20"/>
        </w:rPr>
        <w:br/>
        <w:t>The model with the highest R² score is selected per entity (well, operator, or basin) and written to gold_production_forecast. The forecasting module reads from silver_production_real when available, falling back to the legacy synthetic table.</w:t>
      </w:r>
    </w:p>
    <w:p>
      <w:pPr>
        <w:pStyle w:val="Heading2"/>
      </w:pPr>
      <w:r>
        <w:t>7.3 Forecast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600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Entities</w:t>
            </w:r>
          </w:p>
        </w:tc>
        <w:tc>
          <w:tcPr>
            <w:tcW w:type="dxa" w:w="2592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Forecast Horizon</w:t>
            </w:r>
          </w:p>
        </w:tc>
        <w:tc>
          <w:tcPr>
            <w:tcW w:type="dxa" w:w="1152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Rows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Well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Top wells by cumulative oil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24 months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~2,400</w:t>
            </w:r>
          </w:p>
        </w:tc>
      </w:tr>
      <w:tr>
        <w:tc>
          <w:tcPr>
            <w:tcW w:type="dxa" w:w="2160"/>
            <w:shd w:val="clear" w:color="auto" w:fill="EAF2F8"/>
          </w:tcPr>
          <w:p>
            <w:r>
              <w:rPr>
                <w:sz w:val="18"/>
              </w:rPr>
              <w:t>Operator</w:t>
            </w:r>
          </w:p>
        </w:tc>
        <w:tc>
          <w:tcPr>
            <w:tcW w:type="dxa" w:w="3600"/>
            <w:shd w:val="clear" w:color="auto" w:fill="EAF2F8"/>
          </w:tcPr>
          <w:p>
            <w:r>
              <w:rPr>
                <w:sz w:val="18"/>
              </w:rPr>
              <w:t>40 operators</w:t>
            </w:r>
          </w:p>
        </w:tc>
        <w:tc>
          <w:tcPr>
            <w:tcW w:type="dxa" w:w="2592"/>
            <w:shd w:val="clear" w:color="auto" w:fill="EAF2F8"/>
          </w:tcPr>
          <w:p>
            <w:r>
              <w:rPr>
                <w:sz w:val="18"/>
              </w:rPr>
              <w:t>24 months</w:t>
            </w:r>
          </w:p>
        </w:tc>
        <w:tc>
          <w:tcPr>
            <w:tcW w:type="dxa" w:w="1152"/>
            <w:shd w:val="clear" w:color="auto" w:fill="EAF2F8"/>
          </w:tcPr>
          <w:p>
            <w:r>
              <w:rPr>
                <w:sz w:val="18"/>
              </w:rPr>
              <w:t>~960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Basin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Bakken / Williston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24 months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~72</w:t>
            </w:r>
          </w:p>
        </w:tc>
      </w:tr>
    </w:tbl>
    <w:p>
      <w:r>
        <w:br w:type="page"/>
      </w:r>
    </w:p>
    <w:p>
      <w:pPr>
        <w:pStyle w:val="Heading1"/>
      </w:pPr>
      <w:r>
        <w:t>8. Dashboard Design</w:t>
      </w:r>
    </w:p>
    <w:p>
      <w:r>
        <w:rPr>
          <w:b w:val="0"/>
          <w:i w:val="0"/>
          <w:sz w:val="20"/>
        </w:rPr>
        <w:t>The Streamlit dashboard (https://oilgas-well-analytics.streamlit.app) loads data from data/sample/*.csv on Streamlit Cloud (no Spark required) and falls back to live Delta Lake reads when running locally with Spark available.</w:t>
      </w:r>
    </w:p>
    <w:p>
      <w:pPr>
        <w:pStyle w:val="Heading2"/>
      </w:pPr>
      <w:r>
        <w:t>8.1 Page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304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7056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Key Sections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🏠 Overview</w:t>
            </w:r>
          </w:p>
        </w:tc>
        <w:tc>
          <w:tcPr>
            <w:tcW w:type="dxa" w:w="7056"/>
            <w:shd w:val="clear" w:color="auto" w:fill="FFFFFF"/>
          </w:tcPr>
          <w:p>
            <w:r>
              <w:rPr>
                <w:sz w:val="18"/>
              </w:rPr>
              <w:t>5 KPI cards (wells, operators, cumulative oil, cumulative gas, median EUR); top-operator bubble chart; oil vs gas mix bar; well portfolio summary table with formation, lateral length, EUR, completion date</w:t>
            </w:r>
          </w:p>
        </w:tc>
      </w:tr>
      <w:tr>
        <w:tc>
          <w:tcPr>
            <w:tcW w:type="dxa" w:w="2304"/>
            <w:shd w:val="clear" w:color="auto" w:fill="EAF2F8"/>
          </w:tcPr>
          <w:p>
            <w:r>
              <w:rPr>
                <w:sz w:val="18"/>
              </w:rPr>
              <w:t>📈 Production Trends</w:t>
            </w:r>
          </w:p>
        </w:tc>
        <w:tc>
          <w:tcPr>
            <w:tcW w:type="dxa" w:w="7056"/>
            <w:shd w:val="clear" w:color="auto" w:fill="EAF2F8"/>
          </w:tcPr>
          <w:p>
            <w:r>
              <w:rPr>
                <w:sz w:val="18"/>
              </w:rPr>
              <w:t>Monthly production line chart by basin; YoY growth heatmap; operator comparison bar chart; MoM delta area chart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🔥 Flaring &amp; ESG</w:t>
            </w:r>
          </w:p>
        </w:tc>
        <w:tc>
          <w:tcPr>
            <w:tcW w:type="dxa" w:w="7056"/>
            <w:shd w:val="clear" w:color="auto" w:fill="FFFFFF"/>
          </w:tcPr>
          <w:p>
            <w:r>
              <w:rPr>
                <w:sz w:val="18"/>
              </w:rPr>
              <w:t>Flaring intensity by operator (Low/Medium/High color-coded); monthly flaring trend line from gold_flaring_timeseries; per-well intensity ratio distribution</w:t>
            </w:r>
          </w:p>
        </w:tc>
      </w:tr>
      <w:tr>
        <w:tc>
          <w:tcPr>
            <w:tcW w:type="dxa" w:w="2304"/>
            <w:shd w:val="clear" w:color="auto" w:fill="EAF2F8"/>
          </w:tcPr>
          <w:p>
            <w:r>
              <w:rPr>
                <w:sz w:val="18"/>
              </w:rPr>
              <w:t>🔮 Forecasting</w:t>
            </w:r>
          </w:p>
        </w:tc>
        <w:tc>
          <w:tcPr>
            <w:tcW w:type="dxa" w:w="7056"/>
            <w:shd w:val="clear" w:color="auto" w:fill="EAF2F8"/>
          </w:tcPr>
          <w:p>
            <w:r>
              <w:rPr>
                <w:sz w:val="18"/>
              </w:rPr>
              <w:t>Arps DCA curves on real Bakken decline profiles; 24-month forward projections (well / operator / basin); R² distribution histogram; model selection breakdown pie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💰 Well Economics</w:t>
            </w:r>
          </w:p>
        </w:tc>
        <w:tc>
          <w:tcPr>
            <w:tcW w:type="dxa" w:w="7056"/>
            <w:shd w:val="clear" w:color="auto" w:fill="FFFFFF"/>
          </w:tcPr>
          <w:p>
            <w:r>
              <w:rPr>
                <w:sz w:val="18"/>
              </w:rPr>
              <w:t>KPI row: avg breakeven $68.2/BBL, median IRR, total NPV, % economic wells; breakeven histogram by formation with WTI reference line; IP30 P50 box plot by formation; IP30 vs EUR correlation scatter; water cut ranking bar; economics summary table</w:t>
            </w:r>
          </w:p>
        </w:tc>
      </w:tr>
    </w:tbl>
    <w:p>
      <w:pPr>
        <w:pStyle w:val="Heading2"/>
      </w:pPr>
      <w:r>
        <w:t>8.2 Sidebar Filters</w:t>
      </w:r>
    </w:p>
    <w:p>
      <w:r>
        <w:rPr>
          <w:b w:val="0"/>
          <w:i w:val="0"/>
          <w:sz w:val="20"/>
        </w:rPr>
        <w:t>Each page exposes relevant sidebar filters: operator multiselect, formation multiselect, date range slider, economics category filter, lateral length range slider. All charts are reactive to filter changes via Streamlit session state.</w:t>
      </w:r>
    </w:p>
    <w:p>
      <w:pPr>
        <w:pStyle w:val="Heading2"/>
      </w:pPr>
      <w:r>
        <w:t>8.3 Streamlit Cloud Compatibility</w:t>
      </w:r>
    </w:p>
    <w:p>
      <w:r>
        <w:rPr>
          <w:b w:val="0"/>
          <w:i w:val="0"/>
          <w:sz w:val="20"/>
        </w:rPr>
        <w:t>sample_exporter.py writes 11 pre-processed CSVs to data/sample/ after each pipeline run. These are committed to the repository so the Streamlit Cloud deployment can load data without installing PySpark or Delta Lake. Size constraints: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Export</w:t>
            </w:r>
          </w:p>
        </w:tc>
        <w:tc>
          <w:tcPr>
            <w:tcW w:type="dxa" w:w="5760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Size Control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silver_production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Capped at top 500 wells by cumulative oil, all months</w:t>
            </w:r>
          </w:p>
        </w:tc>
      </w:tr>
      <w:tr>
        <w:tc>
          <w:tcPr>
            <w:tcW w:type="dxa" w:w="3600"/>
            <w:shd w:val="clear" w:color="auto" w:fill="EAF2F8"/>
          </w:tcPr>
          <w:p>
            <w:r>
              <w:rPr>
                <w:sz w:val="18"/>
              </w:rPr>
              <w:t>gold_flaring_timeseries</w:t>
            </w:r>
          </w:p>
        </w:tc>
        <w:tc>
          <w:tcPr>
            <w:tcW w:type="dxa" w:w="5760"/>
            <w:shd w:val="clear" w:color="auto" w:fill="EAF2F8"/>
          </w:tcPr>
          <w:p>
            <w:r>
              <w:rPr>
                <w:sz w:val="18"/>
              </w:rPr>
              <w:t>Top 50 operators by total flaring volume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gold_three_stream_production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Top 200 wells by production months</w:t>
            </w:r>
          </w:p>
        </w:tc>
      </w:tr>
      <w:tr>
        <w:tc>
          <w:tcPr>
            <w:tcW w:type="dxa" w:w="3600"/>
            <w:shd w:val="clear" w:color="auto" w:fill="EAF2F8"/>
          </w:tcPr>
          <w:p>
            <w:r>
              <w:rPr>
                <w:sz w:val="18"/>
              </w:rPr>
              <w:t>All other gold tables</w:t>
            </w:r>
          </w:p>
        </w:tc>
        <w:tc>
          <w:tcPr>
            <w:tcW w:type="dxa" w:w="5760"/>
            <w:shd w:val="clear" w:color="auto" w:fill="EAF2F8"/>
          </w:tcPr>
          <w:p>
            <w:r>
              <w:rPr>
                <w:sz w:val="18"/>
              </w:rPr>
              <w:t>Full table (all rows)</w:t>
            </w:r>
          </w:p>
        </w:tc>
      </w:tr>
    </w:tbl>
    <w:p>
      <w:r>
        <w:br w:type="page"/>
      </w:r>
    </w:p>
    <w:p>
      <w:pPr>
        <w:pStyle w:val="Heading1"/>
      </w:pPr>
      <w:r>
        <w:t>9. Pipeline Orchestration</w:t>
      </w:r>
    </w:p>
    <w:p>
      <w:r>
        <w:rPr>
          <w:b w:val="0"/>
          <w:i w:val="0"/>
          <w:sz w:val="20"/>
        </w:rPr>
        <w:t>run_pipeline.py is the single entry point. It accepts a --stage flag to run individual stages or the full pipeline: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1E1E1E"/>
          <w:sz w:val="17"/>
        </w:rPr>
        <w:t>python run_pipeline.py                    # all stages</w:t>
        <w:br/>
        <w:t>python run_pipeline.py --stage download   # download 10 CSVs</w:t>
        <w:br/>
        <w:t>python run_pipeline.py --stage bronze     # ingest Bronze Delta tables</w:t>
        <w:br/>
        <w:t>python run_pipeline.py --stage silver     # Bronze → Silver</w:t>
        <w:br/>
        <w:t>python run_pipeline.py --stage gold       # Silver → Gold</w:t>
        <w:br/>
        <w:t>python run_pipeline.py --stage forecast   # Arps DCA forecasting</w:t>
        <w:br/>
        <w:t>python run_pipeline.py --stage export     # write data/sample/*.csv</w:t>
        <w:br/>
        <w:t>python run_pipeline.py --stage synthetic  # legacy synthetic data</w:t>
      </w:r>
    </w:p>
    <w:p>
      <w:r>
        <w:rPr>
          <w:b/>
          <w:i w:val="0"/>
          <w:sz w:val="20"/>
        </w:rPr>
        <w:br/>
        <w:t>SparkSession configuration (spark_session.py):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0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Config Key</w:t>
            </w:r>
          </w:p>
        </w:tc>
        <w:tc>
          <w:tcPr>
            <w:tcW w:type="dxa" w:w="1440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600"/>
            <w:shd w:val="clear" w:color="auto" w:fill="1A5376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spark.driver.memory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8g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Handles 45 MB PRODUCTION.csv → 489K Silver rows</w:t>
            </w:r>
          </w:p>
        </w:tc>
      </w:tr>
      <w:tr>
        <w:tc>
          <w:tcPr>
            <w:tcW w:type="dxa" w:w="4320"/>
            <w:shd w:val="clear" w:color="auto" w:fill="EAF2F8"/>
          </w:tcPr>
          <w:p>
            <w:r>
              <w:rPr>
                <w:sz w:val="18"/>
              </w:rPr>
              <w:t>spark.sql.shuffle.partitions</w:t>
            </w:r>
          </w:p>
        </w:tc>
        <w:tc>
          <w:tcPr>
            <w:tcW w:type="dxa" w:w="1440"/>
            <w:shd w:val="clear" w:color="auto" w:fill="EAF2F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600"/>
            <w:shd w:val="clear" w:color="auto" w:fill="EAF2F8"/>
          </w:tcPr>
          <w:p>
            <w:r>
              <w:rPr>
                <w:sz w:val="18"/>
              </w:rPr>
              <w:t>Right-sized for local mode; avoids 200-partition default overhead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spark.sql.adaptive.enabled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AQE for dynamic shuffle partition coalescing</w:t>
            </w:r>
          </w:p>
        </w:tc>
      </w:tr>
      <w:tr>
        <w:tc>
          <w:tcPr>
            <w:tcW w:type="dxa" w:w="4320"/>
            <w:shd w:val="clear" w:color="auto" w:fill="EAF2F8"/>
          </w:tcPr>
          <w:p>
            <w:r>
              <w:rPr>
                <w:sz w:val="18"/>
              </w:rPr>
              <w:t>spark.sql.extensions</w:t>
            </w:r>
          </w:p>
        </w:tc>
        <w:tc>
          <w:tcPr>
            <w:tcW w:type="dxa" w:w="1440"/>
            <w:shd w:val="clear" w:color="auto" w:fill="EAF2F8"/>
          </w:tcPr>
          <w:p>
            <w:r>
              <w:rPr>
                <w:sz w:val="18"/>
              </w:rPr>
              <w:t>DeltaSparkSessionExtension</w:t>
            </w:r>
          </w:p>
        </w:tc>
        <w:tc>
          <w:tcPr>
            <w:tcW w:type="dxa" w:w="3600"/>
            <w:shd w:val="clear" w:color="auto" w:fill="EAF2F8"/>
          </w:tcPr>
          <w:p>
            <w:r>
              <w:rPr>
                <w:sz w:val="18"/>
              </w:rPr>
              <w:t>Enables Delta Lake SQL extensions</w:t>
            </w:r>
          </w:p>
        </w:tc>
      </w:tr>
    </w:tbl>
    <w:p>
      <w:r>
        <w:br w:type="page"/>
      </w:r>
    </w:p>
    <w:p>
      <w:pPr>
        <w:pStyle w:val="Heading1"/>
      </w:pPr>
      <w:r>
        <w:t>10. Key Design Decisions</w:t>
      </w:r>
    </w:p>
    <w:p>
      <w:pPr>
        <w:pStyle w:val="ListNumber"/>
      </w:pPr>
      <w:r>
        <w:rPr>
          <w:b/>
          <w:sz w:val="20"/>
        </w:rPr>
        <w:t xml:space="preserve">Delta Lake over raw Parquet — </w:t>
      </w:r>
      <w:r>
        <w:rPr>
          <w:sz w:val="20"/>
        </w:rPr>
        <w:t>ACID transactions, schema enforcement, MERGE support, and time-travel enable incremental monthly loads and historical audits — both critical in production oil &amp; gas pipelines. Delta also provides efficient partition pruning for time-range queries.</w:t>
      </w:r>
    </w:p>
    <w:p>
      <w:pPr>
        <w:pStyle w:val="ListNumber"/>
      </w:pPr>
      <w:r>
        <w:rPr>
          <w:b/>
          <w:sz w:val="20"/>
        </w:rPr>
        <w:t xml:space="preserve">All Bronze columns as StringType — </w:t>
      </w:r>
      <w:r>
        <w:rPr>
          <w:sz w:val="20"/>
        </w:rPr>
        <w:t>Raw data fidelity is paramount. Type casting errors in Bronze would silently corrupt data. Storing everything as String and casting in Silver keeps Bronze as a faithful audit record from which Silver can always be re-derived.</w:t>
      </w:r>
    </w:p>
    <w:p>
      <w:pPr>
        <w:pStyle w:val="ListNumber"/>
      </w:pPr>
      <w:r>
        <w:rPr>
          <w:b/>
          <w:sz w:val="20"/>
        </w:rPr>
        <w:t xml:space="preserve">Operator name resolution from WELLHEADER — </w:t>
      </w:r>
      <w:r>
        <w:rPr>
          <w:sz w:val="20"/>
        </w:rPr>
        <w:t>The PRODUCTION.csv operator field is inconsistent across records. first_reported_operator in WELLHEADER.csv is the authoritative normalized source. Joining silver_wellheader (post-normalization) to silver_production_real gives clean operator attribution for all 489K production records.</w:t>
      </w:r>
    </w:p>
    <w:p>
      <w:pPr>
        <w:pStyle w:val="ListNumber"/>
      </w:pPr>
      <w:r>
        <w:rPr>
          <w:b/>
          <w:sz w:val="20"/>
        </w:rPr>
        <w:t xml:space="preserve">North Dakota API prefix filter at Bronze — </w:t>
      </w:r>
      <w:r>
        <w:rPr>
          <w:sz w:val="20"/>
        </w:rPr>
        <w:t>The Wells-Dataset includes wells from multiple states. Filtering to API prefix '33' at ingestion time scopes the analysis to the Bakken/Williston Basin, keeps table sizes manageable, and avoids mixing geology, regulations, and commodity price environments across basins.</w:t>
      </w:r>
    </w:p>
    <w:p>
      <w:pPr>
        <w:pStyle w:val="ListNumber"/>
      </w:pPr>
      <w:r>
        <w:rPr>
          <w:b/>
          <w:sz w:val="20"/>
        </w:rPr>
        <w:t xml:space="preserve">Arps DCA over ML forecasting — </w:t>
      </w:r>
      <w:r>
        <w:rPr>
          <w:sz w:val="20"/>
        </w:rPr>
        <w:t>Arps decline curves are the industry standard in reservoir engineering. For reserve estimation and strategic planning, regulators and finance teams trust physically-grounded models. The Hyperbolic model captures transient flow behavior in shale wells — a property that black-box ML models often overfit. R² &gt; 0.95 on aggregated real Bakken data confirms meaningful fit quality.</w:t>
      </w:r>
    </w:p>
    <w:p>
      <w:pPr>
        <w:pStyle w:val="ListNumber"/>
      </w:pPr>
      <w:r>
        <w:rPr>
          <w:b/>
          <w:sz w:val="20"/>
        </w:rPr>
        <w:t xml:space="preserve">Silver fallback pattern — </w:t>
      </w:r>
      <w:r>
        <w:rPr>
          <w:sz w:val="20"/>
        </w:rPr>
        <w:t>Every Gold builder and the Forecasting module checks for silver_production_real on disk before falling back to the legacy synthetic silver_production. This ensures the full pipeline can run even without the Wells-Dataset download, maintaining backward compatibility with the original hackathon dataset.</w:t>
      </w:r>
    </w:p>
    <w:p>
      <w:pPr>
        <w:pStyle w:val="ListNumber"/>
      </w:pPr>
      <w:r>
        <w:rPr>
          <w:b/>
          <w:sz w:val="20"/>
        </w:rPr>
        <w:t xml:space="preserve">Streamlit Cloud sample CSV export — </w:t>
      </w:r>
      <w:r>
        <w:rPr>
          <w:sz w:val="20"/>
        </w:rPr>
        <w:t>Streamlit Cloud cannot run PySpark. Exporting pre-computed CSVs to data/sample/ and committing them to the repository lets the dashboard load instantly on Cloud without infrastructure dependencies, while the local path still reads from live Delta Lake tables.</w:t>
      </w:r>
    </w:p>
    <w:p>
      <w:r>
        <w:br w:type="page"/>
      </w:r>
    </w:p>
    <w:p>
      <w:pPr>
        <w:pStyle w:val="Heading1"/>
      </w:pPr>
      <w:r>
        <w:t>11. References</w:t>
      </w:r>
    </w:p>
    <w:p>
      <w:pPr>
        <w:pStyle w:val="ListBullet"/>
      </w:pPr>
      <w:r>
        <w:rPr>
          <w:sz w:val="20"/>
        </w:rPr>
        <w:t>Arps, J.J. (1945). Analysis of Decline Curves. Trans. AIME, 160, 228–247.</w:t>
      </w:r>
    </w:p>
    <w:p>
      <w:pPr>
        <w:pStyle w:val="ListBullet"/>
      </w:pPr>
      <w:r>
        <w:rPr>
          <w:sz w:val="20"/>
        </w:rPr>
        <w:t>North Dakota Industrial Commission — Bakken Shale production data.</w:t>
      </w:r>
    </w:p>
    <w:p>
      <w:pPr>
        <w:pStyle w:val="ListBullet"/>
      </w:pPr>
      <w:r>
        <w:rPr>
          <w:sz w:val="20"/>
        </w:rPr>
        <w:t>DoomDust7/Wells-Dataset — https://github.com/DoomDust7/Wells-Dataset</w:t>
      </w:r>
    </w:p>
    <w:p>
      <w:pPr>
        <w:pStyle w:val="ListBullet"/>
      </w:pPr>
      <w:r>
        <w:rPr>
          <w:sz w:val="20"/>
        </w:rPr>
        <w:t>DoomDust7/well-production-analytics — https://github.com/DoomDust7/well-production-analytics</w:t>
      </w:r>
    </w:p>
    <w:p>
      <w:pPr>
        <w:pStyle w:val="ListBullet"/>
      </w:pPr>
      <w:r>
        <w:rPr>
          <w:sz w:val="20"/>
        </w:rPr>
        <w:t>Apache Spark Delta Lake documentation — https://docs.delta.io</w:t>
      </w:r>
    </w:p>
    <w:p>
      <w:pPr>
        <w:pStyle w:val="ListBullet"/>
      </w:pPr>
      <w:r>
        <w:rPr>
          <w:sz w:val="20"/>
        </w:rPr>
        <w:t>Shell UnextGen Hackathon Case Study (Sept–Oct 2023).</w:t>
      </w:r>
    </w:p>
    <w:p>
      <w:pPr>
        <w:pStyle w:val="ListBullet"/>
      </w:pPr>
      <w:r>
        <w:rPr>
          <w:sz w:val="20"/>
        </w:rPr>
        <w:t>Streamlit Cloud deployment — https://oilgas-well-analytics.streamlit.app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37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37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