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E2193" w14:textId="0DB2BB2E" w:rsidR="00661045" w:rsidRPr="00024CD7" w:rsidRDefault="001D1889" w:rsidP="00713EE2">
      <w:pPr>
        <w:pStyle w:val="Articletitle"/>
      </w:pPr>
      <w:r w:rsidRPr="00024CD7">
        <w:t>Tracing Financialization in Critical Metal Markets: Correlations, Bubbles, and Dynamic Linkages</w:t>
      </w:r>
    </w:p>
    <w:p w14:paraId="318AC5F7" w14:textId="0C558DF2" w:rsidR="00442B9C" w:rsidRPr="00024CD7" w:rsidRDefault="00FA2725" w:rsidP="009914A5">
      <w:pPr>
        <w:pStyle w:val="Authornames"/>
        <w:rPr>
          <w:lang w:val="pl-PL"/>
        </w:rPr>
      </w:pPr>
      <w:r w:rsidRPr="00024CD7">
        <w:rPr>
          <w:lang w:val="pl-PL"/>
        </w:rPr>
        <w:t xml:space="preserve">Barbara </w:t>
      </w:r>
      <w:proofErr w:type="spellStart"/>
      <w:r w:rsidRPr="00024CD7">
        <w:rPr>
          <w:lang w:val="pl-PL"/>
        </w:rPr>
        <w:t>Będowska-Sójka</w:t>
      </w:r>
      <w:r w:rsidR="004F428E" w:rsidRPr="00024CD7">
        <w:rPr>
          <w:vertAlign w:val="superscript"/>
          <w:lang w:val="pl-PL"/>
        </w:rPr>
        <w:t>a</w:t>
      </w:r>
      <w:proofErr w:type="spellEnd"/>
      <w:r w:rsidR="004F428E" w:rsidRPr="00024CD7">
        <w:rPr>
          <w:lang w:val="pl-PL"/>
        </w:rPr>
        <w:t xml:space="preserve">* and </w:t>
      </w:r>
      <w:r w:rsidRPr="00024CD7">
        <w:rPr>
          <w:lang w:val="pl-PL"/>
        </w:rPr>
        <w:t xml:space="preserve">Michał </w:t>
      </w:r>
      <w:proofErr w:type="spellStart"/>
      <w:r w:rsidRPr="00024CD7">
        <w:rPr>
          <w:lang w:val="pl-PL"/>
        </w:rPr>
        <w:t>Kasperek</w:t>
      </w:r>
      <w:r w:rsidR="004F428E" w:rsidRPr="00024CD7">
        <w:rPr>
          <w:vertAlign w:val="superscript"/>
          <w:lang w:val="pl-PL"/>
        </w:rPr>
        <w:t>b</w:t>
      </w:r>
      <w:proofErr w:type="spellEnd"/>
    </w:p>
    <w:p w14:paraId="33D96C19" w14:textId="4A0FD42C" w:rsidR="00997B0F" w:rsidRPr="00024CD7" w:rsidRDefault="00B64FA3" w:rsidP="00A2360E">
      <w:pPr>
        <w:pStyle w:val="Affiliation"/>
      </w:pPr>
      <w:proofErr w:type="spellStart"/>
      <w:r w:rsidRPr="00024CD7">
        <w:rPr>
          <w:vertAlign w:val="superscript"/>
        </w:rPr>
        <w:t>a</w:t>
      </w:r>
      <w:r w:rsidRPr="00024CD7">
        <w:t>Department</w:t>
      </w:r>
      <w:proofErr w:type="spellEnd"/>
      <w:r w:rsidR="001D1889" w:rsidRPr="00024CD7">
        <w:t xml:space="preserve"> of Econometrics</w:t>
      </w:r>
      <w:r w:rsidRPr="00024CD7">
        <w:t xml:space="preserve">, </w:t>
      </w:r>
      <w:r w:rsidR="001D1889" w:rsidRPr="00024CD7">
        <w:t xml:space="preserve">Poznan </w:t>
      </w:r>
      <w:r w:rsidRPr="00024CD7">
        <w:t>University</w:t>
      </w:r>
      <w:r w:rsidR="001D1889" w:rsidRPr="00024CD7">
        <w:t xml:space="preserve"> of Economics and Business</w:t>
      </w:r>
      <w:r w:rsidRPr="00024CD7">
        <w:t xml:space="preserve">, </w:t>
      </w:r>
      <w:r w:rsidR="001D1889" w:rsidRPr="00024CD7">
        <w:t>Poznan</w:t>
      </w:r>
      <w:r w:rsidRPr="00024CD7">
        <w:t xml:space="preserve">, </w:t>
      </w:r>
      <w:r w:rsidR="001D1889" w:rsidRPr="00024CD7">
        <w:t>Poland</w:t>
      </w:r>
      <w:r w:rsidRPr="00024CD7">
        <w:t xml:space="preserve">; </w:t>
      </w:r>
      <w:proofErr w:type="spellStart"/>
      <w:r w:rsidRPr="00024CD7">
        <w:rPr>
          <w:vertAlign w:val="superscript"/>
        </w:rPr>
        <w:t>b</w:t>
      </w:r>
      <w:r w:rsidR="00A2714D">
        <w:t>Siemens</w:t>
      </w:r>
      <w:proofErr w:type="spellEnd"/>
      <w:r w:rsidR="00A2714D">
        <w:t xml:space="preserve"> Financial Services, </w:t>
      </w:r>
      <w:r w:rsidR="001D1889" w:rsidRPr="00024CD7">
        <w:t>Munich</w:t>
      </w:r>
      <w:r w:rsidRPr="00024CD7">
        <w:t xml:space="preserve">, </w:t>
      </w:r>
      <w:r w:rsidR="001D1889" w:rsidRPr="00024CD7">
        <w:t>Germany</w:t>
      </w:r>
    </w:p>
    <w:p w14:paraId="3714CCFB" w14:textId="1DCC248E" w:rsidR="000A4428" w:rsidRDefault="005C056D" w:rsidP="00A2360E">
      <w:pPr>
        <w:pStyle w:val="Correspondencedetails"/>
      </w:pPr>
      <w:r w:rsidRPr="00024CD7">
        <w:t>*</w:t>
      </w:r>
      <w:r w:rsidR="00C14585" w:rsidRPr="00024CD7">
        <w:t>corresponding author</w:t>
      </w:r>
      <w:r w:rsidR="001D1889" w:rsidRPr="00024CD7">
        <w:t xml:space="preserve">: </w:t>
      </w:r>
      <w:r w:rsidR="00A2714D" w:rsidRPr="007C1286">
        <w:t>barbara.bedowska-sojka@ue.poznan.pl</w:t>
      </w:r>
    </w:p>
    <w:p w14:paraId="00780132" w14:textId="0CAEE823" w:rsidR="00A2714D" w:rsidRDefault="00A2714D" w:rsidP="00A2360E">
      <w:pPr>
        <w:pStyle w:val="Correspondencedetails"/>
      </w:pPr>
    </w:p>
    <w:p w14:paraId="3408811E" w14:textId="77777777" w:rsidR="00C14585" w:rsidRPr="00024CD7" w:rsidRDefault="00C14585" w:rsidP="005E2EEA">
      <w:pPr>
        <w:pStyle w:val="Notesoncontributors"/>
        <w:rPr>
          <w:color w:val="FFFFFF" w:themeColor="background1"/>
        </w:rPr>
      </w:pPr>
      <w:r w:rsidRPr="00024CD7">
        <w:rPr>
          <w:color w:val="FFFFFF" w:themeColor="background1"/>
        </w:rPr>
        <w:t>Provide short biographical notes on all contributors here if the journal requires them.</w:t>
      </w:r>
    </w:p>
    <w:p w14:paraId="454E1DC3" w14:textId="41DA95B3" w:rsidR="00C246C5" w:rsidRPr="00024CD7" w:rsidRDefault="00C14585" w:rsidP="009B24B5">
      <w:pPr>
        <w:pStyle w:val="Articletitle"/>
      </w:pPr>
      <w:r w:rsidRPr="00024CD7">
        <w:br w:type="page"/>
      </w:r>
      <w:r w:rsidR="00FA2725" w:rsidRPr="00024CD7">
        <w:lastRenderedPageBreak/>
        <w:t>Tracing Financialization in Critical Metal Markets: Correlations, Bubbles, and Dynamic Linkages</w:t>
      </w:r>
    </w:p>
    <w:p w14:paraId="012AAB3D" w14:textId="77777777" w:rsidR="00C00FFA" w:rsidRPr="00024CD7" w:rsidRDefault="00C00FFA" w:rsidP="00C00FFA">
      <w:pPr>
        <w:pStyle w:val="Abstract"/>
        <w:rPr>
          <w:b/>
          <w:bCs/>
          <w:sz w:val="20"/>
          <w:szCs w:val="20"/>
        </w:rPr>
      </w:pPr>
      <w:r w:rsidRPr="00024CD7">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rsidRPr="00024CD7">
        <w:t>comovements</w:t>
      </w:r>
      <w:proofErr w:type="spellEnd"/>
      <w:r w:rsidRPr="00024CD7">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024CD7" w:rsidRDefault="00997B0F" w:rsidP="00F30DFF">
      <w:pPr>
        <w:pStyle w:val="Keywords"/>
      </w:pPr>
      <w:r w:rsidRPr="00024CD7">
        <w:t xml:space="preserve">Keywords: </w:t>
      </w:r>
      <w:r w:rsidR="00A27C3E" w:rsidRPr="00024CD7">
        <w:t>Critical metals, Financialization, Speculative bubbles, Market integration, Dynamic conditional correlations, Battery metals;</w:t>
      </w:r>
    </w:p>
    <w:p w14:paraId="73B8173F" w14:textId="31911EB1" w:rsidR="00FE4713" w:rsidRPr="00024CD7" w:rsidRDefault="00A27C3E" w:rsidP="00A27C3E">
      <w:pPr>
        <w:pStyle w:val="Nagwek1"/>
        <w:rPr>
          <w:rFonts w:cs="Times New Roman"/>
        </w:rPr>
      </w:pPr>
      <w:r w:rsidRPr="00024CD7">
        <w:rPr>
          <w:rFonts w:cs="Times New Roman"/>
        </w:rPr>
        <w:t>Introduction</w:t>
      </w:r>
    </w:p>
    <w:p w14:paraId="20780E30" w14:textId="77777777" w:rsidR="00A27C3E" w:rsidRPr="00024CD7" w:rsidRDefault="00A27C3E" w:rsidP="00F565C7">
      <w:pPr>
        <w:pStyle w:val="Paragraph"/>
      </w:pPr>
      <w:r w:rsidRPr="00024CD7">
        <w:t>The transition to a net-</w:t>
      </w:r>
      <w:r w:rsidRPr="00F565C7">
        <w:t>zero</w:t>
      </w:r>
      <w:r w:rsidRPr="00024CD7">
        <w:t xml:space="preserve">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7D8F195C" w:rsidR="00A27C3E" w:rsidRDefault="00A27C3E" w:rsidP="00F565C7">
      <w:pPr>
        <w:pStyle w:val="Newparagraph"/>
      </w:pPr>
      <w:r w:rsidRPr="00024CD7">
        <w:t xml:space="preserve">Over the past two decades, commodity markets have become an increasingly popular asset class in investment portfolios, often with limited connection to hedging physical exposures </w:t>
      </w:r>
      <w:r w:rsidR="00C52EE5" w:rsidRPr="00024CD7">
        <w:t xml:space="preserve">(Tang and </w:t>
      </w:r>
      <w:proofErr w:type="spellStart"/>
      <w:r w:rsidR="00C52EE5" w:rsidRPr="00024CD7">
        <w:t>Xiong</w:t>
      </w:r>
      <w:proofErr w:type="spellEnd"/>
      <w:r w:rsidR="00C52EE5" w:rsidRPr="00024CD7">
        <w:t xml:space="preserve">, 2012; Cheng and </w:t>
      </w:r>
      <w:proofErr w:type="spellStart"/>
      <w:r w:rsidR="00C52EE5" w:rsidRPr="00024CD7">
        <w:t>Xiong</w:t>
      </w:r>
      <w:proofErr w:type="spellEnd"/>
      <w:r w:rsidR="00C52EE5" w:rsidRPr="00024CD7">
        <w:t xml:space="preserve">, 2014; Restrepo et al., 2023a; </w:t>
      </w:r>
      <w:proofErr w:type="spellStart"/>
      <w:r w:rsidR="00C52EE5" w:rsidRPr="00024CD7">
        <w:t>Orhangazi</w:t>
      </w:r>
      <w:proofErr w:type="spellEnd"/>
      <w:r w:rsidR="00C52EE5" w:rsidRPr="00024CD7">
        <w:t>, 2008)</w:t>
      </w:r>
      <w:r w:rsidRPr="00024CD7">
        <w:t xml:space="preserve">. Given their central role in the traditional economy, energy commodities such as oil and gas have attracted considerable scholarly attention in the context of financialization and financial market integration </w:t>
      </w:r>
      <w:proofErr w:type="spellStart"/>
      <w:r w:rsidR="00C52EE5" w:rsidRPr="00024CD7">
        <w:t>Szafranek</w:t>
      </w:r>
      <w:proofErr w:type="spellEnd"/>
      <w:r w:rsidR="00C52EE5" w:rsidRPr="00024CD7">
        <w:t xml:space="preserve"> et al., 2023; </w:t>
      </w:r>
      <w:proofErr w:type="spellStart"/>
      <w:r w:rsidR="00C52EE5" w:rsidRPr="00024CD7">
        <w:t>Czudaj</w:t>
      </w:r>
      <w:proofErr w:type="spellEnd"/>
      <w:r w:rsidR="00C52EE5" w:rsidRPr="00024CD7">
        <w:t xml:space="preserve">, 2019; </w:t>
      </w:r>
      <w:proofErr w:type="spellStart"/>
      <w:r w:rsidR="00C52EE5" w:rsidRPr="00024CD7">
        <w:t>Papież</w:t>
      </w:r>
      <w:proofErr w:type="spellEnd"/>
      <w:r w:rsidR="00C52EE5" w:rsidRPr="00024CD7">
        <w:t xml:space="preserve"> et al., 2022)</w:t>
      </w:r>
      <w:r w:rsidRPr="00024CD7">
        <w:t xml:space="preserve">. By contrast, critical metal markets have received considerably less academic attention. While energy commodities such as oil and gas are well-established portfolio components, widely studied as hedges and safe havens </w:t>
      </w:r>
      <w:r w:rsidR="009B26DD" w:rsidRPr="00024CD7">
        <w:t xml:space="preserve"> (Al-Nassar et al., 2023; </w:t>
      </w:r>
      <w:proofErr w:type="spellStart"/>
      <w:r w:rsidR="009B26DD" w:rsidRPr="00024CD7">
        <w:t>Ciner</w:t>
      </w:r>
      <w:proofErr w:type="spellEnd"/>
      <w:r w:rsidR="009B26DD" w:rsidRPr="00024CD7">
        <w:t xml:space="preserve"> et al., 2013)</w:t>
      </w:r>
      <w:r w:rsidRPr="00024CD7">
        <w:t xml:space="preserve">, and precious metals such as gold and silver are deeply integrated into financial markets </w:t>
      </w:r>
      <w:r w:rsidR="009B26DD" w:rsidRPr="00024CD7">
        <w:t xml:space="preserve">(Zaremba, 2015; </w:t>
      </w:r>
      <w:proofErr w:type="spellStart"/>
      <w:r w:rsidR="009B26DD" w:rsidRPr="00024CD7">
        <w:t>Mensi</w:t>
      </w:r>
      <w:proofErr w:type="spellEnd"/>
      <w:r w:rsidR="009B26DD" w:rsidRPr="00024CD7">
        <w:t xml:space="preserve"> et al., 2022)</w:t>
      </w:r>
      <w:r w:rsidRPr="00024CD7">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Pr="00024CD7" w:rsidRDefault="00A27C3E" w:rsidP="00F565C7">
      <w:pPr>
        <w:pStyle w:val="Newparagraph"/>
      </w:pPr>
      <w:r w:rsidRPr="00024CD7">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methodology combines several complementary approaches: we assess cross-metal correlations to identify the most interconnected price series, apply the GSADF test of </w:t>
      </w:r>
      <w:r w:rsidR="009B26DD" w:rsidRPr="00024CD7">
        <w:t>(Phillips et al., 2015)</w:t>
      </w:r>
      <w:r w:rsidRPr="00024CD7">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Pr="00024CD7" w:rsidRDefault="00A27C3E" w:rsidP="00F565C7">
      <w:pPr>
        <w:pStyle w:val="Newparagraph"/>
      </w:pPr>
      <w:r w:rsidRPr="00024CD7">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rsidRPr="00024CD7">
        <w:t xml:space="preserve">(Wang et al., 2023; </w:t>
      </w:r>
      <w:r w:rsidR="009B26DD" w:rsidRPr="00024CD7">
        <w:rPr>
          <w:lang w:val="en-US"/>
        </w:rPr>
        <w:t xml:space="preserve">Restrepo et al., 2023a; </w:t>
      </w:r>
      <w:proofErr w:type="spellStart"/>
      <w:r w:rsidR="009B26DD" w:rsidRPr="00024CD7">
        <w:rPr>
          <w:lang w:val="en-US"/>
        </w:rPr>
        <w:t>Ozgur</w:t>
      </w:r>
      <w:proofErr w:type="spellEnd"/>
      <w:r w:rsidR="009B26DD" w:rsidRPr="00024CD7">
        <w:rPr>
          <w:lang w:val="en-US"/>
        </w:rPr>
        <w:t xml:space="preserve"> et al., 2021)</w:t>
      </w:r>
      <w:r w:rsidRPr="00024CD7">
        <w:rPr>
          <w:lang w:val="en-US"/>
        </w:rPr>
        <w:t xml:space="preserve">. </w:t>
      </w:r>
      <w:r w:rsidRPr="00024CD7">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024CD7">
        <w:t>(Bertone et al., 2015)</w:t>
      </w:r>
      <w:r w:rsidRPr="00024CD7">
        <w:t xml:space="preserve">, according to which commodity prices are perfectly arbitraged, at least in the long run </w:t>
      </w:r>
      <w:r w:rsidR="009B26DD" w:rsidRPr="00024CD7">
        <w:t>(</w:t>
      </w:r>
      <w:proofErr w:type="spellStart"/>
      <w:r w:rsidR="009B26DD" w:rsidRPr="00024CD7">
        <w:t>Ardeni</w:t>
      </w:r>
      <w:proofErr w:type="spellEnd"/>
      <w:r w:rsidR="009B26DD" w:rsidRPr="00024CD7">
        <w:t xml:space="preserve"> (1989); </w:t>
      </w:r>
      <w:proofErr w:type="spellStart"/>
      <w:r w:rsidR="009B26DD" w:rsidRPr="00024CD7">
        <w:t>Sarno</w:t>
      </w:r>
      <w:proofErr w:type="spellEnd"/>
      <w:r w:rsidR="009B26DD" w:rsidRPr="00024CD7">
        <w:t xml:space="preserve"> et al. (2004))</w:t>
      </w:r>
      <w:r w:rsidRPr="00024CD7">
        <w:t xml:space="preserve">. Following </w:t>
      </w:r>
      <w:proofErr w:type="spellStart"/>
      <w:r w:rsidR="009B26DD" w:rsidRPr="00024CD7">
        <w:t>Ardeni</w:t>
      </w:r>
      <w:proofErr w:type="spellEnd"/>
      <w:r w:rsidR="009B26DD" w:rsidRPr="00024CD7">
        <w:t xml:space="preserve"> (1989)</w:t>
      </w:r>
      <w:r w:rsidRPr="00024CD7">
        <w:t>,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Pr="00024CD7" w:rsidRDefault="00A27C3E" w:rsidP="00F565C7">
      <w:pPr>
        <w:pStyle w:val="Newparagraph"/>
      </w:pPr>
      <w:r w:rsidRPr="00024CD7">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024CD7" w:rsidRDefault="00A27C3E" w:rsidP="00A27C3E">
      <w:pPr>
        <w:pStyle w:val="Nagwek1"/>
        <w:rPr>
          <w:rFonts w:cs="Times New Roman"/>
          <w:lang w:val="en-US"/>
        </w:rPr>
      </w:pPr>
      <w:r w:rsidRPr="00024CD7">
        <w:rPr>
          <w:rFonts w:cs="Times New Roman"/>
          <w:lang w:val="en-US"/>
        </w:rPr>
        <w:t>Literature review</w:t>
      </w:r>
    </w:p>
    <w:p w14:paraId="60119E4D" w14:textId="531D3346" w:rsidR="00A27C3E" w:rsidRPr="00024CD7" w:rsidRDefault="00A27C3E" w:rsidP="00F565C7">
      <w:pPr>
        <w:pStyle w:val="Paragraph"/>
      </w:pPr>
      <w:r w:rsidRPr="00024CD7">
        <w:t xml:space="preserve">Financialization refers to the increasing role and influence of financial investors and instruments in commodity markets, and its intensity varies considerably across different commodities </w:t>
      </w:r>
      <w:r w:rsidR="009B26DD" w:rsidRPr="00024CD7">
        <w:t>(</w:t>
      </w:r>
      <w:proofErr w:type="spellStart"/>
      <w:r w:rsidR="009B26DD" w:rsidRPr="00024CD7">
        <w:t>Domanski</w:t>
      </w:r>
      <w:proofErr w:type="spellEnd"/>
      <w:r w:rsidR="009B26DD" w:rsidRPr="00024CD7">
        <w:t xml:space="preserve"> and Heath, 2007)</w:t>
      </w:r>
      <w:r w:rsidRPr="00024CD7">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rsidRPr="00024CD7">
        <w:t xml:space="preserve">(Cheng and </w:t>
      </w:r>
      <w:proofErr w:type="spellStart"/>
      <w:r w:rsidR="009B26DD" w:rsidRPr="00024CD7">
        <w:t>Xiong</w:t>
      </w:r>
      <w:proofErr w:type="spellEnd"/>
      <w:r w:rsidR="009B26DD" w:rsidRPr="00024CD7">
        <w:t xml:space="preserve">, 2014; </w:t>
      </w:r>
      <w:proofErr w:type="spellStart"/>
      <w:r w:rsidR="009B26DD" w:rsidRPr="00024CD7">
        <w:t>Basak</w:t>
      </w:r>
      <w:proofErr w:type="spellEnd"/>
      <w:r w:rsidR="009B26DD" w:rsidRPr="00024CD7">
        <w:t xml:space="preserve"> and Pavlova, 2016</w:t>
      </w:r>
      <w:r w:rsidRPr="00024CD7">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024CD7">
        <w:t>(</w:t>
      </w:r>
      <w:proofErr w:type="spellStart"/>
      <w:r w:rsidR="009B26DD" w:rsidRPr="00024CD7">
        <w:t>Orhangazi</w:t>
      </w:r>
      <w:proofErr w:type="spellEnd"/>
      <w:r w:rsidR="009B26DD" w:rsidRPr="00024CD7">
        <w:t>, 2008)</w:t>
      </w:r>
      <w:r w:rsidRPr="00024CD7">
        <w:t xml:space="preserve">. The more actively ETFs and other financial instruments are issued for a given metal, the more advanced its financialization process becomes, bringing with it a greater presence of speculative investors and commodity futures indexes </w:t>
      </w:r>
      <w:r w:rsidR="009B26DD" w:rsidRPr="00024CD7">
        <w:t>(Seddon, 2020)</w:t>
      </w:r>
      <w:r w:rsidRPr="00024CD7">
        <w:t xml:space="preserve">. Third, the correlation between commodities — both spot and derivatives — and traditional equities tends to increase as financialization deepens </w:t>
      </w:r>
      <w:r w:rsidR="009B26DD" w:rsidRPr="00024CD7">
        <w:t xml:space="preserve"> (Tang and </w:t>
      </w:r>
      <w:proofErr w:type="spellStart"/>
      <w:r w:rsidR="009B26DD" w:rsidRPr="00024CD7">
        <w:t>Xiong</w:t>
      </w:r>
      <w:proofErr w:type="spellEnd"/>
      <w:r w:rsidR="009B26DD" w:rsidRPr="00024CD7">
        <w:t>, 2012)</w:t>
      </w:r>
      <w:r w:rsidRPr="00024CD7">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024CD7">
        <w:t xml:space="preserve"> (Tang and </w:t>
      </w:r>
      <w:proofErr w:type="spellStart"/>
      <w:r w:rsidR="009B26DD" w:rsidRPr="00024CD7">
        <w:t>Xiong</w:t>
      </w:r>
      <w:proofErr w:type="spellEnd"/>
      <w:r w:rsidR="009B26DD" w:rsidRPr="00024CD7">
        <w:t>, 2012</w:t>
      </w:r>
      <w:r w:rsidR="00F565C7">
        <w:t>)</w:t>
      </w:r>
      <w:r w:rsidRPr="00024CD7">
        <w:t>.</w:t>
      </w:r>
    </w:p>
    <w:p w14:paraId="1EF2D222" w14:textId="401CEE17" w:rsidR="00A27C3E" w:rsidRPr="00024CD7" w:rsidRDefault="00A27C3E" w:rsidP="00F565C7">
      <w:pPr>
        <w:pStyle w:val="Newparagraph"/>
      </w:pPr>
      <w:r w:rsidRPr="00024CD7">
        <w:t xml:space="preserve">There is an ongoing debate about whether financialization distorts commodity prices and contributes to the formation of price bubbles. While some studies suggest that financial speculation can amplify price movements </w:t>
      </w:r>
      <w:r w:rsidR="009B26DD" w:rsidRPr="00024CD7">
        <w:t xml:space="preserve"> (</w:t>
      </w:r>
      <w:proofErr w:type="spellStart"/>
      <w:r w:rsidR="009B26DD" w:rsidRPr="00024CD7">
        <w:t>Dufrénot</w:t>
      </w:r>
      <w:proofErr w:type="spellEnd"/>
      <w:r w:rsidR="009B26DD" w:rsidRPr="00024CD7">
        <w:t xml:space="preserve"> et al., 2026; Schmidt, 2017)</w:t>
      </w:r>
      <w:r w:rsidRPr="00024CD7">
        <w:t xml:space="preserve">, others argue that fundamental supply and demand effects can still predominate even in highly financialised markets </w:t>
      </w:r>
      <w:r w:rsidR="009B26DD" w:rsidRPr="00024CD7">
        <w:t xml:space="preserve">(Guzmán and Silva, 2018; </w:t>
      </w:r>
      <w:proofErr w:type="spellStart"/>
      <w:r w:rsidR="009B26DD" w:rsidRPr="00024CD7">
        <w:t>Alzahrani</w:t>
      </w:r>
      <w:proofErr w:type="spellEnd"/>
      <w:r w:rsidR="009B26DD" w:rsidRPr="00024CD7">
        <w:t xml:space="preserve"> et al., 2014)</w:t>
      </w:r>
      <w:r w:rsidRPr="00024CD7">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rsidRPr="00024CD7">
        <w:t xml:space="preserve"> (</w:t>
      </w:r>
      <w:proofErr w:type="spellStart"/>
      <w:r w:rsidR="009B26DD" w:rsidRPr="00024CD7">
        <w:t>Ardeni</w:t>
      </w:r>
      <w:proofErr w:type="spellEnd"/>
      <w:r w:rsidR="009B26DD" w:rsidRPr="00024CD7">
        <w:t>, 1989; Bertone et al., 2015</w:t>
      </w:r>
      <w:r w:rsidRPr="00024CD7">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rsidRPr="00024CD7">
        <w:t xml:space="preserve"> (Tang and </w:t>
      </w:r>
      <w:proofErr w:type="spellStart"/>
      <w:r w:rsidR="009B26DD" w:rsidRPr="00024CD7">
        <w:t>Xiong</w:t>
      </w:r>
      <w:proofErr w:type="spellEnd"/>
      <w:r w:rsidR="009B26DD" w:rsidRPr="00024CD7">
        <w:t>, 2012)</w:t>
      </w:r>
      <w:r w:rsidRPr="00024CD7">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Pr="00024CD7" w:rsidRDefault="00A27C3E" w:rsidP="00F565C7">
      <w:pPr>
        <w:pStyle w:val="Newparagraph"/>
      </w:pPr>
      <w:r w:rsidRPr="00024CD7">
        <w:t xml:space="preserve">However, financialization also introduces forces that can systematically undermine the Law of One Price. When price movements are driven by financial flows, herding behaviour, or speculative episodes rather than physical supply and demand, cross-market price gaps may persist even in otherwise integrated markets </w:t>
      </w:r>
      <w:r w:rsidR="009B26DD" w:rsidRPr="00024CD7">
        <w:t xml:space="preserve"> (</w:t>
      </w:r>
      <w:proofErr w:type="spellStart"/>
      <w:r w:rsidR="009B26DD" w:rsidRPr="00024CD7">
        <w:t>Sarno</w:t>
      </w:r>
      <w:proofErr w:type="spellEnd"/>
      <w:r w:rsidR="009B26DD" w:rsidRPr="00024CD7">
        <w:t xml:space="preserve"> et al., 2004)</w:t>
      </w:r>
      <w:r w:rsidRPr="00024CD7">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Pr="00024CD7" w:rsidRDefault="00A27C3E" w:rsidP="00F565C7">
      <w:pPr>
        <w:pStyle w:val="Newparagraph"/>
      </w:pPr>
      <w:r w:rsidRPr="00024CD7">
        <w:t xml:space="preserve">The financialization of critical metals has received relatively limited scholarly attention, with existing studies varying considerably in scope, methodology, and data sources. Some studies focus on individual metals </w:t>
      </w:r>
      <w:r w:rsidR="009B26DD" w:rsidRPr="00024CD7">
        <w:t>(</w:t>
      </w:r>
      <w:proofErr w:type="spellStart"/>
      <w:r w:rsidR="009B26DD" w:rsidRPr="00024CD7">
        <w:t>Wojewska</w:t>
      </w:r>
      <w:proofErr w:type="spellEnd"/>
      <w:r w:rsidR="009B26DD" w:rsidRPr="00024CD7">
        <w:t xml:space="preserve"> et al., 2024; </w:t>
      </w:r>
      <w:proofErr w:type="spellStart"/>
      <w:r w:rsidR="009B26DD" w:rsidRPr="00024CD7">
        <w:t>Lyócsa</w:t>
      </w:r>
      <w:proofErr w:type="spellEnd"/>
      <w:r w:rsidR="009B26DD" w:rsidRPr="00024CD7">
        <w:t xml:space="preserve"> et al., 2017; Restrepo et al., 2023b; </w:t>
      </w:r>
      <w:proofErr w:type="spellStart"/>
      <w:r w:rsidR="009B26DD" w:rsidRPr="00024CD7">
        <w:t>Cortazar</w:t>
      </w:r>
      <w:proofErr w:type="spellEnd"/>
      <w:r w:rsidR="009B26DD" w:rsidRPr="00024CD7">
        <w:t xml:space="preserve"> et al., 2024)</w:t>
      </w:r>
      <w:r w:rsidRPr="00024CD7">
        <w:t xml:space="preserve">, while others examine several simultaneously </w:t>
      </w:r>
      <w:r w:rsidR="009B26DD" w:rsidRPr="00024CD7">
        <w:t xml:space="preserve">(Restrepo et al., 2023a; Swarup and Kushwaha, 2023; Jiang et al., 2025; </w:t>
      </w:r>
      <w:proofErr w:type="spellStart"/>
      <w:r w:rsidR="009B26DD" w:rsidRPr="00024CD7">
        <w:t>Ozgur</w:t>
      </w:r>
      <w:proofErr w:type="spellEnd"/>
      <w:r w:rsidR="009B26DD" w:rsidRPr="00024CD7">
        <w:t xml:space="preserve"> et al., 2021</w:t>
      </w:r>
      <w:r w:rsidRPr="00024CD7">
        <w:t>. Data availability and quality represent a recurring challenge in this literature, particularly for less-established markets.</w:t>
      </w:r>
    </w:p>
    <w:p w14:paraId="231C732C" w14:textId="0AE0FDDD" w:rsidR="00A27C3E" w:rsidRPr="00024CD7" w:rsidRDefault="009B26DD" w:rsidP="00F565C7">
      <w:pPr>
        <w:pStyle w:val="Newparagraph"/>
      </w:pPr>
      <w:r w:rsidRPr="00024CD7">
        <w:t>Boer et al. (2023)</w:t>
      </w:r>
      <w:r w:rsidR="00A27C3E" w:rsidRPr="00024CD7">
        <w:t xml:space="preserve"> note that historical lithium data poses significant measurement problems, as the metal was not traded on public exchanges for an extended period, resulting in a more complex pricing structure compared to metals like copper and nickel. </w:t>
      </w:r>
      <w:r w:rsidRPr="00024CD7">
        <w:t>Li et al. (2023)</w:t>
      </w:r>
      <w:r w:rsidR="00A27C3E" w:rsidRPr="00024CD7">
        <w:t xml:space="preserve"> similarly highlights the inconsistency of trusted data sources across metals, a challenge that is especially pronounced for cobalt and lithium.</w:t>
      </w:r>
    </w:p>
    <w:p w14:paraId="157B2379" w14:textId="04CF8311" w:rsidR="00A27C3E" w:rsidRPr="00024CD7" w:rsidRDefault="00A27C3E" w:rsidP="00F565C7">
      <w:pPr>
        <w:pStyle w:val="Newparagraph"/>
      </w:pPr>
      <w:r w:rsidRPr="00024CD7">
        <w:t xml:space="preserve">Studies examining multiple metals simultaneously reveal important patterns of market integration. </w:t>
      </w:r>
      <w:r w:rsidR="009B26DD" w:rsidRPr="00024CD7">
        <w:t>Restrepo et al. (2023b)</w:t>
      </w:r>
      <w:r w:rsidRPr="00024CD7">
        <w:t xml:space="preserve"> find that copper and lithium exhibit higher levels of market integration than nickel and cobalt, as reflected in stronger connectedness indices and price co-movements. </w:t>
      </w:r>
      <w:r w:rsidR="009B26DD" w:rsidRPr="00024CD7">
        <w:t>.Jiang et al. (2025)</w:t>
      </w:r>
      <w:r w:rsidRPr="00024CD7">
        <w:t xml:space="preserve"> document a long-term equilibrium between oil prices and critical metal prices, suggesting that these markets are increasingly integrated into the broader commodity landscape.</w:t>
      </w:r>
      <w:r w:rsidR="009B26DD" w:rsidRPr="00024CD7">
        <w:t xml:space="preserve"> </w:t>
      </w:r>
      <w:proofErr w:type="spellStart"/>
      <w:r w:rsidR="009B26DD" w:rsidRPr="00024CD7">
        <w:t>Su</w:t>
      </w:r>
      <w:proofErr w:type="spellEnd"/>
      <w:r w:rsidR="009B26DD" w:rsidRPr="00024CD7">
        <w:t xml:space="preserve"> et al. (2023)</w:t>
      </w:r>
      <w:r w:rsidRPr="00024CD7">
        <w:t xml:space="preserve"> indicate that although low lithium prices negatively impact oil prices, the status of oil cannot be underestimated.</w:t>
      </w:r>
    </w:p>
    <w:p w14:paraId="300C8D2F" w14:textId="3A516AC7" w:rsidR="00A27C3E" w:rsidRPr="00024CD7" w:rsidRDefault="00A27C3E" w:rsidP="00F565C7">
      <w:pPr>
        <w:pStyle w:val="Newparagraph"/>
      </w:pPr>
      <w:r w:rsidRPr="00024CD7">
        <w:t xml:space="preserve">The role of speculation has also attracted attention. </w:t>
      </w:r>
      <w:r w:rsidR="009B26DD" w:rsidRPr="00024CD7">
        <w:t xml:space="preserve">Romani and </w:t>
      </w:r>
      <w:proofErr w:type="spellStart"/>
      <w:r w:rsidR="009B26DD" w:rsidRPr="00024CD7">
        <w:t>Casoli</w:t>
      </w:r>
      <w:proofErr w:type="spellEnd"/>
      <w:r w:rsidR="009B26DD" w:rsidRPr="00024CD7">
        <w:t xml:space="preserve"> (2024) </w:t>
      </w:r>
      <w:r w:rsidRPr="00024CD7">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rsidRPr="00024CD7">
        <w:t xml:space="preserve"> (Malhotra et al., 2026).</w:t>
      </w:r>
    </w:p>
    <w:p w14:paraId="6BEB7762" w14:textId="6C910EB3" w:rsidR="00A27C3E" w:rsidRPr="00024CD7" w:rsidRDefault="00A27C3E" w:rsidP="00F565C7">
      <w:pPr>
        <w:pStyle w:val="Newparagraph"/>
      </w:pPr>
      <w:r w:rsidRPr="00024CD7">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Pr="00024CD7" w:rsidRDefault="00A27C3E" w:rsidP="00A27C3E">
      <w:pPr>
        <w:pStyle w:val="Nagwek1"/>
        <w:rPr>
          <w:rFonts w:cs="Times New Roman"/>
        </w:rPr>
      </w:pPr>
      <w:r w:rsidRPr="00024CD7">
        <w:rPr>
          <w:rFonts w:cs="Times New Roman"/>
        </w:rPr>
        <w:t>Data and Methodology</w:t>
      </w:r>
    </w:p>
    <w:p w14:paraId="289AD3DF" w14:textId="1DE3E92C" w:rsidR="00A27C3E" w:rsidRPr="00024CD7" w:rsidRDefault="00A27C3E" w:rsidP="00A27C3E">
      <w:pPr>
        <w:pStyle w:val="Nagwek2"/>
        <w:rPr>
          <w:rFonts w:cs="Times New Roman"/>
        </w:rPr>
      </w:pPr>
      <w:r w:rsidRPr="00024CD7">
        <w:rPr>
          <w:rFonts w:cs="Times New Roman"/>
        </w:rPr>
        <w:t>Data</w:t>
      </w:r>
    </w:p>
    <w:p w14:paraId="7F38C538" w14:textId="4845FD9A" w:rsidR="00A27C3E" w:rsidRPr="00F565C7" w:rsidRDefault="00A27C3E" w:rsidP="00F565C7">
      <w:pPr>
        <w:pStyle w:val="Paragraph"/>
      </w:pPr>
      <w:r w:rsidRPr="00F565C7">
        <w:t>Metal markets differ fundamentally from equity, bond, or cryptocurrency markets in that they involve the trading of physical commodities or derivatives based on them, primarily futures and options. Trading occurs on major commodity exchanges such as the London Metal Exchange (LME)</w:t>
      </w:r>
      <w:r w:rsidR="00303644" w:rsidRPr="00F565C7">
        <w:rPr>
          <w:rStyle w:val="Odwoanieprzypisudolnego"/>
          <w:vertAlign w:val="baseline"/>
        </w:rPr>
        <w:footnoteReference w:id="1"/>
      </w:r>
      <w:r w:rsidRPr="00F565C7">
        <w:t>, COMEX (the Commodity Exchange operated by the CME Group)</w:t>
      </w:r>
      <w:r w:rsidR="00303644" w:rsidRPr="00F565C7">
        <w:rPr>
          <w:rStyle w:val="Odwoanieprzypisudolnego"/>
          <w:vertAlign w:val="baseline"/>
        </w:rPr>
        <w:footnoteReference w:id="2"/>
      </w:r>
      <w:r w:rsidRPr="00F565C7">
        <w:t>, and the Shanghai Futures Exchange (SHFE)</w:t>
      </w:r>
      <w:r w:rsidR="00303644" w:rsidRPr="00F565C7">
        <w:rPr>
          <w:rStyle w:val="Odwoanieprzypisudolnego"/>
          <w:vertAlign w:val="baseline"/>
        </w:rPr>
        <w:footnoteReference w:id="3"/>
      </w:r>
      <w:r w:rsidRPr="00F565C7">
        <w:t xml:space="preserve">, as well as through over-the-counter markets and bilateral contracts. Both the LME and COMEX report </w:t>
      </w:r>
      <w:proofErr w:type="spellStart"/>
      <w:r w:rsidRPr="00F565C7">
        <w:t>Fastmarkets</w:t>
      </w:r>
      <w:proofErr w:type="spellEnd"/>
      <w:r w:rsidRPr="00F565C7">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rsidRPr="00F565C7">
        <w:t>Antaike</w:t>
      </w:r>
      <w:proofErr w:type="spellEnd"/>
      <w:r w:rsidRPr="00F565C7">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Pr="00024CD7" w:rsidRDefault="00A27C3E" w:rsidP="00F565C7">
      <w:pPr>
        <w:pStyle w:val="Newparagraph"/>
      </w:pPr>
      <w:r w:rsidRPr="00024CD7">
        <w:t xml:space="preserve">Among the four metals, copper-related financial instruments have the longest history of trade, followed by nickel. The instruments based on lithium and cobalt are relatively new, with the first ones launched in 2021. These differences are reflected by data quality and availability. As </w:t>
      </w:r>
      <w:r w:rsidR="00303644" w:rsidRPr="00024CD7">
        <w:t>Boer et al. (2023)</w:t>
      </w:r>
      <w:r w:rsidRPr="00024CD7">
        <w:t xml:space="preserve"> note, the absence of exchange-based trading for lithium over an extended historical period has resulted in a fragmented and inconsistent pricing record. </w:t>
      </w:r>
      <w:r w:rsidR="00303644" w:rsidRPr="00024CD7">
        <w:t>Li et al. (2023)</w:t>
      </w:r>
      <w:r w:rsidRPr="00024CD7">
        <w:t xml:space="preserve"> similarly highlights the lack of standardised data sources across critical metals, necessitating reliance on specialised databases and regional market reports for certain series.</w:t>
      </w:r>
    </w:p>
    <w:p w14:paraId="334A9F73" w14:textId="482C7B52" w:rsidR="008652D0" w:rsidRPr="00024CD7" w:rsidRDefault="00A27C3E" w:rsidP="00F565C7">
      <w:pPr>
        <w:pStyle w:val="Newparagraph"/>
      </w:pPr>
      <w:r w:rsidRPr="00024CD7">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024CD7">
        <w:t>(Wang et al., 2023)</w:t>
      </w:r>
      <w:r w:rsidRPr="00024CD7">
        <w:t xml:space="preserve">. Also, it is not tradable as a physical asset on the LME, and cash-settled futures for lithium hydroxide have only been available since July 2021. Thus, we utilise the COMEX, LME and </w:t>
      </w:r>
      <w:proofErr w:type="spellStart"/>
      <w:r w:rsidRPr="00024CD7">
        <w:t>Antaike</w:t>
      </w:r>
      <w:proofErr w:type="spellEnd"/>
      <w:r w:rsidRPr="00024CD7">
        <w:t xml:space="preserve"> hy</w:t>
      </w:r>
      <w:r w:rsidR="00F565C7">
        <w:t>d</w:t>
      </w:r>
      <w:r w:rsidRPr="00024CD7">
        <w:t xml:space="preserve">roxide prices. Additionally, for each metal, we use data from a single source, </w:t>
      </w:r>
      <w:hyperlink r:id="rId11" w:history="1">
        <w:r w:rsidRPr="00024CD7">
          <w:rPr>
            <w:rStyle w:val="Hipercze"/>
          </w:rPr>
          <w:t>dailymetalprice.com</w:t>
        </w:r>
      </w:hyperlink>
      <w:r w:rsidRPr="00024CD7">
        <w:t>, an independent data provider</w:t>
      </w:r>
      <w:r w:rsidR="00303644" w:rsidRPr="00024CD7">
        <w:rPr>
          <w:rStyle w:val="Odwoanieprzypisudolnego"/>
        </w:rPr>
        <w:footnoteReference w:id="4"/>
      </w:r>
      <w:r w:rsidRPr="00024CD7">
        <w:t>. This multi-source approach allows us to assess data consistency across providers and identify the leading series for each metal. A summary of all series and their sources is provided in Table</w:t>
      </w:r>
      <w:r w:rsidR="00F565C7">
        <w:t xml:space="preserve"> 1</w:t>
      </w:r>
      <w:r w:rsidRPr="00024CD7">
        <w:t>.</w:t>
      </w:r>
    </w:p>
    <w:p w14:paraId="7CEF0E12" w14:textId="53B673C3" w:rsidR="00D764FA" w:rsidRPr="00024CD7" w:rsidRDefault="00D764FA" w:rsidP="008652D0">
      <w:pPr>
        <w:pStyle w:val="Tabletitle"/>
      </w:pPr>
      <w:r w:rsidRPr="00024CD7">
        <w:t>INSERT TABLE 1 ABOUT HERE</w:t>
      </w:r>
    </w:p>
    <w:p w14:paraId="48995211" w14:textId="77777777" w:rsidR="00D764FA" w:rsidRPr="00024CD7" w:rsidRDefault="00D764FA" w:rsidP="008652D0">
      <w:pPr>
        <w:pStyle w:val="Tabletitle"/>
      </w:pPr>
    </w:p>
    <w:p w14:paraId="4DC30069" w14:textId="77777777" w:rsidR="008652D0" w:rsidRPr="00024CD7" w:rsidRDefault="008652D0" w:rsidP="00F565C7">
      <w:pPr>
        <w:pStyle w:val="Newparagraph"/>
      </w:pPr>
      <w:r w:rsidRPr="00024CD7">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Pr="00024CD7" w:rsidRDefault="008652D0" w:rsidP="00F565C7">
      <w:pPr>
        <w:pStyle w:val="Newparagraph"/>
      </w:pPr>
      <w:r w:rsidRPr="00024CD7">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Pr="00024CD7" w:rsidRDefault="008652D0" w:rsidP="00F565C7">
      <w:pPr>
        <w:pStyle w:val="Newparagraph"/>
      </w:pPr>
      <w:r w:rsidRPr="00024CD7">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004410C7" w:rsidR="008652D0" w:rsidRPr="00024CD7" w:rsidRDefault="008652D0" w:rsidP="00F565C7">
      <w:pPr>
        <w:pStyle w:val="Newparagraph"/>
      </w:pPr>
      <w:r w:rsidRPr="00024CD7">
        <w:t>The interquartile ranges (Q1 to Q3) for several cobalt and lithium series (specifically COCOMX, CODALY, LICOMX, and LILMEX) are notably narrow, with the 25th and 75th percentiles rounding to zero. This suggests frequent periods of zero price change, which is strongly corroborated by the last column (</w:t>
      </w:r>
      <w:proofErr w:type="spellStart"/>
      <w:r w:rsidRPr="00024CD7">
        <w:t>ZeroPct</w:t>
      </w:r>
      <w:proofErr w:type="spellEnd"/>
      <w:r w:rsidRPr="00024CD7">
        <w:t xml:space="preserve">) showing the percentage of zero returns in the whole sample. For these specific assets, the proportion of zero returns is exceptionally high, ranging from 64.3% (LILMEX) to 87.7% (CODALY). As </w:t>
      </w:r>
      <w:proofErr w:type="spellStart"/>
      <w:r w:rsidRPr="00024CD7">
        <w:t>ZeroPct</w:t>
      </w:r>
      <w:proofErr w:type="spellEnd"/>
      <w:r w:rsidRPr="00024CD7">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rsidRPr="00024CD7">
        <w:t>ZeroPct</w:t>
      </w:r>
      <w:proofErr w:type="spellEnd"/>
      <w:r w:rsidRPr="00024CD7">
        <w:t xml:space="preserve"> values and wider, more symmetric interquartile ranges, consistent with more continuously traded and liquid markets.</w:t>
      </w:r>
      <w:r w:rsidR="003118D1">
        <w:t xml:space="preserve"> </w:t>
      </w:r>
    </w:p>
    <w:p w14:paraId="73E7EF4C" w14:textId="4E4441B0" w:rsidR="00D764FA" w:rsidRDefault="00D764FA" w:rsidP="00D764FA">
      <w:pPr>
        <w:pStyle w:val="Newparagraph"/>
      </w:pPr>
      <w:r w:rsidRPr="00024CD7">
        <w:t>INSERT TABLE 2 ABOUT HERE</w:t>
      </w:r>
    </w:p>
    <w:p w14:paraId="2B98DAE7" w14:textId="2212893E" w:rsidR="003118D1" w:rsidRPr="00024CD7" w:rsidRDefault="003118D1" w:rsidP="00D764FA">
      <w:pPr>
        <w:pStyle w:val="Newparagraph"/>
      </w:pPr>
      <w:r w:rsidRPr="00024CD7">
        <w:rPr>
          <w:lang w:val="en-US"/>
        </w:rPr>
        <w:t>The analysis conducted requires all series to be of equal length. This is why we fill missing observations using cubic spline interpolation.</w:t>
      </w:r>
    </w:p>
    <w:p w14:paraId="597CD49D" w14:textId="768642BA" w:rsidR="00E34ED3" w:rsidRPr="00024CD7" w:rsidRDefault="00E34ED3" w:rsidP="00E34ED3">
      <w:pPr>
        <w:pStyle w:val="Nagwek2"/>
        <w:rPr>
          <w:rFonts w:cs="Times New Roman"/>
          <w:lang w:val="en-US"/>
        </w:rPr>
      </w:pPr>
      <w:r w:rsidRPr="00024CD7">
        <w:rPr>
          <w:rFonts w:cs="Times New Roman"/>
          <w:lang w:val="en-US"/>
        </w:rPr>
        <w:t>Methods</w:t>
      </w:r>
    </w:p>
    <w:p w14:paraId="27CDEABB" w14:textId="77777777" w:rsidR="00E34ED3" w:rsidRPr="00024CD7" w:rsidRDefault="00E34ED3" w:rsidP="00F565C7">
      <w:pPr>
        <w:pStyle w:val="Paragraph"/>
      </w:pPr>
      <w:r w:rsidRPr="00024CD7">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752C25CE" w:rsidR="00E34ED3" w:rsidRPr="00024CD7" w:rsidRDefault="00E34ED3" w:rsidP="009044B6">
      <w:pPr>
        <w:pStyle w:val="Newparagraph"/>
      </w:pPr>
      <w:r w:rsidRPr="00024CD7">
        <w:t xml:space="preserve">To detect speculative bubbles in the price series, we apply the recursive unit root testing framework of </w:t>
      </w:r>
      <w:r w:rsidR="005720EA">
        <w:t>Phillips et al. (2015)</w:t>
      </w:r>
      <w:r w:rsidRPr="00024CD7">
        <w:t>. The idea is to detect bubbles by identifying periods of explosive price behaviour through a right-tailed ADF test:</w:t>
      </w:r>
    </w:p>
    <w:p w14:paraId="13058DFC" w14:textId="153CCDFD" w:rsidR="007D6CD3" w:rsidRPr="00024CD7" w:rsidRDefault="00CA2C55" w:rsidP="00535019">
      <w:pPr>
        <w:pStyle w:val="Displayedequation"/>
      </w:pPr>
      <m:oMathPara>
        <m:oMath>
          <m:r>
            <m:rPr>
              <m:sty m:val="p"/>
            </m:rPr>
            <w:rPr>
              <w:rFonts w:ascii="Cambria Math" w:hAnsi="Cambria Math"/>
            </w:rPr>
            <m:t>Δ 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 = </m:t>
          </m:r>
          <m:r>
            <w:rPr>
              <w:rFonts w:ascii="Cambria Math" w:hAnsi="Cambria Math"/>
            </w:rPr>
            <m:t>μ</m:t>
          </m:r>
          <m:r>
            <m:rPr>
              <m:sty m:val="p"/>
            </m:rPr>
            <w:rPr>
              <w:rFonts w:ascii="Cambria Math" w:hAnsi="Cambria Math"/>
            </w:rPr>
            <m:t> + </m:t>
          </m:r>
          <m:r>
            <w:rPr>
              <w:rFonts w:ascii="Cambria Math" w:hAnsi="Cambria Math"/>
            </w:rPr>
            <m:t>δ</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 ∼ </m:t>
          </m:r>
          <m:r>
            <w:rPr>
              <w:rFonts w:ascii="Cambria Math" w:hAnsi="Cambria Math"/>
            </w:rPr>
            <m:t>N</m:t>
          </m:r>
          <m:d>
            <m:dPr>
              <m:ctrlPr>
                <w:rPr>
                  <w:rFonts w:ascii="Cambria Math" w:hAnsi="Cambria Math"/>
                </w:rPr>
              </m:ctrlPr>
            </m:dPr>
            <m:e>
              <m:r>
                <m:rPr>
                  <m:sty m:val="p"/>
                </m:rPr>
                <w:rPr>
                  <w:rFonts w:ascii="Cambria Math" w:hAnsi="Cambria Math"/>
                </w:rPr>
                <m:t>0, </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45182A7E" w14:textId="4DBA5D6E" w:rsidR="00E34ED3" w:rsidRPr="00024CD7" w:rsidRDefault="00E34ED3" w:rsidP="009044B6">
      <w:pPr>
        <w:pStyle w:val="Newparagraph"/>
        <w:ind w:firstLine="0"/>
      </w:pPr>
      <w:r w:rsidRPr="00024CD7">
        <w:t>where the null hypothesis assumes a random walk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:δ=0</m:t>
        </m:r>
      </m:oMath>
      <w:r w:rsidRPr="00024CD7">
        <w:t>), and the alternative hypothesis assumes an explosive autoregressive process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:δ&gt;0</m:t>
        </m:r>
      </m:oMath>
      <w:r w:rsidRPr="00024CD7">
        <w:t xml:space="preserve">). The earlier Supremum ADF (SADF) test </w:t>
      </w:r>
      <w:r w:rsidR="00C80535" w:rsidRPr="00024CD7">
        <w:t xml:space="preserve">of Phillips et al. (2011) </w:t>
      </w:r>
      <w:r w:rsidRPr="00024CD7">
        <w:t xml:space="preserve">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the start and end points of the estimation subsample, allowing the model to identify multiple bubble cycles within a single time series. To ensure reliable inference, the algorithm imposes a minimum window size, typically set as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=0.01+1.8</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T</m:t>
            </m:r>
          </m:e>
        </m:rad>
      </m:oMath>
      <w:r w:rsidRPr="00024CD7">
        <w:t xml:space="preserve"> providing a robust basis for date-stamping the origination and termination of exuberant market phases.</w:t>
      </w:r>
    </w:p>
    <w:p w14:paraId="4B22F0B9" w14:textId="763D5931" w:rsidR="00E34ED3" w:rsidRPr="00024CD7" w:rsidRDefault="00E34ED3" w:rsidP="00F565C7">
      <w:pPr>
        <w:pStyle w:val="Newparagraph"/>
      </w:pPr>
      <w:r w:rsidRPr="00024CD7">
        <w:t>Next</w:t>
      </w:r>
      <w:r w:rsidR="00C80535" w:rsidRPr="00024CD7">
        <w:t>,</w:t>
      </w:r>
      <w:r w:rsidRPr="00024CD7">
        <w:t xml:space="preserve">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0BFECA81" w:rsidR="00E34ED3" w:rsidRPr="00024CD7" w:rsidRDefault="00E34ED3" w:rsidP="00F565C7">
      <w:pPr>
        <w:pStyle w:val="Newparagraph"/>
      </w:pPr>
      <w:r w:rsidRPr="00024CD7">
        <w:t>The Johansen procedure relies on the maximum likelihood estimation of a Vector Error Correction Model (VECM). To accommodate the exogenous structural dummies, the VECM is specified as:</w:t>
      </w:r>
    </w:p>
    <w:p w14:paraId="48AB7F3E" w14:textId="0A41931C" w:rsidR="00C80535" w:rsidRPr="00024CD7" w:rsidRDefault="00CA2C55" w:rsidP="00535019">
      <w:pPr>
        <w:pStyle w:val="Displayedequation"/>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=Π</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p</m:t>
              </m:r>
              <m:r>
                <m:rPr>
                  <m:sty m:val="p"/>
                </m:rPr>
                <w:rPr>
                  <w:rFonts w:ascii="Cambria Math" w:hAnsi="Cambria Math"/>
                </w:rPr>
                <m:t>-1</m:t>
              </m:r>
            </m:sup>
            <m:e>
              <m:sSub>
                <m:sSubPr>
                  <m:ctrlPr>
                    <w:rPr>
                      <w:rFonts w:ascii="Cambria Math" w:hAnsi="Cambria Math"/>
                    </w:rPr>
                  </m:ctrlPr>
                </m:sSubPr>
                <m:e>
                  <m:r>
                    <m:rPr>
                      <m:sty m:val="p"/>
                    </m:rPr>
                    <w:rPr>
                      <w:rFonts w:ascii="Cambria Math" w:hAnsi="Cambria Math"/>
                    </w:rPr>
                    <m:t>Γ</m:t>
                  </m:r>
                </m:e>
                <m:sub>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+Φ</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11FF4CA" w14:textId="589A5221"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24CD7">
        <w:t xml:space="preserve"> is a </w:t>
      </w:r>
      <m:oMath>
        <m:r>
          <w:rPr>
            <w:rFonts w:ascii="Cambria Math" w:hAnsi="Cambria Math"/>
          </w:rPr>
          <m:t xml:space="preserve">k </m:t>
        </m:r>
        <m:r>
          <m:rPr>
            <m:sty m:val="p"/>
          </m:rPr>
          <w:rPr>
            <w:rFonts w:ascii="Cambria Math" w:hAnsi="Cambria Math"/>
          </w:rPr>
          <m:t>×</m:t>
        </m:r>
        <m:r>
          <w:rPr>
            <w:rFonts w:ascii="Cambria Math" w:hAnsi="Cambria Math"/>
          </w:rPr>
          <m:t>1</m:t>
        </m:r>
      </m:oMath>
      <w:r w:rsidR="008D4328" w:rsidRPr="00024CD7">
        <w:t xml:space="preserve"> </w:t>
      </w:r>
      <w:r w:rsidRPr="00024CD7">
        <w:t xml:space="preserve">vector of endogenous non-stationary variables, </w:t>
      </w:r>
      <m:oMath>
        <m:r>
          <m:rPr>
            <m:sty m:val="p"/>
          </m:rPr>
          <w:rPr>
            <w:rFonts w:ascii="Cambria Math" w:hAnsi="Cambria Math"/>
          </w:rPr>
          <m:t>Δ</m:t>
        </m:r>
      </m:oMath>
      <w:r w:rsidRPr="00024CD7">
        <w:t xml:space="preserve"> is the first difference operator,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Pr="00024CD7">
        <w:t xml:space="preserve"> represents the coefficient matrices for the short-term dynamics, and </w:t>
      </w:r>
      <m:oMath>
        <m:sSub>
          <m:sSubPr>
            <m:ctrlPr>
              <w:rPr>
                <w:rFonts w:ascii="Cambria Math" w:hAnsi="Cambria Math"/>
                <w:i/>
              </w:rPr>
            </m:ctrlPr>
          </m:sSubPr>
          <m:e>
            <m:r>
              <w:rPr>
                <w:rFonts w:ascii="Cambria Math" w:hAnsi="Cambria Math"/>
              </w:rPr>
              <m:t>ϵ</m:t>
            </m:r>
          </m:e>
          <m:sub>
            <m:r>
              <w:rPr>
                <w:rFonts w:ascii="Cambria Math" w:hAnsi="Cambria Math"/>
              </w:rPr>
              <m:t>t</m:t>
            </m:r>
          </m:sub>
        </m:sSub>
      </m:oMath>
      <w:r w:rsidRPr="00024CD7">
        <w:t xml:space="preserve"> is a vector of white noise error terms. Following standard practice for financial price series, the model was specified with a restricted constant (</w:t>
      </w:r>
      <m:oMath>
        <m:r>
          <w:rPr>
            <w:rFonts w:ascii="Cambria Math" w:hAnsi="Cambria Math"/>
          </w:rPr>
          <m:t>μ</m:t>
        </m:r>
      </m:oMath>
      <w:r w:rsidRPr="00024CD7">
        <w:t xml:space="preserve">), allowing for an intercept in the cointegrating equation but no linear trend in the data. The matrix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contains the strictly exogenous structural dummies representing explosive bubble periods; dummies for series exhibiting no bubble episodes were excluded to prevent perfect multicollinearity.</w:t>
      </w:r>
    </w:p>
    <w:p w14:paraId="51FED368" w14:textId="1FDF2FE1" w:rsidR="00E34ED3" w:rsidRPr="00024CD7" w:rsidRDefault="00E34ED3" w:rsidP="00F565C7">
      <w:pPr>
        <w:pStyle w:val="Newparagraph"/>
      </w:pPr>
      <w:r w:rsidRPr="00024CD7">
        <w:t xml:space="preserve">The essential component of this model is the </w:t>
      </w:r>
      <m:oMath>
        <m:r>
          <w:rPr>
            <w:rFonts w:ascii="Cambria Math" w:hAnsi="Cambria Math"/>
          </w:rPr>
          <m:t xml:space="preserve">k </m:t>
        </m:r>
        <m:r>
          <m:rPr>
            <m:sty m:val="p"/>
          </m:rPr>
          <w:rPr>
            <w:rFonts w:ascii="Cambria Math" w:hAnsi="Cambria Math"/>
          </w:rPr>
          <m:t xml:space="preserve">× </m:t>
        </m:r>
        <m:r>
          <w:rPr>
            <w:rFonts w:ascii="Cambria Math" w:hAnsi="Cambria Math"/>
          </w:rPr>
          <m:t>k</m:t>
        </m:r>
      </m:oMath>
      <w:r w:rsidR="008D4328" w:rsidRPr="00024CD7">
        <w:t xml:space="preserve"> </w:t>
      </w:r>
      <w:r w:rsidRPr="00024CD7">
        <w:t xml:space="preserve"> coefficient matrix </w:t>
      </w:r>
      <m:oMath>
        <m:r>
          <m:rPr>
            <m:sty m:val="p"/>
          </m:rPr>
          <w:rPr>
            <w:rFonts w:ascii="Cambria Math" w:hAnsi="Cambria Math"/>
          </w:rPr>
          <m:t>Π</m:t>
        </m:r>
      </m:oMath>
      <w:r w:rsidRPr="00024CD7">
        <w:t xml:space="preserve">, which conveys information regarding the long-run cointegrating relationships. If the rank of </w:t>
      </w:r>
      <m:oMath>
        <m:r>
          <m:rPr>
            <m:sty m:val="p"/>
          </m:rPr>
          <w:rPr>
            <w:rFonts w:ascii="Cambria Math" w:hAnsi="Cambria Math"/>
          </w:rPr>
          <m:t>Π</m:t>
        </m:r>
      </m:oMath>
      <w:r w:rsidR="008D4328" w:rsidRPr="00024CD7">
        <w:t xml:space="preserve"> </w:t>
      </w:r>
      <w:r w:rsidRPr="00024CD7">
        <w:t xml:space="preserve">is </w:t>
      </w:r>
      <w:r w:rsidR="008D4328" w:rsidRPr="00024CD7">
        <w:rPr>
          <w:position w:val="-1"/>
        </w:rPr>
        <w:t xml:space="preserve"> </w:t>
      </w:r>
      <m:oMath>
        <m:r>
          <w:rPr>
            <w:rFonts w:ascii="Cambria Math" w:hAnsi="Cambria Math"/>
            <w:position w:val="-1"/>
          </w:rPr>
          <m:t>r</m:t>
        </m:r>
      </m:oMath>
      <w:r w:rsidRPr="00024CD7">
        <w:t xml:space="preserve"> (where</w:t>
      </w:r>
      <w:r w:rsidR="008D4328" w:rsidRPr="00024CD7">
        <w:rPr>
          <w:position w:val="-1"/>
        </w:rPr>
        <w:t xml:space="preserve"> </w:t>
      </w:r>
      <m:oMath>
        <m:r>
          <w:rPr>
            <w:rFonts w:ascii="Cambria Math" w:hAnsi="Cambria Math"/>
            <w:position w:val="-1"/>
          </w:rPr>
          <m:t>0 &lt; r &lt; k</m:t>
        </m:r>
      </m:oMath>
      <w:r w:rsidRPr="00024CD7">
        <w:t xml:space="preserve">), it can be decomposed into two </w:t>
      </w:r>
      <m:oMath>
        <m:r>
          <w:rPr>
            <w:rFonts w:ascii="Cambria Math" w:hAnsi="Cambria Math"/>
          </w:rPr>
          <m:t xml:space="preserve">k </m:t>
        </m:r>
        <m:r>
          <m:rPr>
            <m:sty m:val="p"/>
          </m:rPr>
          <w:rPr>
            <w:rFonts w:ascii="Cambria Math" w:hAnsi="Cambria Math"/>
          </w:rPr>
          <m:t>×</m:t>
        </m:r>
        <m:r>
          <w:rPr>
            <w:rFonts w:ascii="Cambria Math" w:hAnsi="Cambria Math"/>
          </w:rPr>
          <m:t>r</m:t>
        </m:r>
      </m:oMath>
      <w:r w:rsidR="008D4328" w:rsidRPr="00024CD7">
        <w:t xml:space="preserve">  </w:t>
      </w:r>
      <w:r w:rsidRPr="00024CD7">
        <w:t xml:space="preserve">matrices, </w:t>
      </w:r>
      <m:oMath>
        <m:r>
          <w:rPr>
            <w:rFonts w:ascii="Cambria Math" w:hAnsi="Cambria Math"/>
          </w:rPr>
          <m:t>α</m:t>
        </m:r>
        <m:r>
          <m:rPr>
            <m:sty m:val="p"/>
          </m:rPr>
          <w:rPr>
            <w:rFonts w:ascii="Cambria Math" w:hAnsi="Cambria Math"/>
          </w:rPr>
          <m:t xml:space="preserve"> </m:t>
        </m:r>
      </m:oMath>
      <w:r w:rsidRPr="00024CD7">
        <w:t>and</w:t>
      </w:r>
      <w:r w:rsidR="008D4328" w:rsidRPr="00024CD7">
        <w:rPr>
          <w:position w:val="-1"/>
        </w:rPr>
        <w:t xml:space="preserve"> </w:t>
      </w:r>
      <m:oMath>
        <m:r>
          <w:rPr>
            <w:rFonts w:ascii="Cambria Math" w:hAnsi="Cambria Math"/>
            <w:position w:val="-1"/>
          </w:rPr>
          <m:t>β</m:t>
        </m:r>
      </m:oMath>
      <w:r w:rsidRPr="00024CD7">
        <w:t>, such that</w:t>
      </w:r>
      <w:r w:rsidR="008D4328" w:rsidRPr="00024CD7">
        <w:rPr>
          <w:position w:val="-1"/>
        </w:rPr>
        <w:t xml:space="preserve"> </w:t>
      </w:r>
      <m:oMath>
        <m:r>
          <m:rPr>
            <m:sty m:val="p"/>
          </m:rPr>
          <w:rPr>
            <w:rFonts w:ascii="Cambria Math" w:hAnsi="Cambria Math"/>
            <w:position w:val="-1"/>
          </w:rPr>
          <m:t>Π</m:t>
        </m:r>
        <m:r>
          <w:rPr>
            <w:rFonts w:ascii="Cambria Math" w:hAnsi="Cambria Math"/>
            <w:position w:val="-1"/>
          </w:rPr>
          <m:t>=α</m:t>
        </m:r>
        <m:sSup>
          <m:sSupPr>
            <m:ctrlPr>
              <w:rPr>
                <w:rFonts w:ascii="Cambria Math" w:hAnsi="Cambria Math"/>
                <w:i/>
                <w:position w:val="-1"/>
              </w:rPr>
            </m:ctrlPr>
          </m:sSupPr>
          <m:e>
            <m:r>
              <w:rPr>
                <w:rFonts w:ascii="Cambria Math" w:hAnsi="Cambria Math"/>
                <w:position w:val="-1"/>
              </w:rPr>
              <m:t>β</m:t>
            </m:r>
            <m:ctrlPr>
              <w:rPr>
                <w:rFonts w:ascii="Cambria Math" w:hAnsi="Cambria Math"/>
                <w:position w:val="-1"/>
              </w:rPr>
            </m:ctrlPr>
          </m:e>
          <m:sup>
            <m:r>
              <w:rPr>
                <w:rFonts w:ascii="Cambria Math" w:hAnsi="Cambria Math"/>
                <w:position w:val="-1"/>
              </w:rPr>
              <m:t>'</m:t>
            </m:r>
          </m:sup>
        </m:sSup>
      </m:oMath>
      <w:r w:rsidRPr="00024CD7">
        <w:t xml:space="preserve">. Here, </w:t>
      </w:r>
      <m:oMath>
        <m:r>
          <w:rPr>
            <w:rFonts w:ascii="Cambria Math" w:hAnsi="Cambria Math"/>
            <w:position w:val="-1"/>
          </w:rPr>
          <m:t>β</m:t>
        </m:r>
      </m:oMath>
      <w:r w:rsidRPr="00024CD7">
        <w:t xml:space="preserve"> represents the matrix of long-run cointegrating coefficients, and </w:t>
      </w:r>
      <m:oMath>
        <m:r>
          <w:rPr>
            <w:rFonts w:ascii="Cambria Math" w:hAnsi="Cambria Math"/>
          </w:rPr>
          <m:t>α</m:t>
        </m:r>
      </m:oMath>
      <w:r w:rsidRPr="00024CD7">
        <w:t xml:space="preserve"> serves as the adjustment matrix dictating the speed at which the system returns to equilibrium. To test for long-run market integration and formally determine the number of cointegrating vectors (</w:t>
      </w:r>
      <m:oMath>
        <m:r>
          <w:rPr>
            <w:rFonts w:ascii="Cambria Math" w:hAnsi="Cambria Math"/>
            <w:position w:val="-1"/>
          </w:rPr>
          <m:t>r</m:t>
        </m:r>
      </m:oMath>
      <w:r w:rsidRPr="00024CD7">
        <w:t>), we employed the Johansen Trace statistic:</w:t>
      </w:r>
    </w:p>
    <w:p w14:paraId="503C8555" w14:textId="3926C2E8" w:rsidR="008D4328" w:rsidRPr="00024CD7" w:rsidRDefault="00CA2C55" w:rsidP="00F565C7">
      <w:pPr>
        <w:pStyle w:val="Newparagraph"/>
      </w:pPr>
      <m:oMathPara>
        <m:oMath>
          <m:sSub>
            <m:sSubPr>
              <m:ctrlPr>
                <w:rPr>
                  <w:rFonts w:ascii="Cambria Math" w:hAnsi="Cambria Math"/>
                  <w:i/>
                </w:rPr>
              </m:ctrlPr>
            </m:sSubPr>
            <m:e>
              <m:r>
                <w:rPr>
                  <w:rFonts w:ascii="Cambria Math" w:hAnsi="Cambria Math"/>
                </w:rPr>
                <m:t>J</m:t>
              </m:r>
            </m:e>
            <m:sub>
              <m:r>
                <m:rPr>
                  <m:nor/>
                </m:rPr>
                <m:t>trace</m:t>
              </m:r>
            </m:sub>
          </m:sSub>
          <m:d>
            <m:dPr>
              <m:ctrlPr>
                <w:rPr>
                  <w:rFonts w:ascii="Cambria Math" w:hAnsi="Cambria Math"/>
                  <w:i/>
                </w:rPr>
              </m:ctrlPr>
            </m:dPr>
            <m:e>
              <m:r>
                <w:rPr>
                  <w:rFonts w:ascii="Cambria Math" w:hAnsi="Cambria Math"/>
                </w:rPr>
                <m:t>r</m:t>
              </m:r>
            </m:e>
          </m:d>
          <m:r>
            <w:rPr>
              <w:rFonts w:ascii="Cambria Math" w:hAnsi="Cambria Math"/>
            </w:rPr>
            <m:t>=-T</m:t>
          </m:r>
          <m:nary>
            <m:naryPr>
              <m:chr m:val="∑"/>
              <m:ctrlPr>
                <w:rPr>
                  <w:rFonts w:ascii="Cambria Math" w:hAnsi="Cambria Math"/>
                </w:rPr>
              </m:ctrlPr>
            </m:naryPr>
            <m:sub>
              <m:r>
                <w:rPr>
                  <w:rFonts w:ascii="Cambria Math" w:hAnsi="Cambria Math"/>
                </w:rPr>
                <m:t>i=r+1</m:t>
              </m:r>
              <m:ctrlPr>
                <w:rPr>
                  <w:rFonts w:ascii="Cambria Math" w:hAnsi="Cambria Math"/>
                  <w:i/>
                </w:rPr>
              </m:ctrlPr>
            </m:sub>
            <m:sup>
              <m:r>
                <w:rPr>
                  <w:rFonts w:ascii="Cambria Math" w:hAnsi="Cambria Math"/>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e>
                  </m:d>
                </m:e>
              </m:func>
              <m:ctrlPr>
                <w:rPr>
                  <w:rFonts w:ascii="Cambria Math" w:hAnsi="Cambria Math"/>
                  <w:i/>
                </w:rPr>
              </m:ctrlPr>
            </m:e>
          </m:nary>
          <m: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1CED4203" w14:textId="54FD4BAC" w:rsidR="00E34ED3" w:rsidRPr="00024CD7" w:rsidRDefault="00E34ED3" w:rsidP="009044B6">
      <w:pPr>
        <w:pStyle w:val="Newparagraph"/>
        <w:ind w:firstLine="0"/>
      </w:pPr>
      <w:r w:rsidRPr="00024CD7">
        <w:t xml:space="preserve">where </w:t>
      </w:r>
      <m:oMath>
        <m:r>
          <w:rPr>
            <w:rFonts w:ascii="Cambria Math" w:hAnsi="Cambria Math"/>
          </w:rPr>
          <m:t>T</m:t>
        </m:r>
      </m:oMath>
      <w:r w:rsidRPr="00024CD7">
        <w:t xml:space="preserve"> is the sample size and</w:t>
      </w:r>
      <w:r w:rsidR="004E7D3E" w:rsidRPr="00024CD7">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oMath>
      <w:r w:rsidR="00226115" w:rsidRPr="00024CD7">
        <w:t xml:space="preserve"> </w:t>
      </w:r>
      <w:r w:rsidRPr="00024CD7">
        <w:t xml:space="preserve">is the </w:t>
      </w:r>
      <m:oMath>
        <m:r>
          <w:rPr>
            <w:rFonts w:ascii="Cambria Math" w:hAnsi="Cambria Math"/>
            <w:position w:val="-1"/>
          </w:rPr>
          <m:t>i</m:t>
        </m:r>
        <m:r>
          <w:rPr>
            <w:rFonts w:ascii="Cambria Math" w:hAnsi="Cambria Math"/>
          </w:rPr>
          <m:t>-</m:t>
        </m:r>
      </m:oMath>
      <w:r w:rsidRPr="00024CD7">
        <w:t>th largest estimated eigenvalue of the matrix</w:t>
      </w:r>
      <w:r w:rsidR="004E7D3E" w:rsidRPr="00024CD7">
        <w:rPr>
          <w:position w:val="-1"/>
        </w:rPr>
        <w:t xml:space="preserve"> </w:t>
      </w:r>
      <m:oMath>
        <m:r>
          <m:rPr>
            <m:sty m:val="p"/>
          </m:rPr>
          <w:rPr>
            <w:rFonts w:ascii="Cambria Math" w:hAnsi="Cambria Math"/>
          </w:rPr>
          <m:t>Π</m:t>
        </m:r>
      </m:oMath>
      <w:r w:rsidRPr="00024CD7">
        <w:t xml:space="preserve">. The Trace statistic tests the null hypothesis of </w:t>
      </w:r>
      <w:r w:rsidR="004E7D3E" w:rsidRPr="00024CD7">
        <w:rPr>
          <w:position w:val="-1"/>
        </w:rPr>
        <w:t xml:space="preserve"> </w:t>
      </w:r>
      <m:oMath>
        <m:r>
          <w:rPr>
            <w:rFonts w:ascii="Cambria Math" w:hAnsi="Cambria Math"/>
            <w:position w:val="-1"/>
          </w:rPr>
          <m:t>r</m:t>
        </m:r>
      </m:oMath>
      <w:r w:rsidRPr="00024CD7">
        <w:t xml:space="preserve"> cointegrating relations against the alternative of </w:t>
      </w:r>
      <m:oMath>
        <m:r>
          <w:rPr>
            <w:rFonts w:ascii="Cambria Math" w:hAnsi="Cambria Math"/>
          </w:rPr>
          <m:t>k</m:t>
        </m:r>
      </m:oMath>
      <w:r w:rsidRPr="00024CD7">
        <w:t xml:space="preserve"> cointegrating relations (a fully stationary system).</w:t>
      </w:r>
    </w:p>
    <w:p w14:paraId="550A3F83" w14:textId="31EFBAFF" w:rsidR="00E34ED3" w:rsidRPr="00024CD7" w:rsidRDefault="00E34ED3" w:rsidP="00F565C7">
      <w:pPr>
        <w:pStyle w:val="Newparagraph"/>
      </w:pPr>
      <w:r w:rsidRPr="00024CD7">
        <w:t>Finally, we employ the Dynamic Conditional Correlation GARCH model of  to examine time-varying linkages between price series. The model assumes that the return process</w:t>
      </w:r>
      <w:r w:rsidR="0019108C" w:rsidRPr="00024CD7">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conditional on the information set</w:t>
      </w:r>
      <m:oMath>
        <m:sSub>
          <m:sSubPr>
            <m:ctrlPr>
              <w:rPr>
                <w:rFonts w:ascii="Cambria Math" w:hAnsi="Cambria Math"/>
                <w:i/>
              </w:rPr>
            </m:ctrlPr>
          </m:sSubPr>
          <m:e>
            <m:r>
              <m:rPr>
                <m:scr m:val="script"/>
              </m:rPr>
              <w:rPr>
                <w:rFonts w:ascii="Cambria Math" w:hAnsi="Cambria Math"/>
              </w:rPr>
              <m:t xml:space="preserve"> F</m:t>
            </m:r>
          </m:e>
          <m:sub>
            <m:r>
              <w:rPr>
                <w:rFonts w:ascii="Cambria Math" w:hAnsi="Cambria Math"/>
              </w:rPr>
              <m:t>t-1</m:t>
            </m:r>
          </m:sub>
        </m:sSub>
      </m:oMath>
      <w:r w:rsidRPr="00024CD7">
        <w:t>, follows a multivariate normal distribution with mean zero and conditional covariance matrix</w:t>
      </w:r>
      <m:oMath>
        <m:sSub>
          <m:sSubPr>
            <m:ctrlPr>
              <w:rPr>
                <w:rFonts w:ascii="Cambria Math" w:hAnsi="Cambria Math"/>
                <w:i/>
              </w:rPr>
            </m:ctrlPr>
          </m:sSubPr>
          <m:e>
            <m:r>
              <w:rPr>
                <w:rFonts w:ascii="Cambria Math" w:hAnsi="Cambria Math"/>
              </w:rPr>
              <m:t xml:space="preserve"> H</m:t>
            </m:r>
          </m:e>
          <m:sub>
            <m:r>
              <w:rPr>
                <w:rFonts w:ascii="Cambria Math" w:hAnsi="Cambria Math"/>
              </w:rPr>
              <m:t>t</m:t>
            </m:r>
          </m:sub>
        </m:sSub>
      </m:oMath>
      <w:r w:rsidRPr="00024CD7">
        <w:t>, decomposed as:</w:t>
      </w:r>
    </w:p>
    <w:p w14:paraId="57FB9B37" w14:textId="7630D1C8" w:rsidR="0019108C" w:rsidRPr="00024CD7" w:rsidRDefault="00CA2C55" w:rsidP="00535019">
      <w:pPr>
        <w:pStyle w:val="Displayedequation"/>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4</m:t>
              </m:r>
            </m:e>
          </m:d>
        </m:oMath>
      </m:oMathPara>
    </w:p>
    <w:p w14:paraId="1D9B0091" w14:textId="398B62EF"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is a diagonal matrix of conditional standard deviations estimated from univariate GARCH processes, while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is the time-varying correlation matrix. This separation allows individual asset volatility to be modelled before estimating cross-asset dependencies. The dynamics of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governed by a proxy matrix</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oMath>
      <w:r w:rsidRPr="00024CD7">
        <w:t>:</w:t>
      </w:r>
    </w:p>
    <w:p w14:paraId="0D5F6C26" w14:textId="0951A4C7" w:rsidR="0019108C" w:rsidRPr="00024CD7" w:rsidRDefault="00CA2C55" w:rsidP="00535019">
      <w:pPr>
        <w:pStyle w:val="Displayedequation"/>
      </w:pPr>
      <m:oMathPara>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β</m:t>
              </m:r>
            </m:e>
          </m:d>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44CEAF79" w14:textId="1028B4C2" w:rsidR="00E34ED3" w:rsidRPr="00024CD7" w:rsidRDefault="00E34ED3" w:rsidP="00F565C7">
      <w:pPr>
        <w:pStyle w:val="Newparagraph"/>
        <w:ind w:firstLine="0"/>
      </w:pPr>
      <w:r w:rsidRPr="00024CD7">
        <w:t xml:space="preserve">where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-1</m:t>
            </m:r>
          </m:sup>
        </m:sSubSup>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standardised residuals, </w:t>
      </w:r>
      <m:oMath>
        <m:acc>
          <m:accPr>
            <m:chr m:val="̅"/>
            <m:ctrlPr>
              <w:rPr>
                <w:rFonts w:ascii="Cambria Math" w:hAnsi="Cambria Math"/>
              </w:rPr>
            </m:ctrlPr>
          </m:accPr>
          <m:e>
            <m:r>
              <w:rPr>
                <w:rFonts w:ascii="Cambria Math" w:hAnsi="Cambria Math"/>
              </w:rPr>
              <m:t>Q</m:t>
            </m:r>
          </m:e>
        </m:acc>
        <m:r>
          <w:rPr>
            <w:rFonts w:ascii="Cambria Math" w:hAnsi="Cambria Math"/>
          </w:rPr>
          <m:t xml:space="preserve"> </m:t>
        </m:r>
      </m:oMath>
      <w:r w:rsidRPr="00024CD7">
        <w:t xml:space="preserve">is their unconditional covariance matrix, and the scalar parameters </w:t>
      </w:r>
      <m:oMath>
        <m:r>
          <w:rPr>
            <w:rFonts w:ascii="Cambria Math" w:hAnsi="Cambria Math"/>
          </w:rPr>
          <m:t>α</m:t>
        </m:r>
      </m:oMath>
      <w:r w:rsidRPr="00024CD7">
        <w:t xml:space="preserve"> and </w:t>
      </w:r>
      <m:oMath>
        <m:r>
          <w:rPr>
            <w:rFonts w:ascii="Cambria Math" w:hAnsi="Cambria Math"/>
          </w:rPr>
          <m:t>β</m:t>
        </m:r>
      </m:oMath>
      <w:r w:rsidRPr="00024CD7">
        <w:t xml:space="preserve"> capture the impact of short-term innovations and correlations persistence, respectively. These parameters must be non-negative and satisfy the stationarity condition</w:t>
      </w:r>
      <w:r w:rsidR="0019108C" w:rsidRPr="00024CD7">
        <w:rPr>
          <w:position w:val="-1"/>
        </w:rPr>
        <w:t xml:space="preserve"> </w:t>
      </w:r>
      <m:oMath>
        <m:r>
          <w:rPr>
            <w:rFonts w:ascii="Cambria Math" w:hAnsi="Cambria Math"/>
            <w:position w:val="-1"/>
          </w:rPr>
          <m:t>α+ β&lt; 1</m:t>
        </m:r>
      </m:oMath>
      <w:r w:rsidRPr="00024CD7">
        <w:t>. The correlation matrix is recovered as</w:t>
      </w:r>
    </w:p>
    <w:p w14:paraId="482E879A" w14:textId="1D408756" w:rsidR="00E34ED3" w:rsidRPr="00CA2C55" w:rsidRDefault="00CA2C55" w:rsidP="00535019">
      <w:pPr>
        <w:pStyle w:val="Displayedequation"/>
        <w:rPr>
          <w:lang w:val="pl-PL"/>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lang w:val="pl-PL"/>
            </w:rPr>
            <m:t>=</m:t>
          </m:r>
          <m:r>
            <m:rPr>
              <m:nor/>
            </m:rPr>
            <w:rPr>
              <w:lang w:val="pl-PL"/>
            </w: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lang w:val="pl-PL"/>
                </w:rPr>
                <m:t>-1</m:t>
              </m:r>
              <m:r>
                <m:rPr>
                  <m:lit/>
                  <m:sty m:val="p"/>
                </m:rPr>
                <w:rPr>
                  <w:rFonts w:ascii="Cambria Math" w:hAnsi="Cambria Math"/>
                  <w:lang w:val="pl-PL"/>
                </w:rPr>
                <m:t>/</m:t>
              </m:r>
              <m:r>
                <m:rPr>
                  <m:sty m:val="p"/>
                </m:rPr>
                <w:rPr>
                  <w:rFonts w:ascii="Cambria Math" w:hAnsi="Cambria Math"/>
                  <w:lang w:val="pl-PL"/>
                </w:rPr>
                <m:t>2</m:t>
              </m:r>
            </m:sup>
          </m:sSup>
          <m:sSub>
            <m:sSubPr>
              <m:ctrlPr>
                <w:rPr>
                  <w:rFonts w:ascii="Cambria Math" w:hAnsi="Cambria Math"/>
                </w:rPr>
              </m:ctrlPr>
            </m:sSubPr>
            <m:e>
              <m:r>
                <w:rPr>
                  <w:rFonts w:ascii="Cambria Math" w:hAnsi="Cambria Math"/>
                </w:rPr>
                <m:t>Q</m:t>
              </m:r>
            </m:e>
            <m:sub>
              <m:r>
                <w:rPr>
                  <w:rFonts w:ascii="Cambria Math" w:hAnsi="Cambria Math"/>
                </w:rPr>
                <m:t>t</m:t>
              </m:r>
            </m:sub>
          </m:sSub>
          <m:r>
            <m:rPr>
              <m:nor/>
            </m:rPr>
            <w:rPr>
              <w:lang w:val="pl-PL"/>
            </w: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lang w:val="pl-PL"/>
                </w:rPr>
                <m:t>-1</m:t>
              </m:r>
              <m:r>
                <m:rPr>
                  <m:lit/>
                  <m:sty m:val="p"/>
                </m:rPr>
                <w:rPr>
                  <w:rFonts w:ascii="Cambria Math" w:hAnsi="Cambria Math"/>
                  <w:lang w:val="pl-PL"/>
                </w:rPr>
                <m:t>/</m:t>
              </m:r>
              <m:r>
                <m:rPr>
                  <m:sty m:val="p"/>
                </m:rPr>
                <w:rPr>
                  <w:rFonts w:ascii="Cambria Math" w:hAnsi="Cambria Math"/>
                  <w:lang w:val="pl-PL"/>
                </w:rPr>
                <m:t>2</m:t>
              </m:r>
            </m:sup>
          </m:sSup>
          <m:r>
            <w:rPr>
              <w:rFonts w:ascii="Cambria Math" w:hAnsi="Cambria Math"/>
              <w:lang w:val="pl-PL"/>
            </w:rPr>
            <m:t xml:space="preserve">                            </m:t>
          </m:r>
          <m:d>
            <m:dPr>
              <m:ctrlPr>
                <w:rPr>
                  <w:rFonts w:ascii="Cambria Math" w:hAnsi="Cambria Math"/>
                  <w:i/>
                </w:rPr>
              </m:ctrlPr>
            </m:dPr>
            <m:e>
              <m:r>
                <w:rPr>
                  <w:rFonts w:ascii="Cambria Math" w:hAnsi="Cambria Math"/>
                  <w:lang w:val="pl-PL"/>
                </w:rPr>
                <m:t>6</m:t>
              </m:r>
            </m:e>
          </m:d>
        </m:oMath>
      </m:oMathPara>
    </w:p>
    <w:p w14:paraId="3C150632" w14:textId="013F899E" w:rsidR="00E34ED3" w:rsidRPr="00024CD7" w:rsidRDefault="00E34ED3" w:rsidP="00F565C7">
      <w:pPr>
        <w:pStyle w:val="Newparagraph"/>
        <w:ind w:firstLine="0"/>
      </w:pPr>
      <w:r w:rsidRPr="00024CD7">
        <w:t>ensuring all entries remain within</w:t>
      </w:r>
      <w:r w:rsidR="0019108C" w:rsidRPr="00024CD7">
        <w:rPr>
          <w:position w:val="-1"/>
        </w:rPr>
        <w:t xml:space="preserve"> </w:t>
      </w:r>
      <m:oMath>
        <m:r>
          <w:rPr>
            <w:rFonts w:ascii="Cambria Math" w:hAnsi="Cambria Math"/>
            <w:position w:val="-1"/>
          </w:rPr>
          <m:t>&lt;-1,1&gt;</m:t>
        </m:r>
        <m:r>
          <w:rPr>
            <w:rFonts w:ascii="Cambria Math" w:hAnsi="Cambria Math"/>
          </w:rPr>
          <m:t>.</m:t>
        </m:r>
      </m:oMath>
      <w:r w:rsidRPr="00024CD7">
        <w:t xml:space="preserve"> Rising and increasingly persistent dynamic correlations between return series of the same metal would suggest growing co-movement driven by financial rather than fundamental forces.</w:t>
      </w:r>
    </w:p>
    <w:p w14:paraId="4D04CB32" w14:textId="77777777" w:rsidR="00AB3885" w:rsidRPr="00024CD7" w:rsidRDefault="00AB3885" w:rsidP="00F565C7">
      <w:pPr>
        <w:pStyle w:val="Newparagraph"/>
        <w:rPr>
          <w:lang w:val="en-US"/>
        </w:rPr>
      </w:pPr>
    </w:p>
    <w:p w14:paraId="134E359C" w14:textId="77777777" w:rsidR="00AB3885" w:rsidRPr="00024CD7" w:rsidRDefault="00AB3885" w:rsidP="00AB3885">
      <w:pPr>
        <w:pStyle w:val="Nagwek1"/>
        <w:rPr>
          <w:rFonts w:cs="Times New Roman"/>
        </w:rPr>
      </w:pPr>
      <w:r w:rsidRPr="00024CD7">
        <w:rPr>
          <w:rFonts w:cs="Times New Roman"/>
        </w:rPr>
        <w:t>Empirical results</w:t>
      </w:r>
    </w:p>
    <w:p w14:paraId="3A6B6DBA" w14:textId="77777777" w:rsidR="00AB3885" w:rsidRPr="00024CD7" w:rsidRDefault="00AB3885" w:rsidP="00AB3885">
      <w:pPr>
        <w:pStyle w:val="Nagwek2"/>
        <w:rPr>
          <w:rFonts w:cs="Times New Roman"/>
        </w:rPr>
      </w:pPr>
      <w:r w:rsidRPr="00024CD7">
        <w:rPr>
          <w:rFonts w:cs="Times New Roman"/>
        </w:rPr>
        <w:t>The correlation network</w:t>
      </w:r>
    </w:p>
    <w:p w14:paraId="00B53355" w14:textId="50EEC96B" w:rsidR="00AB3885" w:rsidRPr="00F565C7" w:rsidRDefault="00AB3885" w:rsidP="00F565C7">
      <w:pPr>
        <w:pStyle w:val="Paragraph"/>
      </w:pPr>
      <w:r w:rsidRPr="00F565C7">
        <w:t>The network shown in Figure </w:t>
      </w:r>
      <w:r w:rsidR="00F565C7" w:rsidRPr="00F565C7">
        <w:t>1</w:t>
      </w:r>
      <w:r w:rsidRPr="00F565C7">
        <w:t xml:space="preserve"> allows us to visualise the strength of connections between different metals. The network visualises the market integration and segmentation across the 16 commodity series. The graph is constructed using a force-directed layout algorithm (</w:t>
      </w:r>
      <w:proofErr w:type="spellStart"/>
      <w:r w:rsidRPr="00F565C7">
        <w:t>Fruchterman-Reingold</w:t>
      </w:r>
      <w:proofErr w:type="spellEnd"/>
      <w:r w:rsidRPr="00F565C7">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connectivity within the system. Node fill denotes the commodity group: copper (light grey), nickel (dark grey), lithium (medium light grey), and cobalt (white). Weak correlations (lower than the 75th percentile) are </w:t>
      </w:r>
      <w:proofErr w:type="spellStart"/>
      <w:r w:rsidRPr="00F565C7">
        <w:t>thresholded</w:t>
      </w:r>
      <w:proofErr w:type="spellEnd"/>
      <w:r w:rsidRPr="00F565C7">
        <w:t xml:space="preserve"> out to emphasise structurally strong linkages.</w:t>
      </w:r>
    </w:p>
    <w:p w14:paraId="427EEC7D" w14:textId="77777777" w:rsidR="00AB3885" w:rsidRPr="00024CD7" w:rsidRDefault="00AB3885" w:rsidP="00D10CE2">
      <w:pPr>
        <w:pStyle w:val="Newparagraph"/>
        <w:rPr>
          <w:lang w:val="en-US"/>
        </w:rPr>
      </w:pPr>
      <w:r w:rsidRPr="00024CD7">
        <w:rPr>
          <w:lang w:val="en-US"/>
        </w:rPr>
        <w:t xml:space="preserve">The network topology vividly illustrates a core-periphery structure within the </w:t>
      </w:r>
      <w:proofErr w:type="spellStart"/>
      <w:r w:rsidRPr="00024CD7">
        <w:rPr>
          <w:lang w:val="en-US"/>
        </w:rPr>
        <w:t>analysed</w:t>
      </w:r>
      <w:proofErr w:type="spellEnd"/>
      <w:r w:rsidRPr="00024CD7">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024CD7">
        <w:rPr>
          <w:lang w:val="en-US"/>
        </w:rPr>
        <w:t>characterised</w:t>
      </w:r>
      <w:proofErr w:type="spellEnd"/>
      <w:r w:rsidRPr="00024CD7">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5E0E319D" w14:textId="3E110380" w:rsidR="00EB03EF" w:rsidRPr="00024CD7" w:rsidRDefault="00EB03EF" w:rsidP="00EB03EF">
      <w:r w:rsidRPr="00024CD7">
        <w:t>INSERT FIGURE 1 ABOUT HERE</w:t>
      </w:r>
    </w:p>
    <w:p w14:paraId="47185D76" w14:textId="77777777" w:rsidR="00C00FFA" w:rsidRPr="00024CD7" w:rsidRDefault="00C00FFA" w:rsidP="00C00FFA">
      <w:pPr>
        <w:pStyle w:val="Nagwek2"/>
        <w:rPr>
          <w:rFonts w:cs="Times New Roman"/>
          <w:sz w:val="28"/>
        </w:rPr>
      </w:pPr>
      <w:r w:rsidRPr="00024CD7">
        <w:rPr>
          <w:rFonts w:cs="Times New Roman"/>
        </w:rPr>
        <w:t>Speculative bubbles</w:t>
      </w:r>
    </w:p>
    <w:p w14:paraId="0CC64CC4" w14:textId="79D73498" w:rsidR="00C00FFA" w:rsidRPr="00024CD7" w:rsidRDefault="00C00FFA" w:rsidP="00D10CE2">
      <w:pPr>
        <w:pStyle w:val="Paragraph"/>
      </w:pPr>
      <w:r w:rsidRPr="00024CD7">
        <w:t>In the next step, we conduct the bubble detection test. The results of the GSADF test on all series are presented in Table </w:t>
      </w:r>
      <w:r w:rsidR="00D10CE2">
        <w:t>3</w:t>
      </w:r>
      <w:r w:rsidRPr="00024CD7">
        <w:t>,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016F6524" w14:textId="3A0A8857" w:rsidR="00D764FA" w:rsidRPr="00024CD7" w:rsidRDefault="00D764FA" w:rsidP="00C00FFA">
      <w:pPr>
        <w:pStyle w:val="Newparagraph"/>
      </w:pPr>
      <w:r w:rsidRPr="00024CD7">
        <w:t>INSERT TABLE 3 ABOUT HERE</w:t>
      </w:r>
    </w:p>
    <w:p w14:paraId="1B3EC471" w14:textId="1CA92F81" w:rsidR="00C00FFA" w:rsidRPr="00024CD7" w:rsidRDefault="00C00FFA" w:rsidP="00D10CE2">
      <w:pPr>
        <w:pStyle w:val="Newparagraph"/>
      </w:pPr>
      <w:r w:rsidRPr="00024CD7">
        <w:t>Figure </w:t>
      </w:r>
      <w:r w:rsidR="00D10CE2">
        <w:t>2</w:t>
      </w:r>
      <w:r w:rsidRPr="00024CD7">
        <w:t xml:space="preserve"> shows the dynamics of the price process and periods in which bubbles are detected.</w:t>
      </w:r>
    </w:p>
    <w:p w14:paraId="0C06603B" w14:textId="0113DE56" w:rsidR="00EB03EF" w:rsidRPr="00024CD7" w:rsidRDefault="00EB03EF" w:rsidP="009044B6">
      <w:pPr>
        <w:pStyle w:val="Tekstpodstawowy"/>
        <w:ind w:firstLine="720"/>
        <w:rPr>
          <w:rFonts w:eastAsia="Cambria"/>
        </w:rPr>
      </w:pPr>
      <w:r w:rsidRPr="00024CD7">
        <w:rPr>
          <w:rFonts w:eastAsia="Cambria"/>
        </w:rPr>
        <w:t>INSERT FIGURE 2 ABOUT HERE</w:t>
      </w:r>
    </w:p>
    <w:p w14:paraId="3F2A337F" w14:textId="7289F456" w:rsidR="00C00FFA" w:rsidRPr="00024CD7" w:rsidRDefault="00C00FFA" w:rsidP="00C00FFA">
      <w:pPr>
        <w:pStyle w:val="Nagwek2"/>
        <w:rPr>
          <w:rFonts w:cs="Times New Roman"/>
        </w:rPr>
      </w:pPr>
      <w:r w:rsidRPr="00024CD7">
        <w:rPr>
          <w:rFonts w:cs="Times New Roman"/>
        </w:rPr>
        <w:t>Cointegration - Johansen method</w:t>
      </w:r>
    </w:p>
    <w:p w14:paraId="60A82539" w14:textId="0C019437" w:rsidR="00C00FFA" w:rsidRPr="00024CD7" w:rsidRDefault="00C00FFA" w:rsidP="00D10CE2">
      <w:pPr>
        <w:pStyle w:val="Paragraph"/>
      </w:pPr>
      <w:r w:rsidRPr="00024CD7">
        <w:t xml:space="preserve">In the next step, we conduct the cointegration tests for each of the four metal series. If the prices of a given metal are not cointegrated, this might be a sign of market fragmentation or financialization. Table </w:t>
      </w:r>
      <w:r w:rsidR="005720EA">
        <w:t>4</w:t>
      </w:r>
      <w:r w:rsidRPr="00024CD7">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4F2964CC" w:rsidR="00C00FFA" w:rsidRPr="00024CD7" w:rsidRDefault="00C00FFA" w:rsidP="00D10CE2">
      <w:pPr>
        <w:pStyle w:val="Newparagraph"/>
      </w:pPr>
      <w:r w:rsidRPr="00024CD7">
        <w:t xml:space="preserve">Looking first at the raw data, the results reveal varying levels of integration across the metals and highlight clear price discovery leaders. Cobalt shows a cointegration rank of </w:t>
      </w:r>
      <m:oMath>
        <m:r>
          <w:rPr>
            <w:rFonts w:ascii="Cambria Math" w:hAnsi="Cambria Math"/>
          </w:rPr>
          <m:t>r=2</m:t>
        </m:r>
      </m:oMath>
      <w:r w:rsidRPr="00024CD7">
        <w:t xml:space="preserve">, while lithium and nickel are the most highly integrated with </w:t>
      </w:r>
      <m:oMath>
        <m:r>
          <w:rPr>
            <w:rFonts w:ascii="Cambria Math" w:hAnsi="Cambria Math"/>
          </w:rPr>
          <m:t>r=3</m:t>
        </m:r>
      </m:oMath>
      <w:r w:rsidRPr="00024CD7">
        <w:t xml:space="preserve">. Copper appears to be the most fragmented market in its raw state, with a rank of only </w:t>
      </w:r>
      <m:oMath>
        <m:r>
          <w:rPr>
            <w:rFonts w:ascii="Cambria Math" w:hAnsi="Cambria Math"/>
          </w:rPr>
          <m:t>r=1</m:t>
        </m:r>
      </m:oMath>
      <w:r w:rsidRPr="00024CD7">
        <w:t xml:space="preserve">. By analysing the </w:t>
      </w:r>
      <m:oMath>
        <m:r>
          <w:rPr>
            <w:rFonts w:ascii="Cambria Math" w:hAnsi="Cambria Math"/>
          </w:rPr>
          <m:t>α</m:t>
        </m:r>
      </m:oMath>
      <w:r w:rsidRPr="00024CD7">
        <w:t xml:space="preserve"> coefficients, which indicate the speed of adjustment toward the long-run equilibrium, we can identify which markets lead and which follow. The follower has the highest absolute adjustment speed (Max</w:t>
      </w:r>
      <w:r w:rsidR="00E47E22">
        <w:rPr>
          <w:noProof/>
          <w:position w:val="-1"/>
        </w:rPr>
        <w:t xml:space="preserve"> </w:t>
      </w:r>
      <m:oMath>
        <m:r>
          <w:rPr>
            <w:rFonts w:ascii="Cambria Math" w:hAnsi="Cambria Math"/>
          </w:rPr>
          <m:t>α</m:t>
        </m:r>
      </m:oMath>
      <w:r w:rsidRPr="00024CD7">
        <w:t xml:space="preserve">), while the leader has the slowest (Min </w:t>
      </w:r>
      <m:oMath>
        <m:r>
          <w:rPr>
            <w:rFonts w:ascii="Cambria Math" w:hAnsi="Cambria Math"/>
          </w:rPr>
          <m:t>α</m:t>
        </m:r>
      </m:oMath>
      <w:r w:rsidRPr="00024CD7">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7D3457AE" w:rsidR="00C00FFA" w:rsidRPr="00024CD7" w:rsidRDefault="00C00FFA" w:rsidP="00D10CE2">
      <w:pPr>
        <w:pStyle w:val="Newparagraph"/>
      </w:pPr>
      <w:r w:rsidRPr="00024CD7">
        <w:t xml:space="preserve">When we filter the models by introducing the exogenous bubble variable, the underlying market dynamics become clearer, and the distorting impact of speculative episodes is exposed. For cobalt, the formal cointegration rank remains unchanged at </w:t>
      </w:r>
      <m:oMath>
        <m:r>
          <w:rPr>
            <w:rFonts w:ascii="Cambria Math" w:hAnsi="Cambria Math"/>
          </w:rPr>
          <m:t>r=2</m:t>
        </m:r>
      </m:oMath>
      <w:r w:rsidRPr="00024CD7">
        <w:t xml:space="preserve">, but the trace statistic for </w:t>
      </w:r>
      <m:oMath>
        <m:r>
          <w:rPr>
            <w:rFonts w:ascii="Cambria Math" w:hAnsi="Cambria Math"/>
          </w:rPr>
          <m:t>r</m:t>
        </m:r>
        <m:r>
          <m:rPr>
            <m:sty m:val="p"/>
          </m:rPr>
          <w:rPr>
            <w:rFonts w:ascii="Cambria Math" w:hAnsi="Cambria Math"/>
          </w:rPr>
          <m:t>≤</m:t>
        </m:r>
        <m:r>
          <w:rPr>
            <w:rFonts w:ascii="Cambria Math" w:hAnsi="Cambria Math"/>
          </w:rPr>
          <m:t>1</m:t>
        </m:r>
      </m:oMath>
      <w:r w:rsidRPr="00024CD7">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m:oMath>
        <m:r>
          <w:rPr>
            <w:rFonts w:ascii="Cambria Math" w:hAnsi="Cambria Math"/>
          </w:rPr>
          <m:t>r=3</m:t>
        </m:r>
      </m:oMath>
      <w:r w:rsidRPr="00024CD7">
        <w:t xml:space="preserve">, the trace statistic for </w:t>
      </w:r>
      <m:oMath>
        <m:r>
          <w:rPr>
            <w:rFonts w:ascii="Cambria Math" w:hAnsi="Cambria Math"/>
          </w:rPr>
          <m:t>r=0</m:t>
        </m:r>
      </m:oMath>
      <w:r w:rsidRPr="00024CD7">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removed, the LME nickel price corrects toward the common trend more than three times faster. In contrast, copper and lithium show only minor changes between the raw and filtered models, maintaining their original ranks (</w:t>
      </w:r>
      <m:oMath>
        <m:r>
          <w:rPr>
            <w:rFonts w:ascii="Cambria Math" w:hAnsi="Cambria Math"/>
          </w:rPr>
          <m:t>r=1</m:t>
        </m:r>
      </m:oMath>
      <w:r w:rsidRPr="00024CD7">
        <w:t xml:space="preserve"> and </w:t>
      </w:r>
      <m:oMath>
        <m:r>
          <w:rPr>
            <w:rFonts w:ascii="Cambria Math" w:hAnsi="Cambria Math"/>
          </w:rPr>
          <m:t>r=3</m:t>
        </m:r>
      </m:oMath>
      <w:r w:rsidRPr="00024CD7">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128F8280" w14:textId="3727AC85" w:rsidR="00D764FA" w:rsidRPr="00024CD7" w:rsidRDefault="00D764FA" w:rsidP="00E62064">
      <w:pPr>
        <w:pStyle w:val="TableCaption"/>
        <w:ind w:firstLine="720"/>
        <w:rPr>
          <w:rFonts w:ascii="Times New Roman" w:hAnsi="Times New Roman"/>
          <w:i w:val="0"/>
        </w:rPr>
      </w:pPr>
      <w:r w:rsidRPr="00024CD7">
        <w:rPr>
          <w:rFonts w:ascii="Times New Roman" w:hAnsi="Times New Roman"/>
          <w:i w:val="0"/>
        </w:rPr>
        <w:t>INSERT TABLE 4 ABOUT HERE</w:t>
      </w:r>
    </w:p>
    <w:p w14:paraId="08123F37" w14:textId="77777777" w:rsidR="00EB03EF" w:rsidRPr="00024CD7" w:rsidRDefault="00EB03EF" w:rsidP="00C00FFA">
      <w:pPr>
        <w:pStyle w:val="TableCaption"/>
        <w:rPr>
          <w:rFonts w:ascii="Times New Roman" w:hAnsi="Times New Roman"/>
          <w:i w:val="0"/>
        </w:rPr>
      </w:pPr>
    </w:p>
    <w:p w14:paraId="5C6BECE3" w14:textId="2ECE89A0" w:rsidR="00C00FFA" w:rsidRPr="00024CD7" w:rsidRDefault="00C00FFA" w:rsidP="00C00FFA">
      <w:pPr>
        <w:pStyle w:val="Nagwek2"/>
        <w:rPr>
          <w:rFonts w:cs="Times New Roman"/>
          <w:sz w:val="28"/>
        </w:rPr>
      </w:pPr>
      <w:bookmarkStart w:id="0" w:name="dcc"/>
      <w:r w:rsidRPr="00024CD7">
        <w:rPr>
          <w:rFonts w:cs="Times New Roman"/>
        </w:rPr>
        <w:t>D</w:t>
      </w:r>
      <w:r w:rsidR="00EB03EF" w:rsidRPr="00024CD7">
        <w:rPr>
          <w:rFonts w:cs="Times New Roman"/>
        </w:rPr>
        <w:t xml:space="preserve">ynamic </w:t>
      </w:r>
      <w:r w:rsidRPr="00024CD7">
        <w:rPr>
          <w:rFonts w:cs="Times New Roman"/>
        </w:rPr>
        <w:t>C</w:t>
      </w:r>
      <w:r w:rsidR="00EB03EF" w:rsidRPr="00024CD7">
        <w:rPr>
          <w:rFonts w:cs="Times New Roman"/>
        </w:rPr>
        <w:t xml:space="preserve">onditional </w:t>
      </w:r>
      <w:r w:rsidRPr="00024CD7">
        <w:rPr>
          <w:rFonts w:cs="Times New Roman"/>
        </w:rPr>
        <w:t>C</w:t>
      </w:r>
      <w:r w:rsidR="00EB03EF" w:rsidRPr="00024CD7">
        <w:rPr>
          <w:rFonts w:cs="Times New Roman"/>
        </w:rPr>
        <w:t>orrelation Models</w:t>
      </w:r>
    </w:p>
    <w:p w14:paraId="336BADC9" w14:textId="7AE73451" w:rsidR="00C00FFA" w:rsidRPr="00024CD7" w:rsidRDefault="00C00FFA" w:rsidP="00D10CE2">
      <w:pPr>
        <w:pStyle w:val="Paragraph"/>
      </w:pPr>
      <w:r w:rsidRPr="00024CD7">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r w:rsidR="0060209A">
        <w:t xml:space="preserve"> Figure 3 presents the estimates of the conditional correlations for pairs of copper instruments over time. </w:t>
      </w:r>
    </w:p>
    <w:p w14:paraId="44F6D262" w14:textId="48992297" w:rsidR="00C00FFA" w:rsidRPr="00024CD7" w:rsidRDefault="00C00FFA" w:rsidP="00D10CE2">
      <w:pPr>
        <w:pStyle w:val="Newparagraph"/>
      </w:pPr>
      <w:r w:rsidRPr="00024CD7">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35D0E900" w14:textId="295F223C" w:rsidR="00EB03EF" w:rsidRPr="00024CD7" w:rsidRDefault="00EB03EF" w:rsidP="00E62064">
      <w:pPr>
        <w:pStyle w:val="Tekstpodstawowy"/>
        <w:ind w:firstLine="720"/>
      </w:pPr>
      <w:r w:rsidRPr="00024CD7">
        <w:t>INSERT FIGURE 3 ABOUT HERE</w:t>
      </w:r>
    </w:p>
    <w:p w14:paraId="2B5F5017" w14:textId="77777777" w:rsidR="00BB2EDD" w:rsidRPr="00024CD7" w:rsidRDefault="00BB2EDD" w:rsidP="00BB2EDD"/>
    <w:p w14:paraId="625D6651" w14:textId="0F43E488" w:rsidR="00C00FFA" w:rsidRPr="00024CD7" w:rsidRDefault="00BE41B7" w:rsidP="00D10CE2">
      <w:pPr>
        <w:pStyle w:val="Newparagraph"/>
      </w:pPr>
      <w:r>
        <w:t xml:space="preserve">Figure </w:t>
      </w:r>
      <w:r>
        <w:t xml:space="preserve">4 </w:t>
      </w:r>
      <w:r>
        <w:t xml:space="preserve"> illustrates the estimated dynamic conditional correlations between various </w:t>
      </w:r>
      <w:r>
        <w:t>nickel</w:t>
      </w:r>
      <w:r>
        <w:t xml:space="preserve"> instruments.</w:t>
      </w:r>
      <w:r>
        <w:t xml:space="preserve"> </w:t>
      </w:r>
      <w:r w:rsidR="00C00FFA" w:rsidRPr="00024CD7">
        <w:t xml:space="preserve">The </w:t>
      </w:r>
      <w:r>
        <w:t>n</w:t>
      </w:r>
      <w:r w:rsidR="00C00FFA" w:rsidRPr="00024CD7">
        <w:t xml:space="preserve">ickel market displays higher sensitivity to liquidity shocks compared to </w:t>
      </w:r>
      <w:r>
        <w:t>c</w:t>
      </w:r>
      <w:r w:rsidR="00C00FFA" w:rsidRPr="00024CD7">
        <w:t xml:space="preserve">opper. While the NIDALY–NILMEX pair typically maintains high correlation, it experienced a profound collapse (dipping below 0.0) during the late 2022 to early 2023 period. This anomaly likely reflects the extreme volatility and liquidity crises that characterised the </w:t>
      </w:r>
      <w:r w:rsidR="00A2714D">
        <w:t>n</w:t>
      </w:r>
      <w:r w:rsidR="00C00FFA" w:rsidRPr="00024CD7">
        <w:t xml:space="preserve">ickel market during that timeframe. Correlations between Asian benchmarks (NISHFE, NIWUXI) remain moderate and unstable, further suggesting that </w:t>
      </w:r>
      <w:r w:rsidR="00A2714D">
        <w:t>n</w:t>
      </w:r>
      <w:r w:rsidR="00C00FFA" w:rsidRPr="00024CD7">
        <w:t xml:space="preserve">ickel price transmission is less efficient than that of </w:t>
      </w:r>
      <w:r>
        <w:t>c</w:t>
      </w:r>
      <w:r w:rsidR="00C00FFA" w:rsidRPr="00024CD7">
        <w:t>opper across global borders.</w:t>
      </w:r>
    </w:p>
    <w:p w14:paraId="35647972" w14:textId="0221244B" w:rsidR="00EB03EF" w:rsidRPr="00024CD7" w:rsidRDefault="00EB03EF" w:rsidP="00E62064">
      <w:pPr>
        <w:pStyle w:val="Tekstpodstawowy"/>
        <w:ind w:firstLine="720"/>
      </w:pPr>
      <w:r w:rsidRPr="00024CD7">
        <w:t>INSERT FIGURE 4 ABOUT HERE</w:t>
      </w:r>
    </w:p>
    <w:p w14:paraId="274D87D0" w14:textId="44C701DE" w:rsidR="00C00FFA" w:rsidRPr="00024CD7" w:rsidRDefault="00C00FFA" w:rsidP="00D10CE2">
      <w:pPr>
        <w:pStyle w:val="Newparagraph"/>
      </w:pPr>
      <w:r w:rsidRPr="00024CD7">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224D599A" w:rsidR="00C00FFA" w:rsidRPr="00024CD7" w:rsidRDefault="00C00FFA" w:rsidP="00D10CE2">
      <w:pPr>
        <w:pStyle w:val="Newparagraph"/>
      </w:pPr>
      <w:r w:rsidRPr="00024CD7">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proofErr w:type="spellStart"/>
      <w:r w:rsidRPr="00024CD7">
        <w:t>spillover</w:t>
      </w:r>
      <w:proofErr w:type="spellEnd"/>
      <w:r w:rsidRPr="00024CD7">
        <w:t xml:space="preserve"> symmetrically across both mature and emerging industrial metals. We estimate the GARCH-DCC model for these four series.</w:t>
      </w:r>
    </w:p>
    <w:p w14:paraId="0C7329B0" w14:textId="31107D04" w:rsidR="00EB03EF" w:rsidRPr="00024CD7" w:rsidRDefault="00EB03EF" w:rsidP="00E62064">
      <w:pPr>
        <w:pStyle w:val="Tekstpodstawowy"/>
        <w:ind w:firstLine="720"/>
      </w:pPr>
      <w:r w:rsidRPr="00024CD7">
        <w:t>INSERT FIGURE 5 ABOUT HERE</w:t>
      </w:r>
    </w:p>
    <w:p w14:paraId="601AA11D" w14:textId="0654F8C5" w:rsidR="00C00FFA" w:rsidRPr="00024CD7" w:rsidRDefault="00C00FFA" w:rsidP="00D10CE2">
      <w:pPr>
        <w:pStyle w:val="Newparagraph"/>
      </w:pPr>
      <w:r w:rsidRPr="00024CD7">
        <w:t>The empirical results reveal a profound degree of market segmentation within the commodity sector. As shown in Figure </w:t>
      </w:r>
      <w:r w:rsidR="00D10CE2">
        <w:t>5</w:t>
      </w:r>
      <w:r w:rsidRPr="00024CD7">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Pr="00024CD7" w:rsidRDefault="00C00FFA" w:rsidP="00D10CE2">
      <w:pPr>
        <w:pStyle w:val="Newparagraph"/>
      </w:pPr>
      <w:r w:rsidRPr="00024CD7">
        <w:t>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0"/>
    </w:p>
    <w:p w14:paraId="3B71BD34" w14:textId="77777777" w:rsidR="00C00FFA" w:rsidRPr="00024CD7" w:rsidRDefault="00C00FFA" w:rsidP="00C00FFA">
      <w:pPr>
        <w:pStyle w:val="Nagwek1"/>
        <w:rPr>
          <w:rFonts w:cs="Times New Roman"/>
        </w:rPr>
      </w:pPr>
      <w:bookmarkStart w:id="1" w:name="conclusions"/>
      <w:r w:rsidRPr="00024CD7">
        <w:rPr>
          <w:rFonts w:cs="Times New Roman"/>
        </w:rPr>
        <w:t>Conclusions</w:t>
      </w:r>
    </w:p>
    <w:p w14:paraId="157436A8" w14:textId="77777777" w:rsidR="00C00FFA" w:rsidRPr="00024CD7" w:rsidRDefault="00C00FFA" w:rsidP="00D10CE2">
      <w:pPr>
        <w:pStyle w:val="Paragraph"/>
      </w:pPr>
      <w:r w:rsidRPr="00024CD7">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Pr="00024CD7" w:rsidRDefault="00C00FFA" w:rsidP="00D10CE2">
      <w:pPr>
        <w:pStyle w:val="Newparagraph"/>
      </w:pPr>
      <w:r w:rsidRPr="00024CD7">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Pr="00024CD7" w:rsidRDefault="00C00FFA" w:rsidP="00D10CE2">
      <w:pPr>
        <w:pStyle w:val="Newparagraph"/>
      </w:pPr>
      <w:r w:rsidRPr="00024CD7">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1"/>
    </w:p>
    <w:p w14:paraId="6C4E5F21" w14:textId="77777777" w:rsidR="00864C94" w:rsidRPr="00024CD7" w:rsidRDefault="00864C94" w:rsidP="00864C94">
      <w:pPr>
        <w:pStyle w:val="Nagwek1"/>
        <w:rPr>
          <w:rFonts w:cs="Times New Roman"/>
        </w:rPr>
      </w:pPr>
      <w:bookmarkStart w:id="2" w:name="acknowledgment"/>
      <w:r w:rsidRPr="00024CD7">
        <w:rPr>
          <w:rFonts w:cs="Times New Roman"/>
        </w:rPr>
        <w:t>Acknowledgment</w:t>
      </w:r>
    </w:p>
    <w:p w14:paraId="15A478A4" w14:textId="77777777" w:rsidR="00864C94" w:rsidRPr="00024CD7" w:rsidRDefault="00864C94" w:rsidP="00864C94">
      <w:pPr>
        <w:pStyle w:val="Paragraph"/>
      </w:pPr>
      <w:r w:rsidRPr="00024CD7">
        <w:t>We acknowledge financial support from the National Science Centre, Poland, under grant no. 2024/53/B/HS4/03300 for the project titled ’Critical Metal Pricing Dynamics in the Transition to a Net Zero Economy: Exploring Financial Market Interdependencies’.</w:t>
      </w:r>
    </w:p>
    <w:p w14:paraId="61B4E499" w14:textId="77777777" w:rsidR="00864C94" w:rsidRPr="00024CD7" w:rsidRDefault="00864C94" w:rsidP="00864C94">
      <w:pPr>
        <w:pStyle w:val="Paragraph"/>
      </w:pPr>
      <w:r w:rsidRPr="00024CD7">
        <w:t>We want to express our gratitude to the participants of the 2nd Modern Finance Conference in Warsaw, Poland (2025) and the SAFA Conference in Cape Town, South Africa (2026) for their valuable suggestions and comments.</w:t>
      </w:r>
    </w:p>
    <w:p w14:paraId="73B2A42F" w14:textId="77777777" w:rsidR="00864C94" w:rsidRDefault="00864C94" w:rsidP="00864C94">
      <w:pPr>
        <w:pStyle w:val="Newparagraph"/>
        <w:ind w:firstLine="0"/>
      </w:pPr>
    </w:p>
    <w:p w14:paraId="2751A0C7" w14:textId="77777777" w:rsidR="00864C94" w:rsidRPr="00024CD7" w:rsidRDefault="00864C94" w:rsidP="00864C94">
      <w:pPr>
        <w:pStyle w:val="Newparagraph"/>
        <w:ind w:firstLine="0"/>
      </w:pPr>
      <w:r w:rsidRPr="00024CD7">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2"/>
    </w:p>
    <w:p w14:paraId="1B0181F8" w14:textId="77777777" w:rsidR="00864C94" w:rsidRDefault="00864C94" w:rsidP="00C00FFA">
      <w:pPr>
        <w:pStyle w:val="Nagwek1"/>
        <w:rPr>
          <w:rFonts w:cs="Times New Roman"/>
        </w:rPr>
      </w:pPr>
      <w:bookmarkStart w:id="3" w:name="_GoBack"/>
      <w:bookmarkEnd w:id="3"/>
    </w:p>
    <w:p w14:paraId="72EC3F89" w14:textId="77777777" w:rsidR="00864C94" w:rsidRDefault="00864C94" w:rsidP="00C00FFA">
      <w:pPr>
        <w:pStyle w:val="Nagwek1"/>
        <w:rPr>
          <w:rFonts w:cs="Times New Roman"/>
        </w:rPr>
      </w:pPr>
    </w:p>
    <w:p w14:paraId="7061A051" w14:textId="23E3BD92" w:rsidR="00C00FFA" w:rsidRPr="00024CD7" w:rsidRDefault="00C00FFA" w:rsidP="00C00FFA">
      <w:pPr>
        <w:pStyle w:val="Nagwek1"/>
        <w:rPr>
          <w:rFonts w:cs="Times New Roman"/>
        </w:rPr>
      </w:pPr>
      <w:r w:rsidRPr="00024CD7">
        <w:rPr>
          <w:rFonts w:cs="Times New Roman"/>
        </w:rPr>
        <w:t>Conflict of interest</w:t>
      </w:r>
    </w:p>
    <w:p w14:paraId="6C504580" w14:textId="77777777" w:rsidR="00C00FFA" w:rsidRPr="00024CD7" w:rsidRDefault="00C00FFA" w:rsidP="00C00FFA">
      <w:pPr>
        <w:pStyle w:val="FirstParagraph"/>
        <w:rPr>
          <w:rFonts w:ascii="Times New Roman" w:hAnsi="Times New Roman" w:cs="Times New Roman"/>
        </w:rPr>
      </w:pPr>
      <w:bookmarkStart w:id="4" w:name="conflict-of-interest"/>
      <w:r w:rsidRPr="00024CD7">
        <w:rPr>
          <w:rFonts w:ascii="Times New Roman" w:hAnsi="Times New Roman" w:cs="Times New Roman"/>
        </w:rPr>
        <w:t>There are no relevant financial or non-financial competing interests to disclose.</w:t>
      </w:r>
      <w:bookmarkEnd w:id="4"/>
    </w:p>
    <w:sdt>
      <w:sdtPr>
        <w:rPr>
          <w:rFonts w:cs="Times New Roman"/>
        </w:rPr>
        <w:id w:val="-1486780220"/>
        <w:docPartObj>
          <w:docPartGallery w:val="Bibliographies"/>
          <w:docPartUnique/>
        </w:docPartObj>
      </w:sdtPr>
      <w:sdtContent>
        <w:p w14:paraId="2D6476F3" w14:textId="6D75274A" w:rsidR="00A55FD8" w:rsidRPr="00024CD7" w:rsidRDefault="00A55FD8">
          <w:pPr>
            <w:pStyle w:val="Nagwek1"/>
            <w:rPr>
              <w:rFonts w:cs="Times New Roman"/>
            </w:rPr>
          </w:pPr>
          <w:r w:rsidRPr="00024CD7">
            <w:rPr>
              <w:rFonts w:cs="Times New Roman"/>
            </w:rPr>
            <w:t>References</w:t>
          </w:r>
        </w:p>
      </w:sdtContent>
    </w:sdt>
    <w:p w14:paraId="3C0DD892" w14:textId="012728FE" w:rsidR="00C7215E" w:rsidRPr="00024CD7" w:rsidRDefault="00C7215E" w:rsidP="00C7215E">
      <w:pPr>
        <w:pStyle w:val="Footnotes"/>
      </w:pPr>
      <w:r w:rsidRPr="00024CD7">
        <w:t xml:space="preserve">Al-Nassar, N. S., </w:t>
      </w:r>
      <w:proofErr w:type="spellStart"/>
      <w:r w:rsidRPr="00024CD7">
        <w:t>Boubaker</w:t>
      </w:r>
      <w:proofErr w:type="spellEnd"/>
      <w:r w:rsidRPr="00024CD7">
        <w:t xml:space="preserve">, S., </w:t>
      </w:r>
      <w:proofErr w:type="spellStart"/>
      <w:r w:rsidRPr="00024CD7">
        <w:t>Chaibi</w:t>
      </w:r>
      <w:proofErr w:type="spellEnd"/>
      <w:r w:rsidRPr="00024CD7">
        <w:t xml:space="preserve">, A., and </w:t>
      </w:r>
      <w:proofErr w:type="spellStart"/>
      <w:r w:rsidRPr="00024CD7">
        <w:t>Makram</w:t>
      </w:r>
      <w:proofErr w:type="spellEnd"/>
      <w:r w:rsidRPr="00024CD7">
        <w:t>, B. (2023). In search of hedges and safe havens during the COVID19 pandemic: Gold versus Bitcoin, oil, and oil uncertainty. The Quarterly Review of Economics and Finance, 90:318–332.</w:t>
      </w:r>
    </w:p>
    <w:p w14:paraId="0C6D97A2" w14:textId="662B38C6" w:rsidR="00A55FD8" w:rsidRPr="00024CD7" w:rsidRDefault="00C7215E" w:rsidP="00C7215E">
      <w:pPr>
        <w:pStyle w:val="Footnotes"/>
      </w:pPr>
      <w:r w:rsidRPr="00024CD7">
        <w:rPr>
          <w:lang w:val="it-IT"/>
        </w:rPr>
        <w:t xml:space="preserve">Alzahrani, M., Masih, M., and Al-Titi, O. (2014). </w:t>
      </w:r>
      <w:r w:rsidRPr="00024CD7">
        <w:t>Linear and non-linear granger causality between oil spot and futures prices: A wavelet based test. Journal of International Money and Finance, 48:175 – 201</w:t>
      </w:r>
    </w:p>
    <w:p w14:paraId="35C076E0" w14:textId="423EF3E1" w:rsidR="00C7215E" w:rsidRPr="00024CD7" w:rsidRDefault="00C7215E" w:rsidP="00C7215E">
      <w:pPr>
        <w:pStyle w:val="Footnotes"/>
      </w:pPr>
      <w:proofErr w:type="spellStart"/>
      <w:r w:rsidRPr="00024CD7">
        <w:t>Ardeni</w:t>
      </w:r>
      <w:proofErr w:type="spellEnd"/>
      <w:r w:rsidRPr="00024CD7">
        <w:t>, P. G. (1989). Does the law of one price really hold for commodity prices? American Journal of Agricultural Economics, 71(3):661–669.</w:t>
      </w:r>
    </w:p>
    <w:p w14:paraId="330060CF" w14:textId="2B53DAE0" w:rsidR="00C7215E" w:rsidRPr="00024CD7" w:rsidRDefault="00C7215E" w:rsidP="00C7215E">
      <w:pPr>
        <w:pStyle w:val="Footnotes"/>
      </w:pPr>
      <w:proofErr w:type="spellStart"/>
      <w:r w:rsidRPr="00024CD7">
        <w:t>Basak</w:t>
      </w:r>
      <w:proofErr w:type="spellEnd"/>
      <w:r w:rsidRPr="00024CD7">
        <w:t>, S. and Pavlova, A. (2016). A Model of Financialization of Commodities. The Journal of Finance, 71(4):1511–1556.</w:t>
      </w:r>
    </w:p>
    <w:p w14:paraId="6FC22E9D" w14:textId="201B89BC" w:rsidR="00C7215E" w:rsidRPr="00024CD7" w:rsidRDefault="00C7215E" w:rsidP="00C7215E">
      <w:pPr>
        <w:pStyle w:val="Footnotes"/>
      </w:pPr>
      <w:r w:rsidRPr="00024CD7">
        <w:t xml:space="preserve">Bertone, S., </w:t>
      </w:r>
      <w:proofErr w:type="spellStart"/>
      <w:r w:rsidRPr="00024CD7">
        <w:t>Paeglis</w:t>
      </w:r>
      <w:proofErr w:type="spellEnd"/>
      <w:r w:rsidRPr="00024CD7">
        <w:t>, I., and Ravi, R. (2015). (how) has the market become more efficient? Journal of Banking Finance, 54:72–86.</w:t>
      </w:r>
    </w:p>
    <w:p w14:paraId="4C928FCB" w14:textId="0ED2C44C" w:rsidR="00C7215E" w:rsidRPr="00024CD7" w:rsidRDefault="00C7215E" w:rsidP="00C7215E">
      <w:pPr>
        <w:pStyle w:val="Footnotes"/>
      </w:pPr>
      <w:r w:rsidRPr="00024CD7">
        <w:t xml:space="preserve">Boer, L., </w:t>
      </w:r>
      <w:proofErr w:type="spellStart"/>
      <w:r w:rsidRPr="00024CD7">
        <w:t>Pescatori</w:t>
      </w:r>
      <w:proofErr w:type="spellEnd"/>
      <w:r w:rsidRPr="00024CD7">
        <w:t xml:space="preserve">, A., and </w:t>
      </w:r>
      <w:proofErr w:type="spellStart"/>
      <w:r w:rsidRPr="00024CD7">
        <w:t>Stuermer</w:t>
      </w:r>
      <w:proofErr w:type="spellEnd"/>
      <w:r w:rsidRPr="00024CD7">
        <w:t>, M. (2023). Energy transition metals: Bottleneck for net-zero emissions? IMF Working Paper 23/217, International Monetary Fund.</w:t>
      </w:r>
    </w:p>
    <w:p w14:paraId="480B2739" w14:textId="5C0EA691" w:rsidR="00C7215E" w:rsidRPr="00024CD7" w:rsidRDefault="00C7215E" w:rsidP="00C7215E">
      <w:pPr>
        <w:pStyle w:val="Footnotes"/>
      </w:pPr>
      <w:r w:rsidRPr="00024CD7">
        <w:t>Będowska-Sójka, B. (2021). Is liquidity wasted? The zero returns on the Warsaw Stock Exchange. Annals of Operations Research, 297:37–51. Special Issue: Networks and Risk Management.</w:t>
      </w:r>
    </w:p>
    <w:p w14:paraId="01D91BBA" w14:textId="7E877263" w:rsidR="00C7215E" w:rsidRPr="00024CD7" w:rsidRDefault="00C7215E" w:rsidP="00C7215E">
      <w:pPr>
        <w:pStyle w:val="Footnotes"/>
      </w:pPr>
      <w:r w:rsidRPr="00024CD7">
        <w:t xml:space="preserve">Cheng, I.-H. and </w:t>
      </w:r>
      <w:proofErr w:type="spellStart"/>
      <w:r w:rsidRPr="00024CD7">
        <w:t>Xiong</w:t>
      </w:r>
      <w:proofErr w:type="spellEnd"/>
      <w:r w:rsidRPr="00024CD7">
        <w:t>, W. (2014). Financialization of commodity markets. Annual Review of Financial Economics, 6:419–41.</w:t>
      </w:r>
    </w:p>
    <w:p w14:paraId="0FBF848E" w14:textId="4AD41130" w:rsidR="00C7215E" w:rsidRPr="00024CD7" w:rsidRDefault="00C7215E" w:rsidP="00C7215E">
      <w:pPr>
        <w:pStyle w:val="Footnotes"/>
      </w:pPr>
      <w:proofErr w:type="spellStart"/>
      <w:r w:rsidRPr="00024CD7">
        <w:t>Ciner</w:t>
      </w:r>
      <w:proofErr w:type="spellEnd"/>
      <w:r w:rsidRPr="00024CD7">
        <w:t xml:space="preserve">, C., </w:t>
      </w:r>
      <w:proofErr w:type="spellStart"/>
      <w:r w:rsidRPr="00024CD7">
        <w:t>Gurdgiev</w:t>
      </w:r>
      <w:proofErr w:type="spellEnd"/>
      <w:r w:rsidRPr="00024CD7">
        <w:t>, C., and Lucey, B. M. (2013). Hedges and safe havens: An examination of stocks, bonds, gold, oil and exchange rates. International Review of Financial Analysis, 29:202–211.</w:t>
      </w:r>
    </w:p>
    <w:p w14:paraId="49D7D2C4" w14:textId="172E7A16" w:rsidR="00C7215E" w:rsidRPr="00024CD7" w:rsidRDefault="00C7215E" w:rsidP="00C7215E">
      <w:pPr>
        <w:pStyle w:val="Footnotes"/>
      </w:pPr>
      <w:proofErr w:type="spellStart"/>
      <w:r w:rsidRPr="00024CD7">
        <w:t>Cortazar</w:t>
      </w:r>
      <w:proofErr w:type="spellEnd"/>
      <w:r w:rsidRPr="00024CD7">
        <w:t>, G., Enberg, M. V., and Ortega, H. (2024). Forecasting commodity prices using futures: The case of copper. In C</w:t>
      </w:r>
      <w:r w:rsidR="00A2714D">
        <w:t>o</w:t>
      </w:r>
      <w:r w:rsidRPr="00024CD7">
        <w:t>nference Proceedings: European Financial Manage</w:t>
      </w:r>
      <w:proofErr w:type="spellStart"/>
      <w:r w:rsidRPr="00024CD7">
        <w:rPr>
          <w:lang w:val="en-US"/>
        </w:rPr>
        <w:t>ment</w:t>
      </w:r>
      <w:proofErr w:type="spellEnd"/>
      <w:r w:rsidRPr="00024CD7">
        <w:rPr>
          <w:lang w:val="en-US"/>
        </w:rPr>
        <w:t xml:space="preserve"> Association 2025.</w:t>
      </w:r>
    </w:p>
    <w:p w14:paraId="77BD764D" w14:textId="77777777" w:rsidR="00C7215E" w:rsidRPr="00024CD7" w:rsidRDefault="00C7215E" w:rsidP="00C7215E">
      <w:pPr>
        <w:pStyle w:val="Footnotes"/>
      </w:pPr>
      <w:proofErr w:type="spellStart"/>
      <w:r w:rsidRPr="00024CD7">
        <w:rPr>
          <w:lang w:val="en-US"/>
        </w:rPr>
        <w:t>Czudaj</w:t>
      </w:r>
      <w:proofErr w:type="spellEnd"/>
      <w:r w:rsidRPr="00024CD7">
        <w:rPr>
          <w:lang w:val="en-US"/>
        </w:rPr>
        <w:t xml:space="preserve">, R. L. (2019). </w:t>
      </w:r>
      <w:r w:rsidRPr="00024CD7">
        <w:t>Crude oil futures trading and uncertainty. Energy Economics,</w:t>
      </w:r>
    </w:p>
    <w:p w14:paraId="3A7064A7" w14:textId="77777777" w:rsidR="00C7215E" w:rsidRPr="00024CD7" w:rsidRDefault="00C7215E" w:rsidP="00C7215E">
      <w:pPr>
        <w:pStyle w:val="Footnotes"/>
      </w:pPr>
      <w:r w:rsidRPr="00024CD7">
        <w:t>80:793–811.</w:t>
      </w:r>
    </w:p>
    <w:p w14:paraId="10A52059" w14:textId="56BA364A" w:rsidR="00C7215E" w:rsidRPr="00024CD7" w:rsidRDefault="00C7215E" w:rsidP="00C7215E">
      <w:pPr>
        <w:pStyle w:val="Footnotes"/>
      </w:pPr>
      <w:proofErr w:type="spellStart"/>
      <w:r w:rsidRPr="00024CD7">
        <w:t>Domanski</w:t>
      </w:r>
      <w:proofErr w:type="spellEnd"/>
      <w:r w:rsidRPr="00024CD7">
        <w:t>, D. and Heath, A. (2007). Financial investors and commodity markets. Bank of International Settlements Quarterly Review, pages 53–67.</w:t>
      </w:r>
    </w:p>
    <w:p w14:paraId="2C9BEC18" w14:textId="52A9215E" w:rsidR="00C7215E" w:rsidRPr="00024CD7" w:rsidRDefault="00C7215E" w:rsidP="00C7215E">
      <w:pPr>
        <w:pStyle w:val="Footnotes"/>
      </w:pPr>
      <w:proofErr w:type="spellStart"/>
      <w:r w:rsidRPr="00024CD7">
        <w:t>Dufrénot</w:t>
      </w:r>
      <w:proofErr w:type="spellEnd"/>
      <w:r w:rsidRPr="00024CD7">
        <w:t xml:space="preserve">, G., Ginn, W., and </w:t>
      </w:r>
      <w:proofErr w:type="spellStart"/>
      <w:r w:rsidRPr="00024CD7">
        <w:t>Pourroy</w:t>
      </w:r>
      <w:proofErr w:type="spellEnd"/>
      <w:r w:rsidRPr="00024CD7">
        <w:t xml:space="preserve">, M. (2026). Climate change impacts on commodity price stability through changing </w:t>
      </w:r>
      <w:proofErr w:type="spellStart"/>
      <w:r w:rsidRPr="00024CD7">
        <w:t>enso</w:t>
      </w:r>
      <w:proofErr w:type="spellEnd"/>
      <w:r w:rsidRPr="00024CD7">
        <w:t xml:space="preserve"> patterns. World Development, 197.</w:t>
      </w:r>
    </w:p>
    <w:p w14:paraId="58EDDCDC" w14:textId="1FF0F74D" w:rsidR="00C7215E" w:rsidRPr="00024CD7" w:rsidRDefault="00C7215E" w:rsidP="00C7215E">
      <w:pPr>
        <w:pStyle w:val="Footnotes"/>
      </w:pPr>
      <w:r w:rsidRPr="00024CD7">
        <w:t>Engle, R. (2002). Dynamic conditional correlation: A simple class of multivariate generalized autoregressive conditional heteroskedasticity models. Journal of Business &amp; Economic Statistics, 20(3):339–350.</w:t>
      </w:r>
    </w:p>
    <w:p w14:paraId="5CBD3416" w14:textId="5E06CC12" w:rsidR="00C7215E" w:rsidRPr="00024CD7" w:rsidRDefault="00C7215E" w:rsidP="00C7215E">
      <w:pPr>
        <w:pStyle w:val="Footnotes"/>
      </w:pPr>
      <w:r w:rsidRPr="00024CD7">
        <w:t>Guzmán, J. I. and Silva, E. (2018). Copper price determination: fundamentals versus non-fundamentals. Mineral Economics, 31(3):283 – 300.</w:t>
      </w:r>
    </w:p>
    <w:p w14:paraId="76731E8F" w14:textId="5547AF7E" w:rsidR="00C7215E" w:rsidRPr="00024CD7" w:rsidRDefault="00C7215E" w:rsidP="00C7215E">
      <w:pPr>
        <w:pStyle w:val="Footnotes"/>
      </w:pPr>
      <w:r w:rsidRPr="00024CD7">
        <w:t>Jiang, Z., Dong, X., and Yoon, S.-M. (2025). Impact of oil prices on key energy mineral prices: Fresh evidence from quantile and wavelet approaches. Energy Economics, 145:108461.</w:t>
      </w:r>
    </w:p>
    <w:p w14:paraId="396858CC" w14:textId="77777777" w:rsidR="00C7215E" w:rsidRPr="00024CD7" w:rsidRDefault="00C7215E" w:rsidP="00C7215E">
      <w:pPr>
        <w:pStyle w:val="Footnotes"/>
      </w:pPr>
      <w:r w:rsidRPr="00024CD7">
        <w:t xml:space="preserve">Li, X., Sengupta, T., Si Mohammed, K., and </w:t>
      </w:r>
      <w:proofErr w:type="spellStart"/>
      <w:r w:rsidRPr="00024CD7">
        <w:t>Jamaani</w:t>
      </w:r>
      <w:proofErr w:type="spellEnd"/>
      <w:r w:rsidRPr="00024CD7">
        <w:t>, F. (2023). Forecasting the lithium</w:t>
      </w:r>
    </w:p>
    <w:p w14:paraId="3008EF97" w14:textId="3A0AAFDD" w:rsidR="00C7215E" w:rsidRPr="00024CD7" w:rsidRDefault="00C7215E" w:rsidP="00C7215E">
      <w:pPr>
        <w:pStyle w:val="Footnotes"/>
      </w:pPr>
      <w:r w:rsidRPr="00024CD7">
        <w:t>mineral resources prices in China: Evidence with Facebook Prophet (Fb-P) and Artificial Neural Networks (ANN) methods. Resources Policy, 82:103580.</w:t>
      </w:r>
    </w:p>
    <w:p w14:paraId="49A58CAE" w14:textId="7BAA4109" w:rsidR="00C7215E" w:rsidRPr="00024CD7" w:rsidRDefault="00C7215E" w:rsidP="00C7215E">
      <w:pPr>
        <w:pStyle w:val="Footnotes"/>
      </w:pPr>
      <w:proofErr w:type="spellStart"/>
      <w:r w:rsidRPr="00024CD7">
        <w:t>Lyócsa</w:t>
      </w:r>
      <w:proofErr w:type="spellEnd"/>
      <w:r w:rsidRPr="00024CD7">
        <w:t xml:space="preserve">, , </w:t>
      </w:r>
      <w:proofErr w:type="spellStart"/>
      <w:r w:rsidRPr="00024CD7">
        <w:t>Molnár</w:t>
      </w:r>
      <w:proofErr w:type="spellEnd"/>
      <w:r w:rsidRPr="00024CD7">
        <w:t>, P., and Todorova, N. (2017). Volatility forecasting of non-ferrous metal futures: Covariances, covariates or combinations? Journal of International Financial Markets, Institutions and Money, 51:228–247.</w:t>
      </w:r>
    </w:p>
    <w:p w14:paraId="6EAD4CD3" w14:textId="150B0222" w:rsidR="00AB3885" w:rsidRPr="00024CD7" w:rsidRDefault="00C7215E" w:rsidP="00C7215E">
      <w:pPr>
        <w:pStyle w:val="Footnotes"/>
      </w:pPr>
      <w:r w:rsidRPr="00024CD7">
        <w:t xml:space="preserve">Malhotra, P., Kumar, S., </w:t>
      </w:r>
      <w:proofErr w:type="spellStart"/>
      <w:r w:rsidRPr="00024CD7">
        <w:t>Gubareva</w:t>
      </w:r>
      <w:proofErr w:type="spellEnd"/>
      <w:r w:rsidRPr="00024CD7">
        <w:t>, M., and Mendes, J. Z. (2026). Dynamic nexus of clean energy metals, energy commodities and traditional assets: Multidimensional techniques and portfolio analysis. Research in International Business and Finance, 81:103182.</w:t>
      </w:r>
    </w:p>
    <w:p w14:paraId="64B64F9C" w14:textId="6F92CB7B" w:rsidR="00C7215E" w:rsidRPr="00024CD7" w:rsidRDefault="00C7215E" w:rsidP="00C7215E">
      <w:pPr>
        <w:pStyle w:val="Footnotes"/>
      </w:pPr>
      <w:proofErr w:type="spellStart"/>
      <w:r w:rsidRPr="00024CD7">
        <w:t>Mensi</w:t>
      </w:r>
      <w:proofErr w:type="spellEnd"/>
      <w:r w:rsidRPr="00024CD7">
        <w:t>, W., Vo, X. V., and Kang, S. H. (2022). Upward/downward multifractality and efficiency in metals futures markets: The impacts of financial and oil crises. Resources Policy, 76:102645.</w:t>
      </w:r>
    </w:p>
    <w:p w14:paraId="79E2CCA1" w14:textId="0E56377E" w:rsidR="00C7215E" w:rsidRPr="00024CD7" w:rsidRDefault="00C7215E" w:rsidP="00C7215E">
      <w:pPr>
        <w:pStyle w:val="Footnotes"/>
      </w:pPr>
      <w:proofErr w:type="spellStart"/>
      <w:r w:rsidRPr="00024CD7">
        <w:t>Orhangazi</w:t>
      </w:r>
      <w:proofErr w:type="spellEnd"/>
      <w:r w:rsidRPr="00024CD7">
        <w:t>, (2008). Financialization and the US Economy. New directions in modern economics series. Edward Elgar Publishing, Cheltenham, UK.</w:t>
      </w:r>
    </w:p>
    <w:p w14:paraId="443EB510" w14:textId="21D091B8" w:rsidR="00C7215E" w:rsidRPr="00024CD7" w:rsidRDefault="00C7215E" w:rsidP="00C7215E">
      <w:pPr>
        <w:pStyle w:val="Footnotes"/>
        <w:rPr>
          <w:lang w:val="pl-PL"/>
        </w:rPr>
      </w:pPr>
      <w:proofErr w:type="spellStart"/>
      <w:r w:rsidRPr="00024CD7">
        <w:t>Ozgur</w:t>
      </w:r>
      <w:proofErr w:type="spellEnd"/>
      <w:r w:rsidRPr="00024CD7">
        <w:t xml:space="preserve">, O., </w:t>
      </w:r>
      <w:proofErr w:type="spellStart"/>
      <w:r w:rsidRPr="00024CD7">
        <w:t>Yilanci</w:t>
      </w:r>
      <w:proofErr w:type="spellEnd"/>
      <w:r w:rsidRPr="00024CD7">
        <w:t xml:space="preserve">, V., and </w:t>
      </w:r>
      <w:proofErr w:type="spellStart"/>
      <w:r w:rsidRPr="00024CD7">
        <w:t>Ozbugday</w:t>
      </w:r>
      <w:proofErr w:type="spellEnd"/>
      <w:r w:rsidRPr="00024CD7">
        <w:t xml:space="preserve">, F. C. (2021). Detecting speculative bubbles in metal prices: Evidence from </w:t>
      </w:r>
      <w:proofErr w:type="spellStart"/>
      <w:r w:rsidRPr="00024CD7">
        <w:t>gsadf</w:t>
      </w:r>
      <w:proofErr w:type="spellEnd"/>
      <w:r w:rsidRPr="00024CD7">
        <w:t xml:space="preserve"> test and machine learning approaches. </w:t>
      </w:r>
      <w:proofErr w:type="spellStart"/>
      <w:r w:rsidRPr="00024CD7">
        <w:rPr>
          <w:lang w:val="pl-PL"/>
        </w:rPr>
        <w:t>Resources</w:t>
      </w:r>
      <w:proofErr w:type="spellEnd"/>
      <w:r w:rsidRPr="00024CD7">
        <w:rPr>
          <w:lang w:val="pl-PL"/>
        </w:rPr>
        <w:t xml:space="preserve"> Policy, 74:102306.</w:t>
      </w:r>
    </w:p>
    <w:p w14:paraId="2079463D" w14:textId="2C65C603" w:rsidR="00C7215E" w:rsidRPr="00024CD7" w:rsidRDefault="00C7215E" w:rsidP="00C7215E">
      <w:pPr>
        <w:pStyle w:val="Footnotes"/>
      </w:pPr>
      <w:r w:rsidRPr="00024CD7">
        <w:rPr>
          <w:lang w:val="pl-PL"/>
        </w:rPr>
        <w:t xml:space="preserve">Papież, M., Rubaszek, M., Szafranek, K., and Śmiech, S. (2022). </w:t>
      </w:r>
      <w:r w:rsidRPr="00024CD7">
        <w:t xml:space="preserve">Are European natural gas markets connected? A time-varying </w:t>
      </w:r>
      <w:proofErr w:type="spellStart"/>
      <w:r w:rsidRPr="00024CD7">
        <w:t>spillovers</w:t>
      </w:r>
      <w:proofErr w:type="spellEnd"/>
      <w:r w:rsidRPr="00024CD7">
        <w:t xml:space="preserve"> analysis. Resources Policy, 79:103029.</w:t>
      </w:r>
    </w:p>
    <w:p w14:paraId="2BB2CFB3" w14:textId="5B4C25B4" w:rsidR="00C7215E" w:rsidRPr="00024CD7" w:rsidRDefault="00C7215E" w:rsidP="00C7215E">
      <w:pPr>
        <w:pStyle w:val="Footnotes"/>
        <w:ind w:left="0" w:firstLine="0"/>
      </w:pPr>
      <w:r w:rsidRPr="00024CD7">
        <w:t xml:space="preserve">Phillips, P. C., Shi, S., and Yu, J. (2015). Testing for multiple bubbles: Historical episodes of exuberance and collapse in the </w:t>
      </w:r>
      <w:proofErr w:type="spellStart"/>
      <w:r w:rsidRPr="00024CD7">
        <w:t>s&amp;p</w:t>
      </w:r>
      <w:proofErr w:type="spellEnd"/>
      <w:r w:rsidRPr="00024CD7">
        <w:t xml:space="preserve"> 500. International Economic Review, 56(4):1043–1078.</w:t>
      </w:r>
    </w:p>
    <w:p w14:paraId="1555BF3C" w14:textId="1AA2FCB1" w:rsidR="00C7215E" w:rsidRPr="00024CD7" w:rsidRDefault="00C7215E" w:rsidP="00C7215E">
      <w:pPr>
        <w:pStyle w:val="Footnotes"/>
      </w:pPr>
      <w:r w:rsidRPr="00024CD7">
        <w:t xml:space="preserve">Phillips, P. C. B., Wu, Y., and Yu, J. (2011). Explosive </w:t>
      </w:r>
      <w:proofErr w:type="spellStart"/>
      <w:r w:rsidRPr="00024CD7">
        <w:t>behavior</w:t>
      </w:r>
      <w:proofErr w:type="spellEnd"/>
      <w:r w:rsidRPr="00024CD7">
        <w:t xml:space="preserve"> in the 1990s </w:t>
      </w:r>
      <w:proofErr w:type="spellStart"/>
      <w:r w:rsidRPr="00024CD7">
        <w:t>nasdaq</w:t>
      </w:r>
      <w:proofErr w:type="spellEnd"/>
      <w:r w:rsidRPr="00024CD7">
        <w:t>: When did exuberance escalate asset values? International Economic Review, 52(1):201–226.</w:t>
      </w:r>
    </w:p>
    <w:p w14:paraId="39247825" w14:textId="0EFADCEA" w:rsidR="00C7215E" w:rsidRPr="00024CD7" w:rsidRDefault="00C7215E" w:rsidP="00C7215E">
      <w:pPr>
        <w:pStyle w:val="Footnotes"/>
      </w:pPr>
      <w:r w:rsidRPr="00024CD7">
        <w:t xml:space="preserve">Restrepo, N., Ceballos, J. C., and Uribe, J. M. (2023a). Risk </w:t>
      </w:r>
      <w:proofErr w:type="spellStart"/>
      <w:r w:rsidRPr="00024CD7">
        <w:t>spillovers</w:t>
      </w:r>
      <w:proofErr w:type="spellEnd"/>
      <w:r w:rsidRPr="00024CD7">
        <w:t xml:space="preserve"> of critical metals firms. Resources Policy, 86:104135.</w:t>
      </w:r>
    </w:p>
    <w:p w14:paraId="7F04190E" w14:textId="2DFFD634" w:rsidR="00C7215E" w:rsidRPr="00024CD7" w:rsidRDefault="00C7215E" w:rsidP="00C7215E">
      <w:pPr>
        <w:pStyle w:val="Footnotes"/>
      </w:pPr>
      <w:r w:rsidRPr="00024CD7">
        <w:t>Restrepo, N., Uribe, J. M., and Guillen, M. (2023b). Price bubbles in lithium markets around the world. Frontiers in Energy Research, 11.</w:t>
      </w:r>
    </w:p>
    <w:p w14:paraId="48289D0F" w14:textId="5C00736D" w:rsidR="00C7215E" w:rsidRPr="00024CD7" w:rsidRDefault="00C7215E" w:rsidP="00C7215E">
      <w:pPr>
        <w:pStyle w:val="Footnotes"/>
      </w:pPr>
      <w:r w:rsidRPr="00024CD7">
        <w:t xml:space="preserve">Romani, I. G. and </w:t>
      </w:r>
      <w:proofErr w:type="spellStart"/>
      <w:r w:rsidRPr="00024CD7">
        <w:t>Casoli</w:t>
      </w:r>
      <w:proofErr w:type="spellEnd"/>
      <w:r w:rsidRPr="00024CD7">
        <w:t xml:space="preserve">, C. (2024). Understanding the future of critical raw materials for the energy transition: </w:t>
      </w:r>
      <w:proofErr w:type="spellStart"/>
      <w:r w:rsidRPr="00024CD7">
        <w:t>Svar</w:t>
      </w:r>
      <w:proofErr w:type="spellEnd"/>
      <w:r w:rsidRPr="00024CD7">
        <w:t xml:space="preserve"> models for the </w:t>
      </w:r>
      <w:proofErr w:type="spellStart"/>
      <w:r w:rsidRPr="00024CD7">
        <w:t>u.s.</w:t>
      </w:r>
      <w:proofErr w:type="spellEnd"/>
      <w:r w:rsidRPr="00024CD7">
        <w:t xml:space="preserve"> market. Working Paper CEEPR WP 2024-05, MIT </w:t>
      </w:r>
      <w:proofErr w:type="spellStart"/>
      <w:r w:rsidRPr="00024CD7">
        <w:t>Center</w:t>
      </w:r>
      <w:proofErr w:type="spellEnd"/>
      <w:r w:rsidRPr="00024CD7">
        <w:t xml:space="preserve"> for Energy and Environmental Policy Research (CEEPR).</w:t>
      </w:r>
    </w:p>
    <w:p w14:paraId="0775A451" w14:textId="2E965320" w:rsidR="00C7215E" w:rsidRPr="00024CD7" w:rsidRDefault="00C7215E" w:rsidP="00C7215E">
      <w:pPr>
        <w:pStyle w:val="Footnotes"/>
      </w:pPr>
      <w:proofErr w:type="spellStart"/>
      <w:r w:rsidRPr="00024CD7">
        <w:t>Sarno</w:t>
      </w:r>
      <w:proofErr w:type="spellEnd"/>
      <w:r w:rsidRPr="00024CD7">
        <w:t>, L., Taylor, M. P., and Chowdhury, I. (2004). Nonlinear dynamics in deviations from the law of one price: a broad-based empirical study. Journal of International Money and Finance, 23(1):1–25.</w:t>
      </w:r>
    </w:p>
    <w:p w14:paraId="37564FF7" w14:textId="0A510E8C" w:rsidR="00C7215E" w:rsidRPr="00024CD7" w:rsidRDefault="00C7215E" w:rsidP="00C7215E">
      <w:pPr>
        <w:pStyle w:val="Footnotes"/>
      </w:pPr>
      <w:r w:rsidRPr="00024CD7">
        <w:t>Schmidt, T. P. (2017). Financialization of commodities and the monetary transmission mechanism. International Journal of Political Economy, 46(2-3):128 – 149.</w:t>
      </w:r>
    </w:p>
    <w:p w14:paraId="7F7B3ED4" w14:textId="5729FFAD" w:rsidR="00C7215E" w:rsidRPr="00024CD7" w:rsidRDefault="00C7215E" w:rsidP="00C7215E">
      <w:pPr>
        <w:pStyle w:val="Footnotes"/>
      </w:pPr>
      <w:r w:rsidRPr="00024CD7">
        <w:t>Seddon, J. (2020). Merchants against the bankers: the financialization of a commodity market. Review of International Political Economy, 27:525 – 555.</w:t>
      </w:r>
    </w:p>
    <w:p w14:paraId="74C7849B" w14:textId="6B421D97" w:rsidR="00C7215E" w:rsidRPr="00024CD7" w:rsidRDefault="00C7215E" w:rsidP="00C7215E">
      <w:pPr>
        <w:pStyle w:val="Footnotes"/>
      </w:pPr>
      <w:proofErr w:type="spellStart"/>
      <w:r w:rsidRPr="00024CD7">
        <w:t>Su</w:t>
      </w:r>
      <w:proofErr w:type="spellEnd"/>
      <w:r w:rsidRPr="00024CD7">
        <w:t>, C., Shao, X., Jia, Z., Nepal, R., Umar, M., and Qin, M. (2023). The rise of green energy metal: Could lithium threaten the status of oil? Energy Economics, 121.</w:t>
      </w:r>
    </w:p>
    <w:p w14:paraId="51594567" w14:textId="6901ECB3" w:rsidR="00C7215E" w:rsidRPr="00024CD7" w:rsidRDefault="00C7215E" w:rsidP="00C7215E">
      <w:pPr>
        <w:pStyle w:val="Footnotes"/>
      </w:pPr>
      <w:r w:rsidRPr="00024CD7">
        <w:t>Swarup, S. and Kushwaha, G. S. (2023). Nickel and cobalt price volatility forecasting using a self-attention-based transformer model. Applied Sciences, 13(8).</w:t>
      </w:r>
    </w:p>
    <w:p w14:paraId="640AB17D" w14:textId="29141531" w:rsidR="00C7215E" w:rsidRPr="00024CD7" w:rsidRDefault="00C7215E" w:rsidP="00C7215E">
      <w:pPr>
        <w:pStyle w:val="Footnotes"/>
      </w:pPr>
      <w:proofErr w:type="spellStart"/>
      <w:r w:rsidRPr="00024CD7">
        <w:t>Szafranek</w:t>
      </w:r>
      <w:proofErr w:type="spellEnd"/>
      <w:r w:rsidRPr="00024CD7">
        <w:t xml:space="preserve">, K., </w:t>
      </w:r>
      <w:proofErr w:type="spellStart"/>
      <w:r w:rsidRPr="00024CD7">
        <w:t>Papież</w:t>
      </w:r>
      <w:proofErr w:type="spellEnd"/>
      <w:r w:rsidRPr="00024CD7">
        <w:t xml:space="preserve">, M., </w:t>
      </w:r>
      <w:proofErr w:type="spellStart"/>
      <w:r w:rsidRPr="00024CD7">
        <w:t>Rubaszek</w:t>
      </w:r>
      <w:proofErr w:type="spellEnd"/>
      <w:r w:rsidRPr="00024CD7">
        <w:t xml:space="preserve">, M., and </w:t>
      </w:r>
      <w:proofErr w:type="spellStart"/>
      <w:r w:rsidRPr="00024CD7">
        <w:t>Śmiech</w:t>
      </w:r>
      <w:proofErr w:type="spellEnd"/>
      <w:r w:rsidRPr="00024CD7">
        <w:t>, S. (2023). How immune is the connectedness of European natural gas markets to exceptional shocks? Resources Policy, 85:103917.</w:t>
      </w:r>
    </w:p>
    <w:p w14:paraId="2A5FCDA4" w14:textId="2E1285C1" w:rsidR="00C7215E" w:rsidRPr="00024CD7" w:rsidRDefault="00C7215E" w:rsidP="00C7215E">
      <w:pPr>
        <w:pStyle w:val="Footnotes"/>
      </w:pPr>
      <w:r w:rsidRPr="00024CD7">
        <w:t xml:space="preserve">Tang, K. and </w:t>
      </w:r>
      <w:proofErr w:type="spellStart"/>
      <w:r w:rsidRPr="00024CD7">
        <w:t>Xiong</w:t>
      </w:r>
      <w:proofErr w:type="spellEnd"/>
      <w:r w:rsidRPr="00024CD7">
        <w:t>, W. (2012). Financialization and commodity markets. Journal of Financial Economics, 109(1):3–27.</w:t>
      </w:r>
    </w:p>
    <w:p w14:paraId="551DE79A" w14:textId="6AEFE98B" w:rsidR="00C7215E" w:rsidRPr="00024CD7" w:rsidRDefault="00C7215E" w:rsidP="00C7215E">
      <w:pPr>
        <w:pStyle w:val="Footnotes"/>
      </w:pPr>
      <w:r w:rsidRPr="00024CD7">
        <w:t xml:space="preserve">Wang, X.-Q., Qin, M., Moldovan, N.-C., and </w:t>
      </w:r>
      <w:proofErr w:type="spellStart"/>
      <w:r w:rsidRPr="00024CD7">
        <w:t>Su</w:t>
      </w:r>
      <w:proofErr w:type="spellEnd"/>
      <w:r w:rsidRPr="00024CD7">
        <w:t xml:space="preserve">, C.-W. (2023). Bubble </w:t>
      </w:r>
      <w:proofErr w:type="spellStart"/>
      <w:r w:rsidRPr="00024CD7">
        <w:t>behaviors</w:t>
      </w:r>
      <w:proofErr w:type="spellEnd"/>
      <w:r w:rsidRPr="00024CD7">
        <w:t xml:space="preserve"> in lithium price and the contagion effect: An industry chain perspective. Resources Policy, 83:103725.</w:t>
      </w:r>
    </w:p>
    <w:p w14:paraId="0829D558" w14:textId="74B15C40" w:rsidR="00C7215E" w:rsidRPr="00024CD7" w:rsidRDefault="00C7215E" w:rsidP="00C7215E">
      <w:pPr>
        <w:pStyle w:val="Footnotes"/>
      </w:pPr>
      <w:proofErr w:type="spellStart"/>
      <w:r w:rsidRPr="00024CD7">
        <w:t>Wojewska</w:t>
      </w:r>
      <w:proofErr w:type="spellEnd"/>
      <w:r w:rsidRPr="00024CD7">
        <w:t xml:space="preserve">, A. N., </w:t>
      </w:r>
      <w:proofErr w:type="spellStart"/>
      <w:r w:rsidRPr="00024CD7">
        <w:t>Staritz</w:t>
      </w:r>
      <w:proofErr w:type="spellEnd"/>
      <w:r w:rsidRPr="00024CD7">
        <w:t xml:space="preserve">, C., </w:t>
      </w:r>
      <w:proofErr w:type="spellStart"/>
      <w:r w:rsidRPr="00024CD7">
        <w:t>Tröster</w:t>
      </w:r>
      <w:proofErr w:type="spellEnd"/>
      <w:r w:rsidRPr="00024CD7">
        <w:t xml:space="preserve">, B., and </w:t>
      </w:r>
      <w:proofErr w:type="spellStart"/>
      <w:r w:rsidRPr="00024CD7">
        <w:t>Leisenheimer</w:t>
      </w:r>
      <w:proofErr w:type="spellEnd"/>
      <w:r w:rsidRPr="00024CD7">
        <w:t>, L. (2024). The Criticality of Lithium and the Finance-Sustainability Nexus: Supply-Demand Perceptions, State Policies, Production Networks, and Financial Actors. The Extractive Industries and Society, 17:101416.</w:t>
      </w:r>
    </w:p>
    <w:p w14:paraId="667DCEAB" w14:textId="59D425C9" w:rsidR="00D764FA" w:rsidRPr="00024CD7" w:rsidRDefault="00C7215E" w:rsidP="00C7215E">
      <w:pPr>
        <w:pStyle w:val="Footnotes"/>
      </w:pPr>
      <w:r w:rsidRPr="00024CD7">
        <w:t>Zaremba, A. (2015). Is financialization killing commodity investments? The Journal of Alternative Investments, 18(1):66–91.</w:t>
      </w:r>
    </w:p>
    <w:p w14:paraId="3ABA6583" w14:textId="77777777" w:rsidR="00D764FA" w:rsidRPr="00024CD7" w:rsidRDefault="00D764FA">
      <w:pPr>
        <w:spacing w:line="240" w:lineRule="auto"/>
        <w:rPr>
          <w:sz w:val="22"/>
        </w:rPr>
      </w:pPr>
      <w:r w:rsidRPr="00024CD7">
        <w:br w:type="page"/>
      </w:r>
    </w:p>
    <w:p w14:paraId="1BD53619" w14:textId="66803417" w:rsidR="00D764FA" w:rsidRPr="00024CD7" w:rsidRDefault="00D764FA" w:rsidP="00D764FA">
      <w:pPr>
        <w:pStyle w:val="Tabletitle"/>
      </w:pPr>
      <w:r w:rsidRPr="00024CD7">
        <w:t xml:space="preserve">Table </w:t>
      </w:r>
      <w:fldSimple w:instr=" SEQ Table \* ARABIC ">
        <w:r w:rsidR="009044B6">
          <w:rPr>
            <w:noProof/>
          </w:rPr>
          <w:t>1</w:t>
        </w:r>
      </w:fldSimple>
      <w:r w:rsidRPr="00024CD7">
        <w:t xml:space="preserve"> Data sources with metal-prefixed tickers.</w:t>
      </w:r>
    </w:p>
    <w:tbl>
      <w:tblPr>
        <w:tblW w:w="8496" w:type="dxa"/>
        <w:tblInd w:w="108" w:type="dxa"/>
        <w:tblLayout w:type="fixed"/>
        <w:tblLook w:val="04A0" w:firstRow="1" w:lastRow="0" w:firstColumn="1" w:lastColumn="0" w:noHBand="0" w:noVBand="1"/>
      </w:tblPr>
      <w:tblGrid>
        <w:gridCol w:w="2160"/>
        <w:gridCol w:w="1584"/>
        <w:gridCol w:w="1584"/>
        <w:gridCol w:w="1584"/>
        <w:gridCol w:w="1584"/>
      </w:tblGrid>
      <w:tr w:rsidR="00D764FA" w:rsidRPr="00024CD7" w14:paraId="489EFCCE" w14:textId="77777777" w:rsidTr="00D10CE2">
        <w:trPr>
          <w:tblHeader/>
        </w:trPr>
        <w:tc>
          <w:tcPr>
            <w:tcW w:w="2160" w:type="dxa"/>
            <w:tcBorders>
              <w:top w:val="nil"/>
              <w:left w:val="nil"/>
              <w:bottom w:val="single" w:sz="6" w:space="0" w:color="000000"/>
              <w:right w:val="nil"/>
            </w:tcBorders>
            <w:vAlign w:val="bottom"/>
            <w:hideMark/>
          </w:tcPr>
          <w:p w14:paraId="5D8918F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Name</w:t>
            </w:r>
          </w:p>
        </w:tc>
        <w:tc>
          <w:tcPr>
            <w:tcW w:w="1584" w:type="dxa"/>
            <w:tcBorders>
              <w:top w:val="nil"/>
              <w:left w:val="nil"/>
              <w:bottom w:val="single" w:sz="6" w:space="0" w:color="000000"/>
              <w:right w:val="nil"/>
            </w:tcBorders>
            <w:vAlign w:val="bottom"/>
            <w:hideMark/>
          </w:tcPr>
          <w:p w14:paraId="6F8F012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Ticker</w:t>
            </w:r>
          </w:p>
        </w:tc>
        <w:tc>
          <w:tcPr>
            <w:tcW w:w="1584" w:type="dxa"/>
            <w:tcBorders>
              <w:top w:val="nil"/>
              <w:left w:val="nil"/>
              <w:bottom w:val="single" w:sz="6" w:space="0" w:color="000000"/>
              <w:right w:val="nil"/>
            </w:tcBorders>
            <w:vAlign w:val="bottom"/>
            <w:hideMark/>
          </w:tcPr>
          <w:p w14:paraId="5C2B73E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Data source</w:t>
            </w:r>
          </w:p>
        </w:tc>
        <w:tc>
          <w:tcPr>
            <w:tcW w:w="1584" w:type="dxa"/>
            <w:tcBorders>
              <w:top w:val="nil"/>
              <w:left w:val="nil"/>
              <w:bottom w:val="single" w:sz="6" w:space="0" w:color="000000"/>
              <w:right w:val="nil"/>
            </w:tcBorders>
            <w:vAlign w:val="bottom"/>
            <w:hideMark/>
          </w:tcPr>
          <w:p w14:paraId="0A0A5D2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Unit or maturity</w:t>
            </w:r>
          </w:p>
        </w:tc>
        <w:tc>
          <w:tcPr>
            <w:tcW w:w="1584" w:type="dxa"/>
            <w:tcBorders>
              <w:top w:val="nil"/>
              <w:left w:val="nil"/>
              <w:bottom w:val="single" w:sz="6" w:space="0" w:color="000000"/>
              <w:right w:val="nil"/>
            </w:tcBorders>
            <w:vAlign w:val="bottom"/>
            <w:hideMark/>
          </w:tcPr>
          <w:p w14:paraId="4AA575A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 xml:space="preserve">Exchange or </w:t>
            </w:r>
            <w:proofErr w:type="spellStart"/>
            <w:r w:rsidRPr="00024CD7">
              <w:rPr>
                <w:rFonts w:eastAsia="Cambria"/>
                <w:lang w:val="en-US" w:eastAsia="en-US"/>
              </w:rPr>
              <w:t>Insitute</w:t>
            </w:r>
            <w:proofErr w:type="spellEnd"/>
          </w:p>
        </w:tc>
      </w:tr>
      <w:tr w:rsidR="00D764FA" w:rsidRPr="00024CD7" w14:paraId="56393E38" w14:textId="77777777" w:rsidTr="00D10CE2">
        <w:tc>
          <w:tcPr>
            <w:tcW w:w="2160" w:type="dxa"/>
            <w:hideMark/>
          </w:tcPr>
          <w:p w14:paraId="165537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COBALT</w:t>
            </w:r>
          </w:p>
        </w:tc>
        <w:tc>
          <w:tcPr>
            <w:tcW w:w="1584" w:type="dxa"/>
          </w:tcPr>
          <w:p w14:paraId="5E4728E4"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AF8A29E"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F8387E6"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401702D"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713A4063" w14:textId="77777777" w:rsidTr="00D10CE2">
        <w:tc>
          <w:tcPr>
            <w:tcW w:w="2160" w:type="dxa"/>
            <w:hideMark/>
          </w:tcPr>
          <w:p w14:paraId="6D14DC4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spot prices</w:t>
            </w:r>
          </w:p>
        </w:tc>
        <w:tc>
          <w:tcPr>
            <w:tcW w:w="1584" w:type="dxa"/>
            <w:hideMark/>
          </w:tcPr>
          <w:p w14:paraId="5454A7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CODALY</w:t>
            </w:r>
          </w:p>
        </w:tc>
        <w:tc>
          <w:tcPr>
            <w:tcW w:w="1584" w:type="dxa"/>
            <w:hideMark/>
          </w:tcPr>
          <w:p w14:paraId="4E9B7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3D93A9C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64E646E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9C75AAB" w14:textId="77777777" w:rsidTr="00D10CE2">
        <w:tc>
          <w:tcPr>
            <w:tcW w:w="2160" w:type="dxa"/>
            <w:hideMark/>
          </w:tcPr>
          <w:p w14:paraId="62C512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Forward</w:t>
            </w:r>
          </w:p>
        </w:tc>
        <w:tc>
          <w:tcPr>
            <w:tcW w:w="1584" w:type="dxa"/>
            <w:hideMark/>
          </w:tcPr>
          <w:p w14:paraId="3D66479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COLMEX</w:t>
            </w:r>
          </w:p>
        </w:tc>
        <w:tc>
          <w:tcPr>
            <w:tcW w:w="1584" w:type="dxa"/>
            <w:hideMark/>
          </w:tcPr>
          <w:p w14:paraId="17D4B8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6C0A2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372AA34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F5B6106" w14:textId="77777777" w:rsidTr="00E62064">
        <w:tc>
          <w:tcPr>
            <w:tcW w:w="2160" w:type="dxa"/>
            <w:hideMark/>
          </w:tcPr>
          <w:p w14:paraId="6FEE5D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WUXI</w:t>
            </w:r>
          </w:p>
        </w:tc>
        <w:tc>
          <w:tcPr>
            <w:tcW w:w="1584" w:type="dxa"/>
            <w:hideMark/>
          </w:tcPr>
          <w:p w14:paraId="269697E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COWUXI</w:t>
            </w:r>
          </w:p>
        </w:tc>
        <w:tc>
          <w:tcPr>
            <w:tcW w:w="1584" w:type="dxa"/>
            <w:hideMark/>
          </w:tcPr>
          <w:p w14:paraId="7A4F53E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5052F24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CNY/kg</w:t>
            </w:r>
          </w:p>
        </w:tc>
        <w:tc>
          <w:tcPr>
            <w:tcW w:w="1584" w:type="dxa"/>
            <w:hideMark/>
          </w:tcPr>
          <w:p w14:paraId="19265A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p>
        </w:tc>
      </w:tr>
      <w:tr w:rsidR="00D764FA" w:rsidRPr="00024CD7" w14:paraId="10C63E1A" w14:textId="77777777" w:rsidTr="00E62064">
        <w:tc>
          <w:tcPr>
            <w:tcW w:w="2160" w:type="dxa"/>
            <w:tcBorders>
              <w:bottom w:val="single" w:sz="4" w:space="0" w:color="auto"/>
            </w:tcBorders>
            <w:hideMark/>
          </w:tcPr>
          <w:p w14:paraId="1FA60B4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COMEX</w:t>
            </w:r>
          </w:p>
        </w:tc>
        <w:tc>
          <w:tcPr>
            <w:tcW w:w="1584" w:type="dxa"/>
            <w:tcBorders>
              <w:bottom w:val="single" w:sz="4" w:space="0" w:color="auto"/>
            </w:tcBorders>
            <w:hideMark/>
          </w:tcPr>
          <w:p w14:paraId="400AA1F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COCOMX</w:t>
            </w:r>
          </w:p>
        </w:tc>
        <w:tc>
          <w:tcPr>
            <w:tcW w:w="1584" w:type="dxa"/>
            <w:tcBorders>
              <w:bottom w:val="single" w:sz="4" w:space="0" w:color="auto"/>
            </w:tcBorders>
            <w:hideMark/>
          </w:tcPr>
          <w:p w14:paraId="72F55D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4A20051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tcBorders>
              <w:bottom w:val="single" w:sz="4" w:space="0" w:color="auto"/>
            </w:tcBorders>
            <w:hideMark/>
          </w:tcPr>
          <w:p w14:paraId="49710B2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E9E545C" w14:textId="77777777" w:rsidTr="00E62064">
        <w:tc>
          <w:tcPr>
            <w:tcW w:w="2160" w:type="dxa"/>
            <w:tcBorders>
              <w:top w:val="single" w:sz="4" w:space="0" w:color="auto"/>
            </w:tcBorders>
            <w:hideMark/>
          </w:tcPr>
          <w:p w14:paraId="204917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COPPER</w:t>
            </w:r>
          </w:p>
        </w:tc>
        <w:tc>
          <w:tcPr>
            <w:tcW w:w="1584" w:type="dxa"/>
            <w:tcBorders>
              <w:top w:val="single" w:sz="4" w:space="0" w:color="auto"/>
            </w:tcBorders>
          </w:tcPr>
          <w:p w14:paraId="2F25E190"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B4B2E7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E41C326"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BE86CAF"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37A0B6B3" w14:textId="77777777" w:rsidTr="00D10CE2">
        <w:tc>
          <w:tcPr>
            <w:tcW w:w="2160" w:type="dxa"/>
            <w:hideMark/>
          </w:tcPr>
          <w:p w14:paraId="2B171EB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spot prices</w:t>
            </w:r>
          </w:p>
        </w:tc>
        <w:tc>
          <w:tcPr>
            <w:tcW w:w="1584" w:type="dxa"/>
            <w:hideMark/>
          </w:tcPr>
          <w:p w14:paraId="310255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CUDALY</w:t>
            </w:r>
          </w:p>
        </w:tc>
        <w:tc>
          <w:tcPr>
            <w:tcW w:w="1584" w:type="dxa"/>
            <w:hideMark/>
          </w:tcPr>
          <w:p w14:paraId="41A0AF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C8AA0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7D47695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117DDCA1" w14:textId="77777777" w:rsidTr="00D10CE2">
        <w:tc>
          <w:tcPr>
            <w:tcW w:w="2160" w:type="dxa"/>
            <w:hideMark/>
          </w:tcPr>
          <w:p w14:paraId="2B8DBC2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 1M</w:t>
            </w:r>
          </w:p>
        </w:tc>
        <w:tc>
          <w:tcPr>
            <w:tcW w:w="1584" w:type="dxa"/>
            <w:hideMark/>
          </w:tcPr>
          <w:p w14:paraId="777911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CUCOMX</w:t>
            </w:r>
          </w:p>
        </w:tc>
        <w:tc>
          <w:tcPr>
            <w:tcW w:w="1584" w:type="dxa"/>
            <w:hideMark/>
          </w:tcPr>
          <w:p w14:paraId="7AA7A8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0CFC3A4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43543B9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07F0FF9" w14:textId="77777777" w:rsidTr="00E62064">
        <w:tc>
          <w:tcPr>
            <w:tcW w:w="2160" w:type="dxa"/>
            <w:hideMark/>
          </w:tcPr>
          <w:p w14:paraId="2485D3B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Composite Forward</w:t>
            </w:r>
          </w:p>
        </w:tc>
        <w:tc>
          <w:tcPr>
            <w:tcW w:w="1584" w:type="dxa"/>
            <w:hideMark/>
          </w:tcPr>
          <w:p w14:paraId="3D19164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CULMEX</w:t>
            </w:r>
          </w:p>
        </w:tc>
        <w:tc>
          <w:tcPr>
            <w:tcW w:w="1584" w:type="dxa"/>
            <w:hideMark/>
          </w:tcPr>
          <w:p w14:paraId="0677D3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3E0AA8F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3A0081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004B52D0" w14:textId="77777777" w:rsidTr="00E62064">
        <w:tc>
          <w:tcPr>
            <w:tcW w:w="2160" w:type="dxa"/>
            <w:tcBorders>
              <w:bottom w:val="single" w:sz="4" w:space="0" w:color="auto"/>
            </w:tcBorders>
            <w:hideMark/>
          </w:tcPr>
          <w:p w14:paraId="6594A02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w:t>
            </w:r>
          </w:p>
        </w:tc>
        <w:tc>
          <w:tcPr>
            <w:tcW w:w="1584" w:type="dxa"/>
            <w:tcBorders>
              <w:bottom w:val="single" w:sz="4" w:space="0" w:color="auto"/>
            </w:tcBorders>
            <w:hideMark/>
          </w:tcPr>
          <w:p w14:paraId="11D0795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CUSHFE</w:t>
            </w:r>
          </w:p>
        </w:tc>
        <w:tc>
          <w:tcPr>
            <w:tcW w:w="1584" w:type="dxa"/>
            <w:tcBorders>
              <w:bottom w:val="single" w:sz="4" w:space="0" w:color="auto"/>
            </w:tcBorders>
            <w:hideMark/>
          </w:tcPr>
          <w:p w14:paraId="05CCE16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1FEF95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455245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5837A49F" w14:textId="77777777" w:rsidTr="00E62064">
        <w:tc>
          <w:tcPr>
            <w:tcW w:w="2160" w:type="dxa"/>
            <w:tcBorders>
              <w:top w:val="single" w:sz="4" w:space="0" w:color="auto"/>
            </w:tcBorders>
            <w:hideMark/>
          </w:tcPr>
          <w:p w14:paraId="64B4AA8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LITHIUM</w:t>
            </w:r>
          </w:p>
        </w:tc>
        <w:tc>
          <w:tcPr>
            <w:tcW w:w="1584" w:type="dxa"/>
            <w:tcBorders>
              <w:top w:val="single" w:sz="4" w:space="0" w:color="auto"/>
            </w:tcBorders>
          </w:tcPr>
          <w:p w14:paraId="01FF33B9"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366FFBE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01208407"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775AB40"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F997180" w14:textId="77777777" w:rsidTr="00D10CE2">
        <w:tc>
          <w:tcPr>
            <w:tcW w:w="2160" w:type="dxa"/>
            <w:hideMark/>
          </w:tcPr>
          <w:p w14:paraId="69B33C0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Carbonate Spot</w:t>
            </w:r>
          </w:p>
        </w:tc>
        <w:tc>
          <w:tcPr>
            <w:tcW w:w="1584" w:type="dxa"/>
            <w:hideMark/>
          </w:tcPr>
          <w:p w14:paraId="1C13CC3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LIDALY</w:t>
            </w:r>
          </w:p>
        </w:tc>
        <w:tc>
          <w:tcPr>
            <w:tcW w:w="1584" w:type="dxa"/>
            <w:hideMark/>
          </w:tcPr>
          <w:p w14:paraId="3E8D24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7CCA49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10D392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01301B23" w14:textId="77777777" w:rsidTr="00D10CE2">
        <w:tc>
          <w:tcPr>
            <w:tcW w:w="2160" w:type="dxa"/>
            <w:hideMark/>
          </w:tcPr>
          <w:p w14:paraId="5CA404D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Future</w:t>
            </w:r>
          </w:p>
        </w:tc>
        <w:tc>
          <w:tcPr>
            <w:tcW w:w="1584" w:type="dxa"/>
            <w:hideMark/>
          </w:tcPr>
          <w:p w14:paraId="1B5B18B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LICOMX</w:t>
            </w:r>
          </w:p>
        </w:tc>
        <w:tc>
          <w:tcPr>
            <w:tcW w:w="1584" w:type="dxa"/>
            <w:hideMark/>
          </w:tcPr>
          <w:p w14:paraId="10D0893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2B2DB1B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1306A68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3BC9234A" w14:textId="77777777" w:rsidTr="00E62064">
        <w:tc>
          <w:tcPr>
            <w:tcW w:w="2160" w:type="dxa"/>
            <w:hideMark/>
          </w:tcPr>
          <w:p w14:paraId="2D8DABC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Forward</w:t>
            </w:r>
          </w:p>
        </w:tc>
        <w:tc>
          <w:tcPr>
            <w:tcW w:w="1584" w:type="dxa"/>
            <w:hideMark/>
          </w:tcPr>
          <w:p w14:paraId="2F032B7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LILMEX</w:t>
            </w:r>
          </w:p>
        </w:tc>
        <w:tc>
          <w:tcPr>
            <w:tcW w:w="1584" w:type="dxa"/>
            <w:hideMark/>
          </w:tcPr>
          <w:p w14:paraId="27A728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2BAEB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 3M</w:t>
            </w:r>
          </w:p>
        </w:tc>
        <w:tc>
          <w:tcPr>
            <w:tcW w:w="1584" w:type="dxa"/>
            <w:hideMark/>
          </w:tcPr>
          <w:p w14:paraId="67F1A16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569A74BF" w14:textId="77777777" w:rsidTr="00E62064">
        <w:tc>
          <w:tcPr>
            <w:tcW w:w="2160" w:type="dxa"/>
            <w:tcBorders>
              <w:bottom w:val="single" w:sz="4" w:space="0" w:color="auto"/>
            </w:tcBorders>
            <w:hideMark/>
          </w:tcPr>
          <w:p w14:paraId="2E5B9C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w:t>
            </w:r>
          </w:p>
        </w:tc>
        <w:tc>
          <w:tcPr>
            <w:tcW w:w="1584" w:type="dxa"/>
            <w:tcBorders>
              <w:bottom w:val="single" w:sz="4" w:space="0" w:color="auto"/>
            </w:tcBorders>
            <w:hideMark/>
          </w:tcPr>
          <w:p w14:paraId="0BA0488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LIANTH</w:t>
            </w:r>
          </w:p>
        </w:tc>
        <w:tc>
          <w:tcPr>
            <w:tcW w:w="1584" w:type="dxa"/>
            <w:tcBorders>
              <w:bottom w:val="single" w:sz="4" w:space="0" w:color="auto"/>
            </w:tcBorders>
            <w:hideMark/>
          </w:tcPr>
          <w:p w14:paraId="1F0A41E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678DED0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w:t>
            </w:r>
          </w:p>
        </w:tc>
        <w:tc>
          <w:tcPr>
            <w:tcW w:w="1584" w:type="dxa"/>
            <w:tcBorders>
              <w:bottom w:val="single" w:sz="4" w:space="0" w:color="auto"/>
            </w:tcBorders>
            <w:hideMark/>
          </w:tcPr>
          <w:p w14:paraId="4ACA86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ANTAIKE</w:t>
            </w:r>
          </w:p>
        </w:tc>
      </w:tr>
      <w:tr w:rsidR="00D764FA" w:rsidRPr="00024CD7" w14:paraId="5DB73E24" w14:textId="77777777" w:rsidTr="00E62064">
        <w:tc>
          <w:tcPr>
            <w:tcW w:w="2160" w:type="dxa"/>
            <w:tcBorders>
              <w:top w:val="single" w:sz="4" w:space="0" w:color="auto"/>
            </w:tcBorders>
            <w:hideMark/>
          </w:tcPr>
          <w:p w14:paraId="7E7DA31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NICKEL</w:t>
            </w:r>
          </w:p>
        </w:tc>
        <w:tc>
          <w:tcPr>
            <w:tcW w:w="1584" w:type="dxa"/>
            <w:tcBorders>
              <w:top w:val="single" w:sz="4" w:space="0" w:color="auto"/>
            </w:tcBorders>
          </w:tcPr>
          <w:p w14:paraId="34E5C1A8"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D4314E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41850D8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28659FFC"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06FDB54" w14:textId="77777777" w:rsidTr="00D10CE2">
        <w:tc>
          <w:tcPr>
            <w:tcW w:w="2160" w:type="dxa"/>
            <w:hideMark/>
          </w:tcPr>
          <w:p w14:paraId="59D7E2B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Spot Prices</w:t>
            </w:r>
          </w:p>
        </w:tc>
        <w:tc>
          <w:tcPr>
            <w:tcW w:w="1584" w:type="dxa"/>
            <w:hideMark/>
          </w:tcPr>
          <w:p w14:paraId="4A224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NIDALY</w:t>
            </w:r>
          </w:p>
        </w:tc>
        <w:tc>
          <w:tcPr>
            <w:tcW w:w="1584" w:type="dxa"/>
            <w:hideMark/>
          </w:tcPr>
          <w:p w14:paraId="206D48D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1B915C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32A5746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0D6F696" w14:textId="77777777" w:rsidTr="00D10CE2">
        <w:tc>
          <w:tcPr>
            <w:tcW w:w="2160" w:type="dxa"/>
            <w:hideMark/>
          </w:tcPr>
          <w:p w14:paraId="2E3DF0A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Forward</w:t>
            </w:r>
          </w:p>
        </w:tc>
        <w:tc>
          <w:tcPr>
            <w:tcW w:w="1584" w:type="dxa"/>
            <w:hideMark/>
          </w:tcPr>
          <w:p w14:paraId="1946B11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NILMEX</w:t>
            </w:r>
          </w:p>
        </w:tc>
        <w:tc>
          <w:tcPr>
            <w:tcW w:w="1584" w:type="dxa"/>
            <w:hideMark/>
          </w:tcPr>
          <w:p w14:paraId="480427C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6275E8A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606A80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3291DDC" w14:textId="77777777" w:rsidTr="00E62064">
        <w:tc>
          <w:tcPr>
            <w:tcW w:w="2160" w:type="dxa"/>
            <w:hideMark/>
          </w:tcPr>
          <w:p w14:paraId="01BEC9D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hideMark/>
          </w:tcPr>
          <w:p w14:paraId="0F52D00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NISHFE</w:t>
            </w:r>
          </w:p>
        </w:tc>
        <w:tc>
          <w:tcPr>
            <w:tcW w:w="1584" w:type="dxa"/>
            <w:hideMark/>
          </w:tcPr>
          <w:p w14:paraId="7703142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4C28FFD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5BEB0B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35BA1D0B" w14:textId="77777777" w:rsidTr="00E62064">
        <w:tc>
          <w:tcPr>
            <w:tcW w:w="2160" w:type="dxa"/>
            <w:tcBorders>
              <w:bottom w:val="single" w:sz="4" w:space="0" w:color="auto"/>
            </w:tcBorders>
            <w:hideMark/>
          </w:tcPr>
          <w:p w14:paraId="3B6B77F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tcBorders>
              <w:bottom w:val="single" w:sz="4" w:space="0" w:color="auto"/>
            </w:tcBorders>
            <w:hideMark/>
          </w:tcPr>
          <w:p w14:paraId="24E6CA1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NIWUXI</w:t>
            </w:r>
          </w:p>
        </w:tc>
        <w:tc>
          <w:tcPr>
            <w:tcW w:w="1584" w:type="dxa"/>
            <w:tcBorders>
              <w:bottom w:val="single" w:sz="4" w:space="0" w:color="auto"/>
            </w:tcBorders>
            <w:hideMark/>
          </w:tcPr>
          <w:p w14:paraId="44E3185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5729887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6F65F6C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bookmarkStart w:id="5" w:name="tab%3Adata_date_ranges"/>
            <w:bookmarkEnd w:id="5"/>
          </w:p>
        </w:tc>
      </w:tr>
    </w:tbl>
    <w:p w14:paraId="3FF91187" w14:textId="77777777" w:rsidR="00D764FA" w:rsidRPr="00024CD7" w:rsidRDefault="00D764FA" w:rsidP="00D764FA">
      <w:pPr>
        <w:pStyle w:val="Newparagraph"/>
      </w:pPr>
    </w:p>
    <w:p w14:paraId="51223C69" w14:textId="5EA8743A" w:rsidR="00D764FA" w:rsidRPr="00024CD7" w:rsidRDefault="00D764FA" w:rsidP="00D764FA">
      <w:pPr>
        <w:pStyle w:val="Footnotes"/>
      </w:pPr>
      <w:r w:rsidRPr="00024CD7">
        <w:t>Note: The table presents series, data sources, tickers used in the study and the sample periods. We create tickers for each series; the first two letters indicate the metal, the rest describing the source of the data. DMSP stands for the Daily Metal Spot Prices available on https://www.dailymetalprice.com/. LME stands for the London Metal Exchange, COMEX is for the Commodity Exchange, SHFE is the Shanghai Futures Exchange, WUXI is the Wuxi Stainless Steel Exchange</w:t>
      </w:r>
      <w:r w:rsidR="003118D1">
        <w:t xml:space="preserve">, and </w:t>
      </w:r>
      <w:proofErr w:type="spellStart"/>
      <w:r w:rsidR="003118D1">
        <w:t>Antaike</w:t>
      </w:r>
      <w:proofErr w:type="spellEnd"/>
      <w:r w:rsidR="003118D1">
        <w:t xml:space="preserve"> is the </w:t>
      </w:r>
      <w:r w:rsidR="003118D1" w:rsidRPr="003118D1">
        <w:t>Chinese metal information provider</w:t>
      </w:r>
      <w:r w:rsidRPr="00024CD7">
        <w:t>.</w:t>
      </w:r>
    </w:p>
    <w:p w14:paraId="58589836" w14:textId="159C2ECA" w:rsidR="00D764FA" w:rsidRPr="00024CD7" w:rsidRDefault="00D764FA">
      <w:pPr>
        <w:spacing w:line="240" w:lineRule="auto"/>
        <w:rPr>
          <w:sz w:val="22"/>
        </w:rPr>
      </w:pPr>
      <w:r w:rsidRPr="00024CD7">
        <w:br w:type="page"/>
      </w:r>
    </w:p>
    <w:p w14:paraId="7246FE8E" w14:textId="5ADEB20D" w:rsidR="00D764FA" w:rsidRPr="00024CD7" w:rsidRDefault="00D764FA" w:rsidP="00D764FA">
      <w:pPr>
        <w:pStyle w:val="Tabletitle"/>
      </w:pPr>
      <w:r w:rsidRPr="00024CD7">
        <w:t xml:space="preserve">Table </w:t>
      </w:r>
      <w:fldSimple w:instr=" SEQ Table \* ARABIC ">
        <w:r w:rsidR="009044B6">
          <w:rPr>
            <w:noProof/>
          </w:rPr>
          <w:t>2</w:t>
        </w:r>
      </w:fldSimple>
      <w:r w:rsidRPr="00024CD7">
        <w:t xml:space="preserve"> Descriptive Statistics of Metal Price Returns</w:t>
      </w:r>
    </w:p>
    <w:tbl>
      <w:tblPr>
        <w:tblW w:w="0" w:type="auto"/>
        <w:tblInd w:w="108" w:type="dxa"/>
        <w:tblLayout w:type="fixed"/>
        <w:tblLook w:val="04A0" w:firstRow="1" w:lastRow="0" w:firstColumn="1" w:lastColumn="0" w:noHBand="0" w:noVBand="1"/>
      </w:tblPr>
      <w:tblGrid>
        <w:gridCol w:w="1452"/>
        <w:gridCol w:w="992"/>
        <w:gridCol w:w="810"/>
        <w:gridCol w:w="990"/>
        <w:gridCol w:w="990"/>
        <w:gridCol w:w="990"/>
        <w:gridCol w:w="990"/>
        <w:gridCol w:w="1042"/>
      </w:tblGrid>
      <w:tr w:rsidR="00D764FA" w:rsidRPr="00024CD7" w14:paraId="4D842369" w14:textId="77777777" w:rsidTr="00535019">
        <w:trPr>
          <w:tblHeader/>
        </w:trPr>
        <w:tc>
          <w:tcPr>
            <w:tcW w:w="1452" w:type="dxa"/>
            <w:tcBorders>
              <w:top w:val="nil"/>
              <w:left w:val="nil"/>
              <w:bottom w:val="single" w:sz="6" w:space="0" w:color="000000"/>
              <w:right w:val="nil"/>
            </w:tcBorders>
            <w:vAlign w:val="bottom"/>
            <w:hideMark/>
          </w:tcPr>
          <w:p w14:paraId="28A092BC" w14:textId="77777777" w:rsidR="00D764FA" w:rsidRPr="00024CD7" w:rsidRDefault="00D764FA" w:rsidP="00D764FA">
            <w:pPr>
              <w:pStyle w:val="Compact"/>
              <w:rPr>
                <w:rFonts w:ascii="Times New Roman" w:hAnsi="Times New Roman"/>
              </w:rPr>
            </w:pPr>
            <w:r w:rsidRPr="00024CD7">
              <w:rPr>
                <w:rFonts w:ascii="Times New Roman" w:hAnsi="Times New Roman"/>
              </w:rPr>
              <w:t>Ticker</w:t>
            </w:r>
          </w:p>
        </w:tc>
        <w:tc>
          <w:tcPr>
            <w:tcW w:w="992" w:type="dxa"/>
            <w:tcBorders>
              <w:top w:val="nil"/>
              <w:left w:val="nil"/>
              <w:bottom w:val="single" w:sz="6" w:space="0" w:color="000000"/>
              <w:right w:val="nil"/>
            </w:tcBorders>
            <w:vAlign w:val="bottom"/>
            <w:hideMark/>
          </w:tcPr>
          <w:p w14:paraId="332A07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Mean</w:t>
            </w:r>
          </w:p>
        </w:tc>
        <w:tc>
          <w:tcPr>
            <w:tcW w:w="810" w:type="dxa"/>
            <w:tcBorders>
              <w:top w:val="nil"/>
              <w:left w:val="nil"/>
              <w:bottom w:val="single" w:sz="6" w:space="0" w:color="000000"/>
              <w:right w:val="nil"/>
            </w:tcBorders>
            <w:vAlign w:val="bottom"/>
            <w:hideMark/>
          </w:tcPr>
          <w:p w14:paraId="6E722F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Std</w:t>
            </w:r>
          </w:p>
        </w:tc>
        <w:tc>
          <w:tcPr>
            <w:tcW w:w="990" w:type="dxa"/>
            <w:tcBorders>
              <w:top w:val="nil"/>
              <w:left w:val="nil"/>
              <w:bottom w:val="single" w:sz="6" w:space="0" w:color="000000"/>
              <w:right w:val="nil"/>
            </w:tcBorders>
            <w:vAlign w:val="bottom"/>
            <w:hideMark/>
          </w:tcPr>
          <w:p w14:paraId="2D86E7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Min</w:t>
            </w:r>
          </w:p>
        </w:tc>
        <w:tc>
          <w:tcPr>
            <w:tcW w:w="990" w:type="dxa"/>
            <w:tcBorders>
              <w:top w:val="nil"/>
              <w:left w:val="nil"/>
              <w:bottom w:val="single" w:sz="6" w:space="0" w:color="000000"/>
              <w:right w:val="nil"/>
            </w:tcBorders>
            <w:vAlign w:val="bottom"/>
            <w:hideMark/>
          </w:tcPr>
          <w:p w14:paraId="2B782D3F" w14:textId="77777777" w:rsidR="00D764FA" w:rsidRPr="00024CD7" w:rsidRDefault="00D764FA" w:rsidP="00D764FA">
            <w:pPr>
              <w:pStyle w:val="Compact"/>
              <w:jc w:val="right"/>
              <w:rPr>
                <w:rFonts w:ascii="Times New Roman" w:hAnsi="Times New Roman"/>
              </w:rPr>
            </w:pPr>
            <w:r w:rsidRPr="00024CD7">
              <w:rPr>
                <w:rFonts w:ascii="Times New Roman" w:hAnsi="Times New Roman"/>
              </w:rPr>
              <w:t>Q1</w:t>
            </w:r>
          </w:p>
        </w:tc>
        <w:tc>
          <w:tcPr>
            <w:tcW w:w="990" w:type="dxa"/>
            <w:tcBorders>
              <w:top w:val="nil"/>
              <w:left w:val="nil"/>
              <w:bottom w:val="single" w:sz="6" w:space="0" w:color="000000"/>
              <w:right w:val="nil"/>
            </w:tcBorders>
            <w:vAlign w:val="bottom"/>
            <w:hideMark/>
          </w:tcPr>
          <w:p w14:paraId="3C6C8814" w14:textId="77777777" w:rsidR="00D764FA" w:rsidRPr="00024CD7" w:rsidRDefault="00D764FA" w:rsidP="00D764FA">
            <w:pPr>
              <w:pStyle w:val="Compact"/>
              <w:jc w:val="right"/>
              <w:rPr>
                <w:rFonts w:ascii="Times New Roman" w:hAnsi="Times New Roman"/>
              </w:rPr>
            </w:pPr>
            <w:r w:rsidRPr="00024CD7">
              <w:rPr>
                <w:rFonts w:ascii="Times New Roman" w:hAnsi="Times New Roman"/>
              </w:rPr>
              <w:t>Q3</w:t>
            </w:r>
          </w:p>
        </w:tc>
        <w:tc>
          <w:tcPr>
            <w:tcW w:w="990" w:type="dxa"/>
            <w:tcBorders>
              <w:top w:val="nil"/>
              <w:left w:val="nil"/>
              <w:bottom w:val="single" w:sz="6" w:space="0" w:color="000000"/>
              <w:right w:val="nil"/>
            </w:tcBorders>
            <w:vAlign w:val="bottom"/>
            <w:hideMark/>
          </w:tcPr>
          <w:p w14:paraId="2AAD37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Max</w:t>
            </w:r>
          </w:p>
        </w:tc>
        <w:tc>
          <w:tcPr>
            <w:tcW w:w="1042" w:type="dxa"/>
            <w:tcBorders>
              <w:top w:val="nil"/>
              <w:left w:val="nil"/>
              <w:bottom w:val="single" w:sz="6" w:space="0" w:color="000000"/>
              <w:right w:val="nil"/>
            </w:tcBorders>
            <w:vAlign w:val="bottom"/>
            <w:hideMark/>
          </w:tcPr>
          <w:p w14:paraId="5248CA42" w14:textId="77777777" w:rsidR="00D764FA" w:rsidRPr="00024CD7" w:rsidRDefault="00D764FA" w:rsidP="00D764FA">
            <w:pPr>
              <w:pStyle w:val="Compact"/>
              <w:jc w:val="right"/>
              <w:rPr>
                <w:rFonts w:ascii="Times New Roman" w:hAnsi="Times New Roman"/>
              </w:rPr>
            </w:pPr>
            <w:proofErr w:type="spellStart"/>
            <w:r w:rsidRPr="00024CD7">
              <w:rPr>
                <w:rFonts w:ascii="Times New Roman" w:hAnsi="Times New Roman"/>
              </w:rPr>
              <w:t>ZeroPct</w:t>
            </w:r>
            <w:proofErr w:type="spellEnd"/>
          </w:p>
        </w:tc>
      </w:tr>
      <w:tr w:rsidR="00D764FA" w:rsidRPr="00024CD7" w14:paraId="65BDB66F" w14:textId="77777777" w:rsidTr="00535019">
        <w:tc>
          <w:tcPr>
            <w:tcW w:w="1452" w:type="dxa"/>
            <w:hideMark/>
          </w:tcPr>
          <w:p w14:paraId="614F6063" w14:textId="77777777" w:rsidR="00D764FA" w:rsidRPr="00024CD7" w:rsidRDefault="00D764FA" w:rsidP="00D764FA">
            <w:pPr>
              <w:pStyle w:val="Compact"/>
              <w:rPr>
                <w:rFonts w:ascii="Times New Roman" w:hAnsi="Times New Roman"/>
              </w:rPr>
            </w:pPr>
            <w:r w:rsidRPr="00024CD7">
              <w:rPr>
                <w:rFonts w:ascii="Times New Roman" w:hAnsi="Times New Roman"/>
              </w:rPr>
              <w:t>COCOMX</w:t>
            </w:r>
          </w:p>
        </w:tc>
        <w:tc>
          <w:tcPr>
            <w:tcW w:w="992" w:type="dxa"/>
            <w:hideMark/>
          </w:tcPr>
          <w:p w14:paraId="3D31AFB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62F2C6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0.020</w:t>
            </w:r>
          </w:p>
        </w:tc>
        <w:tc>
          <w:tcPr>
            <w:tcW w:w="990" w:type="dxa"/>
            <w:hideMark/>
          </w:tcPr>
          <w:p w14:paraId="4AC7C1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-0.118</w:t>
            </w:r>
          </w:p>
        </w:tc>
        <w:tc>
          <w:tcPr>
            <w:tcW w:w="990" w:type="dxa"/>
            <w:hideMark/>
          </w:tcPr>
          <w:p w14:paraId="6C45710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F0CFB1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008B4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0.182</w:t>
            </w:r>
          </w:p>
        </w:tc>
        <w:tc>
          <w:tcPr>
            <w:tcW w:w="1042" w:type="dxa"/>
            <w:hideMark/>
          </w:tcPr>
          <w:p w14:paraId="19121509"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87.908</w:t>
            </w:r>
          </w:p>
        </w:tc>
      </w:tr>
      <w:tr w:rsidR="00D764FA" w:rsidRPr="00024CD7" w14:paraId="700B633A" w14:textId="77777777" w:rsidTr="00535019">
        <w:tc>
          <w:tcPr>
            <w:tcW w:w="1452" w:type="dxa"/>
            <w:hideMark/>
          </w:tcPr>
          <w:p w14:paraId="3A0CBB0F" w14:textId="77777777" w:rsidR="00D764FA" w:rsidRPr="00024CD7" w:rsidRDefault="00D764FA" w:rsidP="00D764FA">
            <w:pPr>
              <w:pStyle w:val="Compact"/>
              <w:rPr>
                <w:rFonts w:ascii="Times New Roman" w:hAnsi="Times New Roman"/>
              </w:rPr>
            </w:pPr>
            <w:r w:rsidRPr="00024CD7">
              <w:rPr>
                <w:rFonts w:ascii="Times New Roman" w:hAnsi="Times New Roman"/>
              </w:rPr>
              <w:t>CODALY</w:t>
            </w:r>
          </w:p>
        </w:tc>
        <w:tc>
          <w:tcPr>
            <w:tcW w:w="992" w:type="dxa"/>
            <w:hideMark/>
          </w:tcPr>
          <w:p w14:paraId="1570F6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9A02F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015897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3EB663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62641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4B7C5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0.139</w:t>
            </w:r>
          </w:p>
        </w:tc>
        <w:tc>
          <w:tcPr>
            <w:tcW w:w="1042" w:type="dxa"/>
            <w:hideMark/>
          </w:tcPr>
          <w:p w14:paraId="09251E63"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87.524</w:t>
            </w:r>
          </w:p>
        </w:tc>
      </w:tr>
      <w:tr w:rsidR="00D764FA" w:rsidRPr="00024CD7" w14:paraId="1B2F40C4" w14:textId="77777777" w:rsidTr="00E62064">
        <w:tc>
          <w:tcPr>
            <w:tcW w:w="1452" w:type="dxa"/>
            <w:hideMark/>
          </w:tcPr>
          <w:p w14:paraId="7FEA88CD" w14:textId="77777777" w:rsidR="00D764FA" w:rsidRPr="00024CD7" w:rsidRDefault="00D764FA" w:rsidP="00D764FA">
            <w:pPr>
              <w:pStyle w:val="Compact"/>
              <w:rPr>
                <w:rFonts w:ascii="Times New Roman" w:hAnsi="Times New Roman"/>
              </w:rPr>
            </w:pPr>
            <w:r w:rsidRPr="00024CD7">
              <w:rPr>
                <w:rFonts w:ascii="Times New Roman" w:hAnsi="Times New Roman"/>
              </w:rPr>
              <w:t>COLMEX</w:t>
            </w:r>
          </w:p>
        </w:tc>
        <w:tc>
          <w:tcPr>
            <w:tcW w:w="992" w:type="dxa"/>
            <w:hideMark/>
          </w:tcPr>
          <w:p w14:paraId="638F0D7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02057F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2800E9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-0.164</w:t>
            </w:r>
          </w:p>
        </w:tc>
        <w:tc>
          <w:tcPr>
            <w:tcW w:w="990" w:type="dxa"/>
            <w:hideMark/>
          </w:tcPr>
          <w:p w14:paraId="460D3C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04E89FA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6B42A8C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0.140</w:t>
            </w:r>
          </w:p>
        </w:tc>
        <w:tc>
          <w:tcPr>
            <w:tcW w:w="1042" w:type="dxa"/>
            <w:hideMark/>
          </w:tcPr>
          <w:p w14:paraId="7751E0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19.098</w:t>
            </w:r>
          </w:p>
        </w:tc>
      </w:tr>
      <w:tr w:rsidR="00D764FA" w:rsidRPr="00024CD7" w14:paraId="6B7FEE99" w14:textId="77777777" w:rsidTr="00E62064">
        <w:tc>
          <w:tcPr>
            <w:tcW w:w="1452" w:type="dxa"/>
            <w:tcBorders>
              <w:bottom w:val="single" w:sz="4" w:space="0" w:color="auto"/>
            </w:tcBorders>
            <w:hideMark/>
          </w:tcPr>
          <w:p w14:paraId="7ED45021" w14:textId="77777777" w:rsidR="00D764FA" w:rsidRPr="00024CD7" w:rsidRDefault="00D764FA" w:rsidP="00D764FA">
            <w:pPr>
              <w:pStyle w:val="Compact"/>
              <w:rPr>
                <w:rFonts w:ascii="Times New Roman" w:hAnsi="Times New Roman"/>
              </w:rPr>
            </w:pPr>
            <w:r w:rsidRPr="00024CD7">
              <w:rPr>
                <w:rFonts w:ascii="Times New Roman" w:hAnsi="Times New Roman"/>
              </w:rPr>
              <w:t>COWUXI</w:t>
            </w:r>
          </w:p>
        </w:tc>
        <w:tc>
          <w:tcPr>
            <w:tcW w:w="992" w:type="dxa"/>
            <w:tcBorders>
              <w:bottom w:val="single" w:sz="4" w:space="0" w:color="auto"/>
            </w:tcBorders>
            <w:hideMark/>
          </w:tcPr>
          <w:p w14:paraId="3212F34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1C0BDD3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0.015</w:t>
            </w:r>
          </w:p>
        </w:tc>
        <w:tc>
          <w:tcPr>
            <w:tcW w:w="990" w:type="dxa"/>
            <w:tcBorders>
              <w:bottom w:val="single" w:sz="4" w:space="0" w:color="auto"/>
            </w:tcBorders>
            <w:hideMark/>
          </w:tcPr>
          <w:p w14:paraId="0E3222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-0.089</w:t>
            </w:r>
          </w:p>
        </w:tc>
        <w:tc>
          <w:tcPr>
            <w:tcW w:w="990" w:type="dxa"/>
            <w:tcBorders>
              <w:bottom w:val="single" w:sz="4" w:space="0" w:color="auto"/>
            </w:tcBorders>
            <w:hideMark/>
          </w:tcPr>
          <w:p w14:paraId="3453363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-0.006</w:t>
            </w:r>
          </w:p>
        </w:tc>
        <w:tc>
          <w:tcPr>
            <w:tcW w:w="990" w:type="dxa"/>
            <w:tcBorders>
              <w:bottom w:val="single" w:sz="4" w:space="0" w:color="auto"/>
            </w:tcBorders>
            <w:hideMark/>
          </w:tcPr>
          <w:p w14:paraId="775365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560F5F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0.123</w:t>
            </w:r>
          </w:p>
        </w:tc>
        <w:tc>
          <w:tcPr>
            <w:tcW w:w="1042" w:type="dxa"/>
            <w:tcBorders>
              <w:bottom w:val="single" w:sz="4" w:space="0" w:color="auto"/>
            </w:tcBorders>
            <w:hideMark/>
          </w:tcPr>
          <w:p w14:paraId="03C9B05F"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11.228</w:t>
            </w:r>
          </w:p>
        </w:tc>
      </w:tr>
      <w:tr w:rsidR="00D764FA" w:rsidRPr="00024CD7" w14:paraId="14EEC2BC" w14:textId="77777777" w:rsidTr="00E62064">
        <w:tc>
          <w:tcPr>
            <w:tcW w:w="1452" w:type="dxa"/>
            <w:tcBorders>
              <w:top w:val="single" w:sz="4" w:space="0" w:color="auto"/>
            </w:tcBorders>
            <w:hideMark/>
          </w:tcPr>
          <w:p w14:paraId="25F1455E" w14:textId="77777777" w:rsidR="00D764FA" w:rsidRPr="00024CD7" w:rsidRDefault="00D764FA" w:rsidP="00D764FA">
            <w:pPr>
              <w:pStyle w:val="Compact"/>
              <w:rPr>
                <w:rFonts w:ascii="Times New Roman" w:hAnsi="Times New Roman"/>
              </w:rPr>
            </w:pPr>
            <w:r w:rsidRPr="00024CD7">
              <w:rPr>
                <w:rFonts w:ascii="Times New Roman" w:hAnsi="Times New Roman"/>
              </w:rPr>
              <w:t>CUCOMX</w:t>
            </w:r>
          </w:p>
        </w:tc>
        <w:tc>
          <w:tcPr>
            <w:tcW w:w="992" w:type="dxa"/>
            <w:tcBorders>
              <w:top w:val="single" w:sz="4" w:space="0" w:color="auto"/>
            </w:tcBorders>
            <w:hideMark/>
          </w:tcPr>
          <w:p w14:paraId="33FEDC4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53553AF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tcBorders>
              <w:top w:val="single" w:sz="4" w:space="0" w:color="auto"/>
            </w:tcBorders>
            <w:hideMark/>
          </w:tcPr>
          <w:p w14:paraId="07C36E1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-0.094</w:t>
            </w:r>
          </w:p>
        </w:tc>
        <w:tc>
          <w:tcPr>
            <w:tcW w:w="990" w:type="dxa"/>
            <w:tcBorders>
              <w:top w:val="single" w:sz="4" w:space="0" w:color="auto"/>
            </w:tcBorders>
            <w:hideMark/>
          </w:tcPr>
          <w:p w14:paraId="6F63652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top w:val="single" w:sz="4" w:space="0" w:color="auto"/>
            </w:tcBorders>
            <w:hideMark/>
          </w:tcPr>
          <w:p w14:paraId="532DAD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tcBorders>
              <w:top w:val="single" w:sz="4" w:space="0" w:color="auto"/>
            </w:tcBorders>
            <w:hideMark/>
          </w:tcPr>
          <w:p w14:paraId="1A639B2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0.126</w:t>
            </w:r>
          </w:p>
        </w:tc>
        <w:tc>
          <w:tcPr>
            <w:tcW w:w="1042" w:type="dxa"/>
            <w:tcBorders>
              <w:top w:val="single" w:sz="4" w:space="0" w:color="auto"/>
            </w:tcBorders>
            <w:hideMark/>
          </w:tcPr>
          <w:p w14:paraId="7A43C5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7.390</w:t>
            </w:r>
          </w:p>
        </w:tc>
      </w:tr>
      <w:tr w:rsidR="00D764FA" w:rsidRPr="00024CD7" w14:paraId="1E2CF775" w14:textId="77777777" w:rsidTr="00535019">
        <w:tc>
          <w:tcPr>
            <w:tcW w:w="1452" w:type="dxa"/>
            <w:hideMark/>
          </w:tcPr>
          <w:p w14:paraId="26B152E2" w14:textId="77777777" w:rsidR="00D764FA" w:rsidRPr="00024CD7" w:rsidRDefault="00D764FA" w:rsidP="00D764FA">
            <w:pPr>
              <w:pStyle w:val="Compact"/>
              <w:rPr>
                <w:rFonts w:ascii="Times New Roman" w:hAnsi="Times New Roman"/>
              </w:rPr>
            </w:pPr>
            <w:r w:rsidRPr="00024CD7">
              <w:rPr>
                <w:rFonts w:ascii="Times New Roman" w:hAnsi="Times New Roman"/>
              </w:rPr>
              <w:t>CUDALY</w:t>
            </w:r>
          </w:p>
        </w:tc>
        <w:tc>
          <w:tcPr>
            <w:tcW w:w="992" w:type="dxa"/>
            <w:hideMark/>
          </w:tcPr>
          <w:p w14:paraId="7BC55E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DC7296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hideMark/>
          </w:tcPr>
          <w:p w14:paraId="3C8BD9E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-0.105</w:t>
            </w:r>
          </w:p>
        </w:tc>
        <w:tc>
          <w:tcPr>
            <w:tcW w:w="990" w:type="dxa"/>
            <w:hideMark/>
          </w:tcPr>
          <w:p w14:paraId="5C32BD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2193D7C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hideMark/>
          </w:tcPr>
          <w:p w14:paraId="3FCAEE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0.133</w:t>
            </w:r>
          </w:p>
        </w:tc>
        <w:tc>
          <w:tcPr>
            <w:tcW w:w="1042" w:type="dxa"/>
            <w:hideMark/>
          </w:tcPr>
          <w:p w14:paraId="672F571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4BD40F09" w14:textId="77777777" w:rsidTr="00E62064">
        <w:tc>
          <w:tcPr>
            <w:tcW w:w="1452" w:type="dxa"/>
            <w:hideMark/>
          </w:tcPr>
          <w:p w14:paraId="3E1DFEC6" w14:textId="77777777" w:rsidR="00D764FA" w:rsidRPr="00024CD7" w:rsidRDefault="00D764FA" w:rsidP="00D764FA">
            <w:pPr>
              <w:pStyle w:val="Compact"/>
              <w:rPr>
                <w:rFonts w:ascii="Times New Roman" w:hAnsi="Times New Roman"/>
              </w:rPr>
            </w:pPr>
            <w:r w:rsidRPr="00024CD7">
              <w:rPr>
                <w:rFonts w:ascii="Times New Roman" w:hAnsi="Times New Roman"/>
              </w:rPr>
              <w:t>CULMEX</w:t>
            </w:r>
          </w:p>
        </w:tc>
        <w:tc>
          <w:tcPr>
            <w:tcW w:w="992" w:type="dxa"/>
            <w:hideMark/>
          </w:tcPr>
          <w:p w14:paraId="1FC3BF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392CB9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0.013</w:t>
            </w:r>
          </w:p>
        </w:tc>
        <w:tc>
          <w:tcPr>
            <w:tcW w:w="990" w:type="dxa"/>
            <w:hideMark/>
          </w:tcPr>
          <w:p w14:paraId="2198BB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-0.065</w:t>
            </w:r>
          </w:p>
        </w:tc>
        <w:tc>
          <w:tcPr>
            <w:tcW w:w="990" w:type="dxa"/>
            <w:hideMark/>
          </w:tcPr>
          <w:p w14:paraId="7B616CF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-0.007</w:t>
            </w:r>
          </w:p>
        </w:tc>
        <w:tc>
          <w:tcPr>
            <w:tcW w:w="990" w:type="dxa"/>
            <w:hideMark/>
          </w:tcPr>
          <w:p w14:paraId="639F1DA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6A4126F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0.069</w:t>
            </w:r>
          </w:p>
        </w:tc>
        <w:tc>
          <w:tcPr>
            <w:tcW w:w="1042" w:type="dxa"/>
            <w:hideMark/>
          </w:tcPr>
          <w:p w14:paraId="6080E4B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0.288</w:t>
            </w:r>
          </w:p>
        </w:tc>
      </w:tr>
      <w:tr w:rsidR="00D764FA" w:rsidRPr="00024CD7" w14:paraId="1545F14D" w14:textId="77777777" w:rsidTr="00E62064">
        <w:tc>
          <w:tcPr>
            <w:tcW w:w="1452" w:type="dxa"/>
            <w:tcBorders>
              <w:bottom w:val="single" w:sz="4" w:space="0" w:color="auto"/>
            </w:tcBorders>
            <w:hideMark/>
          </w:tcPr>
          <w:p w14:paraId="2151A716" w14:textId="77777777" w:rsidR="00D764FA" w:rsidRPr="00024CD7" w:rsidRDefault="00D764FA" w:rsidP="00D764FA">
            <w:pPr>
              <w:pStyle w:val="Compact"/>
              <w:rPr>
                <w:rFonts w:ascii="Times New Roman" w:hAnsi="Times New Roman"/>
              </w:rPr>
            </w:pPr>
            <w:r w:rsidRPr="00024CD7">
              <w:rPr>
                <w:rFonts w:ascii="Times New Roman" w:hAnsi="Times New Roman"/>
              </w:rPr>
              <w:t>CUSHFE</w:t>
            </w:r>
          </w:p>
        </w:tc>
        <w:tc>
          <w:tcPr>
            <w:tcW w:w="992" w:type="dxa"/>
            <w:tcBorders>
              <w:bottom w:val="single" w:sz="4" w:space="0" w:color="auto"/>
            </w:tcBorders>
            <w:hideMark/>
          </w:tcPr>
          <w:p w14:paraId="5483B0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5B0A056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2A7F6C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-0.054</w:t>
            </w:r>
          </w:p>
        </w:tc>
        <w:tc>
          <w:tcPr>
            <w:tcW w:w="990" w:type="dxa"/>
            <w:tcBorders>
              <w:bottom w:val="single" w:sz="4" w:space="0" w:color="auto"/>
            </w:tcBorders>
            <w:hideMark/>
          </w:tcPr>
          <w:p w14:paraId="757D1F5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C28B2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0.005</w:t>
            </w:r>
          </w:p>
        </w:tc>
        <w:tc>
          <w:tcPr>
            <w:tcW w:w="990" w:type="dxa"/>
            <w:tcBorders>
              <w:bottom w:val="single" w:sz="4" w:space="0" w:color="auto"/>
            </w:tcBorders>
            <w:hideMark/>
          </w:tcPr>
          <w:p w14:paraId="205CC31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0.041</w:t>
            </w:r>
          </w:p>
        </w:tc>
        <w:tc>
          <w:tcPr>
            <w:tcW w:w="1042" w:type="dxa"/>
            <w:tcBorders>
              <w:bottom w:val="single" w:sz="4" w:space="0" w:color="auto"/>
            </w:tcBorders>
            <w:hideMark/>
          </w:tcPr>
          <w:p w14:paraId="21B419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1.152</w:t>
            </w:r>
          </w:p>
        </w:tc>
      </w:tr>
      <w:tr w:rsidR="00D764FA" w:rsidRPr="00024CD7" w14:paraId="749C80F0" w14:textId="77777777" w:rsidTr="00E62064">
        <w:tc>
          <w:tcPr>
            <w:tcW w:w="1452" w:type="dxa"/>
            <w:tcBorders>
              <w:top w:val="single" w:sz="4" w:space="0" w:color="auto"/>
            </w:tcBorders>
            <w:hideMark/>
          </w:tcPr>
          <w:p w14:paraId="3746C2BB" w14:textId="77777777" w:rsidR="00D764FA" w:rsidRPr="00024CD7" w:rsidRDefault="00D764FA" w:rsidP="00D764FA">
            <w:pPr>
              <w:pStyle w:val="Compact"/>
              <w:rPr>
                <w:rFonts w:ascii="Times New Roman" w:hAnsi="Times New Roman"/>
              </w:rPr>
            </w:pPr>
            <w:r w:rsidRPr="00024CD7">
              <w:rPr>
                <w:rFonts w:ascii="Times New Roman" w:hAnsi="Times New Roman"/>
              </w:rPr>
              <w:t>LIANTH</w:t>
            </w:r>
          </w:p>
        </w:tc>
        <w:tc>
          <w:tcPr>
            <w:tcW w:w="992" w:type="dxa"/>
            <w:tcBorders>
              <w:top w:val="single" w:sz="4" w:space="0" w:color="auto"/>
            </w:tcBorders>
            <w:hideMark/>
          </w:tcPr>
          <w:p w14:paraId="30A95CC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C58CD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0.017</w:t>
            </w:r>
          </w:p>
        </w:tc>
        <w:tc>
          <w:tcPr>
            <w:tcW w:w="990" w:type="dxa"/>
            <w:tcBorders>
              <w:top w:val="single" w:sz="4" w:space="0" w:color="auto"/>
            </w:tcBorders>
            <w:hideMark/>
          </w:tcPr>
          <w:p w14:paraId="25CDC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-0.142</w:t>
            </w:r>
          </w:p>
        </w:tc>
        <w:tc>
          <w:tcPr>
            <w:tcW w:w="990" w:type="dxa"/>
            <w:tcBorders>
              <w:top w:val="single" w:sz="4" w:space="0" w:color="auto"/>
            </w:tcBorders>
            <w:hideMark/>
          </w:tcPr>
          <w:p w14:paraId="61BD34A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990" w:type="dxa"/>
            <w:tcBorders>
              <w:top w:val="single" w:sz="4" w:space="0" w:color="auto"/>
            </w:tcBorders>
            <w:hideMark/>
          </w:tcPr>
          <w:p w14:paraId="3299C9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top w:val="single" w:sz="4" w:space="0" w:color="auto"/>
            </w:tcBorders>
            <w:hideMark/>
          </w:tcPr>
          <w:p w14:paraId="50E6577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0.180</w:t>
            </w:r>
          </w:p>
        </w:tc>
        <w:tc>
          <w:tcPr>
            <w:tcW w:w="1042" w:type="dxa"/>
            <w:tcBorders>
              <w:top w:val="single" w:sz="4" w:space="0" w:color="auto"/>
            </w:tcBorders>
            <w:hideMark/>
          </w:tcPr>
          <w:p w14:paraId="2FB60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54.415</w:t>
            </w:r>
          </w:p>
        </w:tc>
      </w:tr>
      <w:tr w:rsidR="00D764FA" w:rsidRPr="00024CD7" w14:paraId="0035B691" w14:textId="77777777" w:rsidTr="00535019">
        <w:tc>
          <w:tcPr>
            <w:tcW w:w="1452" w:type="dxa"/>
            <w:hideMark/>
          </w:tcPr>
          <w:p w14:paraId="330B74C5" w14:textId="77777777" w:rsidR="00D764FA" w:rsidRPr="00024CD7" w:rsidRDefault="00D764FA" w:rsidP="00D764FA">
            <w:pPr>
              <w:pStyle w:val="Compact"/>
              <w:rPr>
                <w:rFonts w:ascii="Times New Roman" w:hAnsi="Times New Roman"/>
              </w:rPr>
            </w:pPr>
            <w:r w:rsidRPr="00024CD7">
              <w:rPr>
                <w:rFonts w:ascii="Times New Roman" w:hAnsi="Times New Roman"/>
              </w:rPr>
              <w:t>LICOMX</w:t>
            </w:r>
          </w:p>
        </w:tc>
        <w:tc>
          <w:tcPr>
            <w:tcW w:w="992" w:type="dxa"/>
            <w:hideMark/>
          </w:tcPr>
          <w:p w14:paraId="598B6D8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hideMark/>
          </w:tcPr>
          <w:p w14:paraId="54F5A43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0.027</w:t>
            </w:r>
          </w:p>
        </w:tc>
        <w:tc>
          <w:tcPr>
            <w:tcW w:w="990" w:type="dxa"/>
            <w:hideMark/>
          </w:tcPr>
          <w:p w14:paraId="6EA9B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990" w:type="dxa"/>
            <w:hideMark/>
          </w:tcPr>
          <w:p w14:paraId="003C916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2EA3C6D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5C10AB9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0.189</w:t>
            </w:r>
          </w:p>
        </w:tc>
        <w:tc>
          <w:tcPr>
            <w:tcW w:w="1042" w:type="dxa"/>
            <w:hideMark/>
          </w:tcPr>
          <w:p w14:paraId="06943EB1" w14:textId="77777777" w:rsidR="00D764FA" w:rsidRPr="00024CD7" w:rsidRDefault="00D764FA" w:rsidP="00D764FA">
            <w:pPr>
              <w:pStyle w:val="Compact"/>
              <w:jc w:val="right"/>
              <w:rPr>
                <w:rFonts w:ascii="Times New Roman" w:hAnsi="Times New Roman"/>
              </w:rPr>
            </w:pPr>
            <w:r w:rsidRPr="00024CD7">
              <w:rPr>
                <w:rFonts w:ascii="Times New Roman" w:hAnsi="Times New Roman"/>
              </w:rPr>
              <w:t>80.806</w:t>
            </w:r>
          </w:p>
        </w:tc>
      </w:tr>
      <w:tr w:rsidR="00D764FA" w:rsidRPr="00024CD7" w14:paraId="28FD0007" w14:textId="77777777" w:rsidTr="00E62064">
        <w:tc>
          <w:tcPr>
            <w:tcW w:w="1452" w:type="dxa"/>
            <w:hideMark/>
          </w:tcPr>
          <w:p w14:paraId="27A976E0" w14:textId="77777777" w:rsidR="00D764FA" w:rsidRPr="00024CD7" w:rsidRDefault="00D764FA" w:rsidP="00D764FA">
            <w:pPr>
              <w:pStyle w:val="Compact"/>
              <w:rPr>
                <w:rFonts w:ascii="Times New Roman" w:hAnsi="Times New Roman"/>
              </w:rPr>
            </w:pPr>
            <w:r w:rsidRPr="00024CD7">
              <w:rPr>
                <w:rFonts w:ascii="Times New Roman" w:hAnsi="Times New Roman"/>
              </w:rPr>
              <w:t>LIDALY</w:t>
            </w:r>
          </w:p>
        </w:tc>
        <w:tc>
          <w:tcPr>
            <w:tcW w:w="992" w:type="dxa"/>
            <w:hideMark/>
          </w:tcPr>
          <w:p w14:paraId="2B422A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467F7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0.046</w:t>
            </w:r>
          </w:p>
        </w:tc>
        <w:tc>
          <w:tcPr>
            <w:tcW w:w="990" w:type="dxa"/>
            <w:hideMark/>
          </w:tcPr>
          <w:p w14:paraId="439F5DF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-0.986</w:t>
            </w:r>
          </w:p>
        </w:tc>
        <w:tc>
          <w:tcPr>
            <w:tcW w:w="990" w:type="dxa"/>
            <w:hideMark/>
          </w:tcPr>
          <w:p w14:paraId="53E3E9C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-0.003</w:t>
            </w:r>
          </w:p>
        </w:tc>
        <w:tc>
          <w:tcPr>
            <w:tcW w:w="990" w:type="dxa"/>
            <w:hideMark/>
          </w:tcPr>
          <w:p w14:paraId="698B46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0.002</w:t>
            </w:r>
          </w:p>
        </w:tc>
        <w:tc>
          <w:tcPr>
            <w:tcW w:w="990" w:type="dxa"/>
            <w:hideMark/>
          </w:tcPr>
          <w:p w14:paraId="1F20C3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0.814</w:t>
            </w:r>
          </w:p>
        </w:tc>
        <w:tc>
          <w:tcPr>
            <w:tcW w:w="1042" w:type="dxa"/>
            <w:hideMark/>
          </w:tcPr>
          <w:p w14:paraId="46E70D7B" w14:textId="77777777" w:rsidR="00D764FA" w:rsidRPr="00024CD7" w:rsidRDefault="00D764FA" w:rsidP="00D764FA">
            <w:pPr>
              <w:pStyle w:val="Compact"/>
              <w:jc w:val="right"/>
              <w:rPr>
                <w:rFonts w:ascii="Times New Roman" w:hAnsi="Times New Roman"/>
              </w:rPr>
            </w:pPr>
            <w:r w:rsidRPr="00024CD7">
              <w:rPr>
                <w:rFonts w:ascii="Times New Roman" w:hAnsi="Times New Roman"/>
              </w:rPr>
              <w:t>6.046</w:t>
            </w:r>
          </w:p>
        </w:tc>
      </w:tr>
      <w:tr w:rsidR="00D764FA" w:rsidRPr="00024CD7" w14:paraId="28A5A999" w14:textId="77777777" w:rsidTr="00E62064">
        <w:tc>
          <w:tcPr>
            <w:tcW w:w="1452" w:type="dxa"/>
            <w:tcBorders>
              <w:bottom w:val="single" w:sz="4" w:space="0" w:color="auto"/>
            </w:tcBorders>
            <w:hideMark/>
          </w:tcPr>
          <w:p w14:paraId="0CF6C5F1" w14:textId="77777777" w:rsidR="00D764FA" w:rsidRPr="00024CD7" w:rsidRDefault="00D764FA" w:rsidP="00D764FA">
            <w:pPr>
              <w:pStyle w:val="Compact"/>
              <w:rPr>
                <w:rFonts w:ascii="Times New Roman" w:hAnsi="Times New Roman"/>
              </w:rPr>
            </w:pPr>
            <w:r w:rsidRPr="00024CD7">
              <w:rPr>
                <w:rFonts w:ascii="Times New Roman" w:hAnsi="Times New Roman"/>
              </w:rPr>
              <w:t>LILMEX</w:t>
            </w:r>
          </w:p>
        </w:tc>
        <w:tc>
          <w:tcPr>
            <w:tcW w:w="992" w:type="dxa"/>
            <w:tcBorders>
              <w:bottom w:val="single" w:sz="4" w:space="0" w:color="auto"/>
            </w:tcBorders>
            <w:hideMark/>
          </w:tcPr>
          <w:p w14:paraId="721467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tcBorders>
              <w:bottom w:val="single" w:sz="4" w:space="0" w:color="auto"/>
            </w:tcBorders>
            <w:hideMark/>
          </w:tcPr>
          <w:p w14:paraId="13CAAF2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0.024</w:t>
            </w:r>
          </w:p>
        </w:tc>
        <w:tc>
          <w:tcPr>
            <w:tcW w:w="990" w:type="dxa"/>
            <w:tcBorders>
              <w:bottom w:val="single" w:sz="4" w:space="0" w:color="auto"/>
            </w:tcBorders>
            <w:hideMark/>
          </w:tcPr>
          <w:p w14:paraId="61AEA3B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-0.190</w:t>
            </w:r>
          </w:p>
        </w:tc>
        <w:tc>
          <w:tcPr>
            <w:tcW w:w="990" w:type="dxa"/>
            <w:tcBorders>
              <w:bottom w:val="single" w:sz="4" w:space="0" w:color="auto"/>
            </w:tcBorders>
            <w:hideMark/>
          </w:tcPr>
          <w:p w14:paraId="03CB8B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32C40B3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25F024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0.176</w:t>
            </w:r>
          </w:p>
        </w:tc>
        <w:tc>
          <w:tcPr>
            <w:tcW w:w="1042" w:type="dxa"/>
            <w:tcBorders>
              <w:bottom w:val="single" w:sz="4" w:space="0" w:color="auto"/>
            </w:tcBorders>
            <w:hideMark/>
          </w:tcPr>
          <w:p w14:paraId="08C5D5BF" w14:textId="77777777" w:rsidR="00D764FA" w:rsidRPr="00024CD7" w:rsidRDefault="00D764FA" w:rsidP="00D764FA">
            <w:pPr>
              <w:pStyle w:val="Compact"/>
              <w:jc w:val="right"/>
              <w:rPr>
                <w:rFonts w:ascii="Times New Roman" w:hAnsi="Times New Roman"/>
              </w:rPr>
            </w:pPr>
            <w:r w:rsidRPr="00024CD7">
              <w:rPr>
                <w:rFonts w:ascii="Times New Roman" w:hAnsi="Times New Roman"/>
              </w:rPr>
              <w:t>61.516</w:t>
            </w:r>
          </w:p>
        </w:tc>
      </w:tr>
      <w:tr w:rsidR="00D764FA" w:rsidRPr="00024CD7" w14:paraId="1BB58111" w14:textId="77777777" w:rsidTr="00E62064">
        <w:tc>
          <w:tcPr>
            <w:tcW w:w="1452" w:type="dxa"/>
            <w:tcBorders>
              <w:top w:val="single" w:sz="4" w:space="0" w:color="auto"/>
            </w:tcBorders>
            <w:hideMark/>
          </w:tcPr>
          <w:p w14:paraId="766828AC" w14:textId="77777777" w:rsidR="00D764FA" w:rsidRPr="00024CD7" w:rsidRDefault="00D764FA" w:rsidP="00D764FA">
            <w:pPr>
              <w:pStyle w:val="Compact"/>
              <w:rPr>
                <w:rFonts w:ascii="Times New Roman" w:hAnsi="Times New Roman"/>
              </w:rPr>
            </w:pPr>
            <w:r w:rsidRPr="00024CD7">
              <w:rPr>
                <w:rFonts w:ascii="Times New Roman" w:hAnsi="Times New Roman"/>
              </w:rPr>
              <w:t>NIDALY</w:t>
            </w:r>
          </w:p>
        </w:tc>
        <w:tc>
          <w:tcPr>
            <w:tcW w:w="992" w:type="dxa"/>
            <w:tcBorders>
              <w:top w:val="single" w:sz="4" w:space="0" w:color="auto"/>
            </w:tcBorders>
            <w:hideMark/>
          </w:tcPr>
          <w:p w14:paraId="14ED43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D3E7B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tcBorders>
              <w:top w:val="single" w:sz="4" w:space="0" w:color="auto"/>
            </w:tcBorders>
            <w:hideMark/>
          </w:tcPr>
          <w:p w14:paraId="1106CF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-0.163</w:t>
            </w:r>
          </w:p>
        </w:tc>
        <w:tc>
          <w:tcPr>
            <w:tcW w:w="990" w:type="dxa"/>
            <w:tcBorders>
              <w:top w:val="single" w:sz="4" w:space="0" w:color="auto"/>
            </w:tcBorders>
            <w:hideMark/>
          </w:tcPr>
          <w:p w14:paraId="4D55F6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tcBorders>
              <w:top w:val="single" w:sz="4" w:space="0" w:color="auto"/>
            </w:tcBorders>
            <w:hideMark/>
          </w:tcPr>
          <w:p w14:paraId="75E113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tcBorders>
              <w:top w:val="single" w:sz="4" w:space="0" w:color="auto"/>
            </w:tcBorders>
            <w:hideMark/>
          </w:tcPr>
          <w:p w14:paraId="56B26A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0.423</w:t>
            </w:r>
          </w:p>
        </w:tc>
        <w:tc>
          <w:tcPr>
            <w:tcW w:w="1042" w:type="dxa"/>
            <w:tcBorders>
              <w:top w:val="single" w:sz="4" w:space="0" w:color="auto"/>
            </w:tcBorders>
            <w:hideMark/>
          </w:tcPr>
          <w:p w14:paraId="15BA00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2.879</w:t>
            </w:r>
          </w:p>
        </w:tc>
      </w:tr>
      <w:tr w:rsidR="00D764FA" w:rsidRPr="00024CD7" w14:paraId="2842A5C8" w14:textId="77777777" w:rsidTr="00535019">
        <w:tc>
          <w:tcPr>
            <w:tcW w:w="1452" w:type="dxa"/>
            <w:hideMark/>
          </w:tcPr>
          <w:p w14:paraId="1D252558" w14:textId="77777777" w:rsidR="00D764FA" w:rsidRPr="00024CD7" w:rsidRDefault="00D764FA" w:rsidP="00D764FA">
            <w:pPr>
              <w:pStyle w:val="Compact"/>
              <w:rPr>
                <w:rFonts w:ascii="Times New Roman" w:hAnsi="Times New Roman"/>
              </w:rPr>
            </w:pPr>
            <w:r w:rsidRPr="00024CD7">
              <w:rPr>
                <w:rFonts w:ascii="Times New Roman" w:hAnsi="Times New Roman"/>
              </w:rPr>
              <w:t>NILMEX</w:t>
            </w:r>
          </w:p>
        </w:tc>
        <w:tc>
          <w:tcPr>
            <w:tcW w:w="992" w:type="dxa"/>
            <w:hideMark/>
          </w:tcPr>
          <w:p w14:paraId="3516755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9A052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hideMark/>
          </w:tcPr>
          <w:p w14:paraId="56829A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6B697A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hideMark/>
          </w:tcPr>
          <w:p w14:paraId="489A70C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hideMark/>
          </w:tcPr>
          <w:p w14:paraId="67E496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0.508</w:t>
            </w:r>
          </w:p>
        </w:tc>
        <w:tc>
          <w:tcPr>
            <w:tcW w:w="1042" w:type="dxa"/>
            <w:hideMark/>
          </w:tcPr>
          <w:p w14:paraId="47732AE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0.192</w:t>
            </w:r>
          </w:p>
        </w:tc>
      </w:tr>
      <w:tr w:rsidR="00D764FA" w:rsidRPr="00024CD7" w14:paraId="15E53A06" w14:textId="77777777" w:rsidTr="00E62064">
        <w:tc>
          <w:tcPr>
            <w:tcW w:w="1452" w:type="dxa"/>
            <w:hideMark/>
          </w:tcPr>
          <w:p w14:paraId="1FDEC1C6" w14:textId="77777777" w:rsidR="00D764FA" w:rsidRPr="00024CD7" w:rsidRDefault="00D764FA" w:rsidP="00D764FA">
            <w:pPr>
              <w:pStyle w:val="Compact"/>
              <w:rPr>
                <w:rFonts w:ascii="Times New Roman" w:hAnsi="Times New Roman"/>
              </w:rPr>
            </w:pPr>
            <w:r w:rsidRPr="00024CD7">
              <w:rPr>
                <w:rFonts w:ascii="Times New Roman" w:hAnsi="Times New Roman"/>
              </w:rPr>
              <w:t>NISHFE</w:t>
            </w:r>
          </w:p>
        </w:tc>
        <w:tc>
          <w:tcPr>
            <w:tcW w:w="992" w:type="dxa"/>
            <w:hideMark/>
          </w:tcPr>
          <w:p w14:paraId="3FBC93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407E4B1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hideMark/>
          </w:tcPr>
          <w:p w14:paraId="4814106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-0.128</w:t>
            </w:r>
          </w:p>
        </w:tc>
        <w:tc>
          <w:tcPr>
            <w:tcW w:w="990" w:type="dxa"/>
            <w:hideMark/>
          </w:tcPr>
          <w:p w14:paraId="44C6A8E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144A32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7D890C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0.116</w:t>
            </w:r>
          </w:p>
        </w:tc>
        <w:tc>
          <w:tcPr>
            <w:tcW w:w="1042" w:type="dxa"/>
            <w:hideMark/>
          </w:tcPr>
          <w:p w14:paraId="0DA1DE9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51C2F447" w14:textId="77777777" w:rsidTr="00E62064">
        <w:tc>
          <w:tcPr>
            <w:tcW w:w="1452" w:type="dxa"/>
            <w:tcBorders>
              <w:bottom w:val="single" w:sz="4" w:space="0" w:color="auto"/>
            </w:tcBorders>
            <w:hideMark/>
          </w:tcPr>
          <w:p w14:paraId="15EFB2A0" w14:textId="77777777" w:rsidR="00D764FA" w:rsidRPr="00024CD7" w:rsidRDefault="00D764FA" w:rsidP="00D764FA">
            <w:pPr>
              <w:pStyle w:val="Compact"/>
              <w:rPr>
                <w:rFonts w:ascii="Times New Roman" w:hAnsi="Times New Roman"/>
              </w:rPr>
            </w:pPr>
            <w:r w:rsidRPr="00024CD7">
              <w:rPr>
                <w:rFonts w:ascii="Times New Roman" w:hAnsi="Times New Roman"/>
              </w:rPr>
              <w:t>NIWUXI</w:t>
            </w:r>
          </w:p>
        </w:tc>
        <w:tc>
          <w:tcPr>
            <w:tcW w:w="992" w:type="dxa"/>
            <w:tcBorders>
              <w:bottom w:val="single" w:sz="4" w:space="0" w:color="auto"/>
            </w:tcBorders>
            <w:hideMark/>
          </w:tcPr>
          <w:p w14:paraId="27A471A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6AA9D3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tcBorders>
              <w:bottom w:val="single" w:sz="4" w:space="0" w:color="auto"/>
            </w:tcBorders>
            <w:hideMark/>
          </w:tcPr>
          <w:p w14:paraId="1027F8B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-0.157</w:t>
            </w:r>
          </w:p>
        </w:tc>
        <w:tc>
          <w:tcPr>
            <w:tcW w:w="990" w:type="dxa"/>
            <w:tcBorders>
              <w:bottom w:val="single" w:sz="4" w:space="0" w:color="auto"/>
            </w:tcBorders>
            <w:hideMark/>
          </w:tcPr>
          <w:p w14:paraId="687E48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4FA38DD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50851A0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1042" w:type="dxa"/>
            <w:tcBorders>
              <w:bottom w:val="single" w:sz="4" w:space="0" w:color="auto"/>
            </w:tcBorders>
            <w:hideMark/>
          </w:tcPr>
          <w:p w14:paraId="1D43EC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1.919</w:t>
            </w:r>
            <w:bookmarkStart w:id="6" w:name="tab%3Ametals_returns_stats"/>
            <w:bookmarkEnd w:id="6"/>
          </w:p>
        </w:tc>
      </w:tr>
    </w:tbl>
    <w:p w14:paraId="3F222DEC" w14:textId="7646414D" w:rsidR="00D764FA" w:rsidRPr="00024CD7" w:rsidRDefault="00D764FA" w:rsidP="00D764FA">
      <w:pPr>
        <w:pStyle w:val="Footnotes"/>
        <w:rPr>
          <w:lang w:val="en-US"/>
        </w:rPr>
      </w:pPr>
      <w:r w:rsidRPr="00024CD7">
        <w:rPr>
          <w:lang w:val="en-US"/>
        </w:rPr>
        <w:t xml:space="preserve">Note: This table presents descriptive statistics for the daily log-returns of the </w:t>
      </w:r>
      <w:proofErr w:type="spellStart"/>
      <w:r w:rsidRPr="00024CD7">
        <w:rPr>
          <w:lang w:val="en-US"/>
        </w:rPr>
        <w:t>analysed</w:t>
      </w:r>
      <w:proofErr w:type="spellEnd"/>
      <w:r w:rsidRPr="00024CD7">
        <w:rPr>
          <w:lang w:val="en-US"/>
        </w:rPr>
        <w:t xml:space="preserve"> metal series from 2021-07-20 to 2025-07-21. </w:t>
      </w:r>
      <w:r w:rsidR="0048275F" w:rsidRPr="0048275F">
        <w:rPr>
          <w:lang w:val="en-US"/>
        </w:rPr>
        <w:t>For a detailed description of the abbreviations, see Table 1.</w:t>
      </w:r>
      <w:r w:rsidR="0048275F">
        <w:rPr>
          <w:lang w:val="en-US"/>
        </w:rPr>
        <w:t xml:space="preserve"> </w:t>
      </w:r>
      <w:r w:rsidRPr="00024CD7">
        <w:rPr>
          <w:lang w:val="en-US"/>
        </w:rPr>
        <w:t xml:space="preserve">Mean, Std (standard deviation), Min, Max, and quartiles (Q1, Q3) provide a summary of the return distributions. </w:t>
      </w:r>
      <w:proofErr w:type="spellStart"/>
      <w:r w:rsidRPr="00024CD7">
        <w:rPr>
          <w:lang w:val="en-US"/>
        </w:rPr>
        <w:t>ZeroPct</w:t>
      </w:r>
      <w:proofErr w:type="spellEnd"/>
      <w:r w:rsidRPr="00024CD7">
        <w:rPr>
          <w:lang w:val="en-US"/>
        </w:rPr>
        <w:t xml:space="preserve"> represents the percentage of days with zero returns in the total sample, serving as a proxy for market illiquidity and trading inactivity. </w:t>
      </w:r>
      <w:r w:rsidRPr="00024CD7">
        <w:rPr>
          <w:lang w:val="en-US"/>
        </w:rPr>
        <w:br/>
      </w:r>
    </w:p>
    <w:p w14:paraId="23BBAF76" w14:textId="6EF9442B" w:rsidR="00D764FA" w:rsidRPr="00024CD7" w:rsidRDefault="00D764FA">
      <w:pPr>
        <w:spacing w:line="240" w:lineRule="auto"/>
        <w:rPr>
          <w:sz w:val="22"/>
          <w:lang w:val="en-US"/>
        </w:rPr>
      </w:pPr>
      <w:r w:rsidRPr="00024CD7">
        <w:rPr>
          <w:lang w:val="en-US"/>
        </w:rPr>
        <w:br w:type="page"/>
      </w:r>
    </w:p>
    <w:p w14:paraId="36DED8FE" w14:textId="77777777" w:rsidR="00D764FA" w:rsidRPr="00024CD7" w:rsidRDefault="00D764FA" w:rsidP="00D764FA">
      <w:pPr>
        <w:pStyle w:val="TableCaption"/>
        <w:rPr>
          <w:rFonts w:ascii="Times New Roman" w:hAnsi="Times New Roman"/>
        </w:rPr>
      </w:pPr>
    </w:p>
    <w:p w14:paraId="1E3754A1" w14:textId="55F1CC6E" w:rsidR="00D764FA" w:rsidRPr="00024CD7" w:rsidRDefault="00D764FA" w:rsidP="00D764FA">
      <w:pPr>
        <w:pStyle w:val="Tabletitle"/>
      </w:pPr>
      <w:r w:rsidRPr="00024CD7">
        <w:t xml:space="preserve">Table </w:t>
      </w:r>
      <w:fldSimple w:instr=" SEQ Table \* ARABIC ">
        <w:r w:rsidR="009044B6">
          <w:rPr>
            <w:noProof/>
          </w:rPr>
          <w:t>3</w:t>
        </w:r>
      </w:fldSimple>
      <w:r w:rsidRPr="00024CD7">
        <w:t xml:space="preserve"> Summary of speculative bubble episodes</w:t>
      </w:r>
    </w:p>
    <w:tbl>
      <w:tblPr>
        <w:tblW w:w="81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1"/>
        <w:gridCol w:w="1276"/>
        <w:gridCol w:w="1275"/>
        <w:gridCol w:w="1276"/>
        <w:gridCol w:w="1276"/>
      </w:tblGrid>
      <w:tr w:rsidR="00D764FA" w:rsidRPr="00024CD7" w14:paraId="296D116D" w14:textId="77777777" w:rsidTr="00683EBF">
        <w:tc>
          <w:tcPr>
            <w:tcW w:w="3011" w:type="dxa"/>
            <w:hideMark/>
          </w:tcPr>
          <w:p w14:paraId="4BB65B7C" w14:textId="77777777" w:rsidR="00D764FA" w:rsidRPr="00024CD7" w:rsidRDefault="00D764FA" w:rsidP="00D764FA">
            <w:pPr>
              <w:pStyle w:val="Compact"/>
              <w:rPr>
                <w:rFonts w:ascii="Times New Roman" w:hAnsi="Times New Roman"/>
              </w:rPr>
            </w:pPr>
            <w:r w:rsidRPr="00024CD7">
              <w:rPr>
                <w:rFonts w:ascii="Times New Roman" w:hAnsi="Times New Roman"/>
              </w:rPr>
              <w:t>Cobalt</w:t>
            </w:r>
          </w:p>
        </w:tc>
        <w:tc>
          <w:tcPr>
            <w:tcW w:w="1276" w:type="dxa"/>
            <w:hideMark/>
          </w:tcPr>
          <w:p w14:paraId="2DE08A53"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COCOMX</w:t>
            </w:r>
          </w:p>
        </w:tc>
        <w:tc>
          <w:tcPr>
            <w:tcW w:w="1275" w:type="dxa"/>
            <w:hideMark/>
          </w:tcPr>
          <w:p w14:paraId="1A2769A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CODALY</w:t>
            </w:r>
          </w:p>
        </w:tc>
        <w:tc>
          <w:tcPr>
            <w:tcW w:w="1276" w:type="dxa"/>
            <w:hideMark/>
          </w:tcPr>
          <w:p w14:paraId="750DA4F4"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COLMEX</w:t>
            </w:r>
          </w:p>
        </w:tc>
        <w:tc>
          <w:tcPr>
            <w:tcW w:w="1276" w:type="dxa"/>
            <w:hideMark/>
          </w:tcPr>
          <w:p w14:paraId="277E0AB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COWUXI</w:t>
            </w:r>
          </w:p>
        </w:tc>
      </w:tr>
      <w:tr w:rsidR="00D764FA" w:rsidRPr="00024CD7" w14:paraId="2A729D46" w14:textId="77777777" w:rsidTr="00683EBF">
        <w:tc>
          <w:tcPr>
            <w:tcW w:w="3011" w:type="dxa"/>
            <w:hideMark/>
          </w:tcPr>
          <w:p w14:paraId="5842565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3F830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c>
          <w:tcPr>
            <w:tcW w:w="1275" w:type="dxa"/>
            <w:hideMark/>
          </w:tcPr>
          <w:p w14:paraId="63764FAA" w14:textId="77777777" w:rsidR="00D764FA" w:rsidRPr="00024CD7" w:rsidRDefault="00D764FA" w:rsidP="00D764FA">
            <w:pPr>
              <w:pStyle w:val="Compact"/>
              <w:jc w:val="right"/>
              <w:rPr>
                <w:rFonts w:ascii="Times New Roman" w:hAnsi="Times New Roman"/>
              </w:rPr>
            </w:pPr>
            <w:r w:rsidRPr="00024CD7">
              <w:rPr>
                <w:rFonts w:ascii="Times New Roman" w:hAnsi="Times New Roman"/>
              </w:rPr>
              <w:t>38</w:t>
            </w:r>
          </w:p>
        </w:tc>
        <w:tc>
          <w:tcPr>
            <w:tcW w:w="1276" w:type="dxa"/>
            <w:hideMark/>
          </w:tcPr>
          <w:p w14:paraId="4CDB295D" w14:textId="77777777" w:rsidR="00D764FA" w:rsidRPr="00024CD7" w:rsidRDefault="00D764FA" w:rsidP="00D764FA">
            <w:pPr>
              <w:pStyle w:val="Compact"/>
              <w:jc w:val="right"/>
              <w:rPr>
                <w:rFonts w:ascii="Times New Roman" w:hAnsi="Times New Roman"/>
              </w:rPr>
            </w:pPr>
            <w:r w:rsidRPr="00024CD7">
              <w:rPr>
                <w:rFonts w:ascii="Times New Roman" w:hAnsi="Times New Roman"/>
              </w:rPr>
              <w:t>68</w:t>
            </w:r>
          </w:p>
        </w:tc>
        <w:tc>
          <w:tcPr>
            <w:tcW w:w="1276" w:type="dxa"/>
            <w:hideMark/>
          </w:tcPr>
          <w:p w14:paraId="0ECEB140" w14:textId="77777777" w:rsidR="00D764FA" w:rsidRPr="00024CD7" w:rsidRDefault="00D764FA" w:rsidP="00D764FA">
            <w:pPr>
              <w:pStyle w:val="Compact"/>
              <w:jc w:val="right"/>
              <w:rPr>
                <w:rFonts w:ascii="Times New Roman" w:hAnsi="Times New Roman"/>
              </w:rPr>
            </w:pPr>
            <w:r w:rsidRPr="00024CD7">
              <w:rPr>
                <w:rFonts w:ascii="Times New Roman" w:hAnsi="Times New Roman"/>
              </w:rPr>
              <w:t>70</w:t>
            </w:r>
          </w:p>
        </w:tc>
      </w:tr>
      <w:tr w:rsidR="00D764FA" w:rsidRPr="00024CD7" w14:paraId="687C387D" w14:textId="77777777" w:rsidTr="00683EBF">
        <w:tc>
          <w:tcPr>
            <w:tcW w:w="3011" w:type="dxa"/>
            <w:hideMark/>
          </w:tcPr>
          <w:p w14:paraId="0A0842AD"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9F29B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6B50B13C" w14:textId="77777777" w:rsidR="00D764FA" w:rsidRPr="00024CD7" w:rsidRDefault="00D764FA" w:rsidP="00D764FA">
            <w:pPr>
              <w:pStyle w:val="Compact"/>
              <w:jc w:val="right"/>
              <w:rPr>
                <w:rFonts w:ascii="Times New Roman" w:hAnsi="Times New Roman"/>
              </w:rPr>
            </w:pPr>
            <w:r w:rsidRPr="00024CD7">
              <w:rPr>
                <w:rFonts w:ascii="Times New Roman" w:hAnsi="Times New Roman"/>
              </w:rPr>
              <w:t>3</w:t>
            </w:r>
          </w:p>
        </w:tc>
        <w:tc>
          <w:tcPr>
            <w:tcW w:w="1276" w:type="dxa"/>
            <w:hideMark/>
          </w:tcPr>
          <w:p w14:paraId="11AC45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18E01B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r>
      <w:tr w:rsidR="00D764FA" w:rsidRPr="00024CD7" w14:paraId="4AEE4ABD" w14:textId="77777777" w:rsidTr="00683EBF">
        <w:tc>
          <w:tcPr>
            <w:tcW w:w="3011" w:type="dxa"/>
            <w:hideMark/>
          </w:tcPr>
          <w:p w14:paraId="00900C46" w14:textId="77777777" w:rsidR="00D764FA" w:rsidRPr="00024CD7" w:rsidRDefault="00D764FA" w:rsidP="00D764FA">
            <w:pPr>
              <w:pStyle w:val="Compact"/>
              <w:rPr>
                <w:rFonts w:ascii="Times New Roman" w:hAnsi="Times New Roman"/>
              </w:rPr>
            </w:pPr>
            <w:r w:rsidRPr="00024CD7">
              <w:rPr>
                <w:rFonts w:ascii="Times New Roman" w:hAnsi="Times New Roman"/>
              </w:rPr>
              <w:t>Copper</w:t>
            </w:r>
          </w:p>
        </w:tc>
        <w:tc>
          <w:tcPr>
            <w:tcW w:w="1276" w:type="dxa"/>
            <w:hideMark/>
          </w:tcPr>
          <w:p w14:paraId="31338C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CUCOMX</w:t>
            </w:r>
          </w:p>
        </w:tc>
        <w:tc>
          <w:tcPr>
            <w:tcW w:w="1275" w:type="dxa"/>
            <w:hideMark/>
          </w:tcPr>
          <w:p w14:paraId="219D52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CUDALY</w:t>
            </w:r>
          </w:p>
        </w:tc>
        <w:tc>
          <w:tcPr>
            <w:tcW w:w="1276" w:type="dxa"/>
            <w:hideMark/>
          </w:tcPr>
          <w:p w14:paraId="2B809D4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CULMEX</w:t>
            </w:r>
          </w:p>
        </w:tc>
        <w:tc>
          <w:tcPr>
            <w:tcW w:w="1276" w:type="dxa"/>
            <w:hideMark/>
          </w:tcPr>
          <w:p w14:paraId="001F46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CUSHFE</w:t>
            </w:r>
          </w:p>
        </w:tc>
      </w:tr>
      <w:tr w:rsidR="00D764FA" w:rsidRPr="00024CD7" w14:paraId="79E5C413" w14:textId="77777777" w:rsidTr="00683EBF">
        <w:tc>
          <w:tcPr>
            <w:tcW w:w="3011" w:type="dxa"/>
            <w:hideMark/>
          </w:tcPr>
          <w:p w14:paraId="32B60A91"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CC03B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45B02F5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13154785"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326579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39</w:t>
            </w:r>
          </w:p>
        </w:tc>
      </w:tr>
      <w:tr w:rsidR="00D764FA" w:rsidRPr="00024CD7" w14:paraId="22FD3250" w14:textId="77777777" w:rsidTr="00683EBF">
        <w:tc>
          <w:tcPr>
            <w:tcW w:w="3011" w:type="dxa"/>
            <w:hideMark/>
          </w:tcPr>
          <w:p w14:paraId="7EA01737"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EA7A5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60785D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049994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12D57BD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76A42992" w14:textId="77777777" w:rsidTr="00683EBF">
        <w:tc>
          <w:tcPr>
            <w:tcW w:w="3011" w:type="dxa"/>
            <w:hideMark/>
          </w:tcPr>
          <w:p w14:paraId="667FF1EA" w14:textId="77777777" w:rsidR="00D764FA" w:rsidRPr="00024CD7" w:rsidRDefault="00D764FA" w:rsidP="00D764FA">
            <w:pPr>
              <w:pStyle w:val="Compact"/>
              <w:rPr>
                <w:rFonts w:ascii="Times New Roman" w:hAnsi="Times New Roman"/>
              </w:rPr>
            </w:pPr>
            <w:r w:rsidRPr="00024CD7">
              <w:rPr>
                <w:rFonts w:ascii="Times New Roman" w:hAnsi="Times New Roman"/>
              </w:rPr>
              <w:t>Lithium</w:t>
            </w:r>
          </w:p>
        </w:tc>
        <w:tc>
          <w:tcPr>
            <w:tcW w:w="1276" w:type="dxa"/>
            <w:hideMark/>
          </w:tcPr>
          <w:p w14:paraId="55708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LIANTH</w:t>
            </w:r>
          </w:p>
        </w:tc>
        <w:tc>
          <w:tcPr>
            <w:tcW w:w="1275" w:type="dxa"/>
            <w:hideMark/>
          </w:tcPr>
          <w:p w14:paraId="595613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LICOMX</w:t>
            </w:r>
          </w:p>
        </w:tc>
        <w:tc>
          <w:tcPr>
            <w:tcW w:w="1276" w:type="dxa"/>
            <w:hideMark/>
          </w:tcPr>
          <w:p w14:paraId="56280F8F"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LIDALY</w:t>
            </w:r>
          </w:p>
        </w:tc>
        <w:tc>
          <w:tcPr>
            <w:tcW w:w="1276" w:type="dxa"/>
            <w:hideMark/>
          </w:tcPr>
          <w:p w14:paraId="59E9BA7D"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LILMEX</w:t>
            </w:r>
          </w:p>
        </w:tc>
      </w:tr>
      <w:tr w:rsidR="00D764FA" w:rsidRPr="00024CD7" w14:paraId="7422F9A6" w14:textId="77777777" w:rsidTr="00683EBF">
        <w:tc>
          <w:tcPr>
            <w:tcW w:w="3011" w:type="dxa"/>
            <w:hideMark/>
          </w:tcPr>
          <w:p w14:paraId="12DBAFEA"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10F870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105</w:t>
            </w:r>
          </w:p>
        </w:tc>
        <w:tc>
          <w:tcPr>
            <w:tcW w:w="1275" w:type="dxa"/>
            <w:hideMark/>
          </w:tcPr>
          <w:p w14:paraId="260C96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4BE39847" w14:textId="77777777" w:rsidR="00D764FA" w:rsidRPr="00024CD7" w:rsidRDefault="00D764FA" w:rsidP="00D764FA">
            <w:pPr>
              <w:pStyle w:val="Compact"/>
              <w:jc w:val="right"/>
              <w:rPr>
                <w:rFonts w:ascii="Times New Roman" w:hAnsi="Times New Roman"/>
              </w:rPr>
            </w:pPr>
            <w:r w:rsidRPr="00024CD7">
              <w:rPr>
                <w:rFonts w:ascii="Times New Roman" w:hAnsi="Times New Roman"/>
              </w:rPr>
              <w:t>95</w:t>
            </w:r>
          </w:p>
        </w:tc>
        <w:tc>
          <w:tcPr>
            <w:tcW w:w="1276" w:type="dxa"/>
            <w:hideMark/>
          </w:tcPr>
          <w:p w14:paraId="7555B58E" w14:textId="77777777" w:rsidR="00D764FA" w:rsidRPr="00024CD7" w:rsidRDefault="00D764FA" w:rsidP="00D764FA">
            <w:pPr>
              <w:pStyle w:val="Compact"/>
              <w:jc w:val="right"/>
              <w:rPr>
                <w:rFonts w:ascii="Times New Roman" w:hAnsi="Times New Roman"/>
              </w:rPr>
            </w:pPr>
            <w:r w:rsidRPr="00024CD7">
              <w:rPr>
                <w:rFonts w:ascii="Times New Roman" w:hAnsi="Times New Roman"/>
              </w:rPr>
              <w:t>90</w:t>
            </w:r>
          </w:p>
        </w:tc>
      </w:tr>
      <w:tr w:rsidR="00D764FA" w:rsidRPr="00024CD7" w14:paraId="3748CF40" w14:textId="77777777" w:rsidTr="00683EBF">
        <w:tc>
          <w:tcPr>
            <w:tcW w:w="3011" w:type="dxa"/>
            <w:hideMark/>
          </w:tcPr>
          <w:p w14:paraId="7CD05940"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FFCE781"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5" w:type="dxa"/>
            <w:hideMark/>
          </w:tcPr>
          <w:p w14:paraId="044A38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2E636B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5</w:t>
            </w:r>
          </w:p>
        </w:tc>
        <w:tc>
          <w:tcPr>
            <w:tcW w:w="1276" w:type="dxa"/>
            <w:hideMark/>
          </w:tcPr>
          <w:p w14:paraId="370E36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r>
      <w:tr w:rsidR="00D764FA" w:rsidRPr="00024CD7" w14:paraId="29513C90" w14:textId="77777777" w:rsidTr="00683EBF">
        <w:tc>
          <w:tcPr>
            <w:tcW w:w="3011" w:type="dxa"/>
            <w:hideMark/>
          </w:tcPr>
          <w:p w14:paraId="7F43A3F0" w14:textId="77777777" w:rsidR="00D764FA" w:rsidRPr="00024CD7" w:rsidRDefault="00D764FA" w:rsidP="00D764FA">
            <w:pPr>
              <w:pStyle w:val="Compact"/>
              <w:rPr>
                <w:rFonts w:ascii="Times New Roman" w:hAnsi="Times New Roman"/>
              </w:rPr>
            </w:pPr>
            <w:r w:rsidRPr="00024CD7">
              <w:rPr>
                <w:rFonts w:ascii="Times New Roman" w:hAnsi="Times New Roman"/>
              </w:rPr>
              <w:t>Nickel</w:t>
            </w:r>
          </w:p>
        </w:tc>
        <w:tc>
          <w:tcPr>
            <w:tcW w:w="1276" w:type="dxa"/>
            <w:hideMark/>
          </w:tcPr>
          <w:p w14:paraId="60F51849"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NIDALY</w:t>
            </w:r>
          </w:p>
        </w:tc>
        <w:tc>
          <w:tcPr>
            <w:tcW w:w="1275" w:type="dxa"/>
            <w:hideMark/>
          </w:tcPr>
          <w:p w14:paraId="35B18A27"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NILMEX</w:t>
            </w:r>
          </w:p>
        </w:tc>
        <w:tc>
          <w:tcPr>
            <w:tcW w:w="1276" w:type="dxa"/>
            <w:hideMark/>
          </w:tcPr>
          <w:p w14:paraId="770DC7A4"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NISHFE</w:t>
            </w:r>
          </w:p>
        </w:tc>
        <w:tc>
          <w:tcPr>
            <w:tcW w:w="1276" w:type="dxa"/>
            <w:hideMark/>
          </w:tcPr>
          <w:p w14:paraId="66B0D7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NIWUXI</w:t>
            </w:r>
          </w:p>
        </w:tc>
      </w:tr>
      <w:tr w:rsidR="00D764FA" w:rsidRPr="00024CD7" w14:paraId="32856D32" w14:textId="77777777" w:rsidTr="00683EBF">
        <w:tc>
          <w:tcPr>
            <w:tcW w:w="3011" w:type="dxa"/>
            <w:hideMark/>
          </w:tcPr>
          <w:p w14:paraId="2C8D1E0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3CC6CC56"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w:t>
            </w:r>
          </w:p>
        </w:tc>
        <w:tc>
          <w:tcPr>
            <w:tcW w:w="1275" w:type="dxa"/>
            <w:hideMark/>
          </w:tcPr>
          <w:p w14:paraId="3199E3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9</w:t>
            </w:r>
          </w:p>
        </w:tc>
        <w:tc>
          <w:tcPr>
            <w:tcW w:w="1276" w:type="dxa"/>
            <w:hideMark/>
          </w:tcPr>
          <w:p w14:paraId="77B95A52"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c>
          <w:tcPr>
            <w:tcW w:w="1276" w:type="dxa"/>
            <w:hideMark/>
          </w:tcPr>
          <w:p w14:paraId="1CCAFE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0820D204" w14:textId="77777777" w:rsidTr="00683EBF">
        <w:tc>
          <w:tcPr>
            <w:tcW w:w="3011" w:type="dxa"/>
            <w:hideMark/>
          </w:tcPr>
          <w:p w14:paraId="43BAEC22"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501AD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5C67A0C4"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0E8F5B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2CB3C88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bookmarkStart w:id="7" w:name="tab%3Abubble_summary_up"/>
            <w:bookmarkEnd w:id="7"/>
          </w:p>
        </w:tc>
      </w:tr>
    </w:tbl>
    <w:p w14:paraId="6BB9181C" w14:textId="64877F5A" w:rsidR="00D764FA" w:rsidRPr="00024CD7" w:rsidRDefault="00683EBF" w:rsidP="00683EBF">
      <w:pPr>
        <w:pStyle w:val="Footnotes"/>
        <w:rPr>
          <w:lang w:val="en-US"/>
        </w:rPr>
      </w:pPr>
      <w:r>
        <w:rPr>
          <w:lang w:val="en-US"/>
        </w:rPr>
        <w:t xml:space="preserve">Note: This table presents the number of bubbles and number of days in bubble period for each metal separately over the sample period from </w:t>
      </w:r>
      <w:r w:rsidRPr="00683EBF">
        <w:rPr>
          <w:lang w:val="en-US"/>
        </w:rPr>
        <w:t>2021-07-19 to 2025-07-21</w:t>
      </w:r>
      <w:r>
        <w:rPr>
          <w:lang w:val="en-US"/>
        </w:rPr>
        <w:t>.</w:t>
      </w:r>
      <w:r w:rsidR="0048275F">
        <w:rPr>
          <w:lang w:val="en-US"/>
        </w:rPr>
        <w:t xml:space="preserve"> </w:t>
      </w:r>
      <w:r w:rsidR="0048275F">
        <w:t>For a detailed description of the abbreviations, see Table 1.</w:t>
      </w:r>
    </w:p>
    <w:p w14:paraId="3F7634E5" w14:textId="77777777" w:rsidR="00D764FA" w:rsidRPr="00024CD7" w:rsidRDefault="00D764FA">
      <w:pPr>
        <w:spacing w:line="240" w:lineRule="auto"/>
        <w:rPr>
          <w:sz w:val="22"/>
          <w:lang w:val="en-US"/>
        </w:rPr>
      </w:pPr>
      <w:r w:rsidRPr="00024CD7">
        <w:rPr>
          <w:lang w:val="en-US"/>
        </w:rPr>
        <w:br w:type="page"/>
      </w:r>
    </w:p>
    <w:p w14:paraId="28B7E33D" w14:textId="4D726A12" w:rsidR="00D764FA" w:rsidRDefault="00D764FA" w:rsidP="00D10CE2">
      <w:pPr>
        <w:pStyle w:val="Tabletitle"/>
        <w:rPr>
          <w:lang w:val="en-US"/>
        </w:rPr>
      </w:pPr>
      <w:r w:rsidRPr="00024CD7">
        <w:rPr>
          <w:lang w:val="en-US"/>
        </w:rPr>
        <w:t>TABLE 4: Results of the Johansen Cointegration Tests</w:t>
      </w:r>
    </w:p>
    <w:p w14:paraId="1C9B5FF2" w14:textId="5D9C3C47" w:rsidR="00E14F78" w:rsidRDefault="00E14F78" w:rsidP="009644EF">
      <w:pPr>
        <w:rPr>
          <w:sz w:val="20"/>
          <w:szCs w:val="20"/>
        </w:rPr>
      </w:pPr>
      <w:r>
        <w:rPr>
          <w:lang w:val="en-US"/>
        </w:rPr>
        <w:fldChar w:fldCharType="begin"/>
      </w:r>
      <w:r>
        <w:rPr>
          <w:lang w:val="en-US"/>
        </w:rPr>
        <w:instrText xml:space="preserve"> LINK </w:instrText>
      </w:r>
      <w:r w:rsidR="005720EA">
        <w:rPr>
          <w:lang w:val="en-US"/>
        </w:rPr>
        <w:instrText xml:space="preserve">Excel.SheetBinaryMacroEnabled.12 "C:\\Users\\user\\OneDrive - Uniwersytet Ekonomiczny w Poznaniu\\Dokumenty\\Publikacje\\Metals\\metals\\R\\tables\\johansen_results.csv" johansen_results!W1K1:W9K11 </w:instrText>
      </w:r>
      <w:r>
        <w:rPr>
          <w:lang w:val="en-US"/>
        </w:rPr>
        <w:instrText xml:space="preserve">\a \f 5 \h  \* MERGEFORMAT </w:instrText>
      </w:r>
      <w:r>
        <w:rPr>
          <w:lang w:val="en-US"/>
        </w:rPr>
        <w:fldChar w:fldCharType="separate"/>
      </w:r>
    </w:p>
    <w:tbl>
      <w:tblPr>
        <w:tblStyle w:val="Tabela-Siatka"/>
        <w:tblW w:w="10072" w:type="dxa"/>
        <w:tblLook w:val="04A0" w:firstRow="1" w:lastRow="0" w:firstColumn="1" w:lastColumn="0" w:noHBand="0" w:noVBand="1"/>
      </w:tblPr>
      <w:tblGrid>
        <w:gridCol w:w="1145"/>
        <w:gridCol w:w="681"/>
        <w:gridCol w:w="1151"/>
        <w:gridCol w:w="1151"/>
        <w:gridCol w:w="1116"/>
        <w:gridCol w:w="601"/>
        <w:gridCol w:w="869"/>
        <w:gridCol w:w="1216"/>
        <w:gridCol w:w="960"/>
        <w:gridCol w:w="1182"/>
      </w:tblGrid>
      <w:tr w:rsidR="00E14F78" w:rsidRPr="00E14F78" w14:paraId="426154CA" w14:textId="77777777" w:rsidTr="00E14F78">
        <w:trPr>
          <w:trHeight w:val="288"/>
        </w:trPr>
        <w:tc>
          <w:tcPr>
            <w:tcW w:w="1145" w:type="dxa"/>
            <w:noWrap/>
            <w:hideMark/>
          </w:tcPr>
          <w:p w14:paraId="48DDCF32" w14:textId="42323EAE" w:rsidR="00E14F78" w:rsidRPr="00E14F78" w:rsidRDefault="00E14F78" w:rsidP="00E14F78">
            <w:pPr>
              <w:spacing w:line="360" w:lineRule="auto"/>
              <w:rPr>
                <w:sz w:val="22"/>
                <w:szCs w:val="22"/>
              </w:rPr>
            </w:pPr>
            <w:r w:rsidRPr="00E14F78">
              <w:rPr>
                <w:sz w:val="22"/>
                <w:szCs w:val="22"/>
              </w:rPr>
              <w:t>Metal</w:t>
            </w:r>
          </w:p>
        </w:tc>
        <w:tc>
          <w:tcPr>
            <w:tcW w:w="681" w:type="dxa"/>
            <w:noWrap/>
            <w:hideMark/>
          </w:tcPr>
          <w:p w14:paraId="600B3091" w14:textId="77777777" w:rsidR="00E14F78" w:rsidRPr="00E14F78" w:rsidRDefault="00E14F78" w:rsidP="00E14F78">
            <w:pPr>
              <w:spacing w:line="360" w:lineRule="auto"/>
              <w:rPr>
                <w:sz w:val="22"/>
                <w:szCs w:val="22"/>
              </w:rPr>
            </w:pPr>
            <w:r w:rsidRPr="00E14F78">
              <w:rPr>
                <w:sz w:val="22"/>
                <w:szCs w:val="22"/>
              </w:rPr>
              <w:t>Rank</w:t>
            </w:r>
          </w:p>
        </w:tc>
        <w:tc>
          <w:tcPr>
            <w:tcW w:w="1151" w:type="dxa"/>
            <w:noWrap/>
            <w:hideMark/>
          </w:tcPr>
          <w:p w14:paraId="28531C32" w14:textId="77777777" w:rsidR="00E14F78" w:rsidRPr="00E14F78" w:rsidRDefault="00E14F78" w:rsidP="00E14F78">
            <w:pPr>
              <w:spacing w:line="360" w:lineRule="auto"/>
              <w:rPr>
                <w:sz w:val="22"/>
                <w:szCs w:val="22"/>
              </w:rPr>
            </w:pPr>
            <w:r w:rsidRPr="00E14F78">
              <w:rPr>
                <w:sz w:val="22"/>
                <w:szCs w:val="22"/>
              </w:rPr>
              <w:t>r=0</w:t>
            </w:r>
          </w:p>
        </w:tc>
        <w:tc>
          <w:tcPr>
            <w:tcW w:w="1151" w:type="dxa"/>
            <w:noWrap/>
            <w:hideMark/>
          </w:tcPr>
          <w:p w14:paraId="176D7326" w14:textId="07F77494" w:rsidR="00E14F78" w:rsidRPr="00E14F78" w:rsidRDefault="00E14F78" w:rsidP="00E14F78">
            <w:pPr>
              <w:spacing w:line="360" w:lineRule="auto"/>
              <w:rPr>
                <w:sz w:val="22"/>
                <w:szCs w:val="22"/>
              </w:rPr>
            </w:pPr>
            <w:r w:rsidRPr="00E14F78">
              <w:rPr>
                <w:sz w:val="22"/>
                <w:szCs w:val="22"/>
              </w:rPr>
              <w:t>r=1</w:t>
            </w:r>
          </w:p>
        </w:tc>
        <w:tc>
          <w:tcPr>
            <w:tcW w:w="1116" w:type="dxa"/>
            <w:noWrap/>
            <w:hideMark/>
          </w:tcPr>
          <w:p w14:paraId="5CE72922" w14:textId="7B9D54AB" w:rsidR="00E14F78" w:rsidRPr="00E14F78" w:rsidRDefault="00E14F78" w:rsidP="00E14F78">
            <w:pPr>
              <w:spacing w:line="360" w:lineRule="auto"/>
              <w:rPr>
                <w:sz w:val="22"/>
                <w:szCs w:val="22"/>
              </w:rPr>
            </w:pPr>
            <w:r w:rsidRPr="00E14F78">
              <w:rPr>
                <w:sz w:val="22"/>
                <w:szCs w:val="22"/>
              </w:rPr>
              <w:t>r=2</w:t>
            </w:r>
          </w:p>
        </w:tc>
        <w:tc>
          <w:tcPr>
            <w:tcW w:w="601" w:type="dxa"/>
            <w:noWrap/>
            <w:hideMark/>
          </w:tcPr>
          <w:p w14:paraId="2B21DD43" w14:textId="14D9BC6C" w:rsidR="00E14F78" w:rsidRPr="00E14F78" w:rsidRDefault="00E14F78" w:rsidP="00E14F78">
            <w:pPr>
              <w:spacing w:line="360" w:lineRule="auto"/>
              <w:rPr>
                <w:sz w:val="22"/>
                <w:szCs w:val="22"/>
              </w:rPr>
            </w:pPr>
            <w:r w:rsidRPr="00E14F78">
              <w:rPr>
                <w:sz w:val="22"/>
                <w:szCs w:val="22"/>
              </w:rPr>
              <w:t>r=3</w:t>
            </w:r>
          </w:p>
        </w:tc>
        <w:tc>
          <w:tcPr>
            <w:tcW w:w="869" w:type="dxa"/>
            <w:noWrap/>
            <w:hideMark/>
          </w:tcPr>
          <w:p w14:paraId="4D3219FF" w14:textId="7B8090F8" w:rsidR="00E14F78" w:rsidRPr="00E14F78" w:rsidRDefault="00E14F78" w:rsidP="00E14F78">
            <w:pPr>
              <w:spacing w:line="360" w:lineRule="auto"/>
              <w:rPr>
                <w:sz w:val="22"/>
                <w:szCs w:val="22"/>
              </w:rPr>
            </w:pPr>
            <w:r w:rsidRPr="00E14F78">
              <w:rPr>
                <w:sz w:val="22"/>
                <w:szCs w:val="22"/>
              </w:rPr>
              <w:t xml:space="preserve">Max </w:t>
            </w:r>
            <w:r>
              <w:rPr>
                <w:sz w:val="22"/>
                <w:szCs w:val="22"/>
              </w:rPr>
              <w:t>α</w:t>
            </w:r>
          </w:p>
        </w:tc>
        <w:tc>
          <w:tcPr>
            <w:tcW w:w="1216" w:type="dxa"/>
            <w:noWrap/>
            <w:hideMark/>
          </w:tcPr>
          <w:p w14:paraId="161C307E" w14:textId="77777777" w:rsidR="00E14F78" w:rsidRPr="00E14F78" w:rsidRDefault="00E14F78" w:rsidP="00E14F78">
            <w:pPr>
              <w:spacing w:line="360" w:lineRule="auto"/>
              <w:rPr>
                <w:sz w:val="22"/>
                <w:szCs w:val="22"/>
              </w:rPr>
            </w:pPr>
            <w:r w:rsidRPr="00E14F78">
              <w:rPr>
                <w:sz w:val="22"/>
                <w:szCs w:val="22"/>
              </w:rPr>
              <w:t>Follower</w:t>
            </w:r>
          </w:p>
        </w:tc>
        <w:tc>
          <w:tcPr>
            <w:tcW w:w="960" w:type="dxa"/>
            <w:noWrap/>
            <w:hideMark/>
          </w:tcPr>
          <w:p w14:paraId="527D17FB" w14:textId="12B316DB" w:rsidR="00E14F78" w:rsidRPr="00E14F78" w:rsidRDefault="00E14F78" w:rsidP="00E14F78">
            <w:pPr>
              <w:spacing w:line="360" w:lineRule="auto"/>
              <w:rPr>
                <w:sz w:val="22"/>
                <w:szCs w:val="22"/>
              </w:rPr>
            </w:pPr>
            <w:r w:rsidRPr="00E14F78">
              <w:rPr>
                <w:sz w:val="22"/>
                <w:szCs w:val="22"/>
              </w:rPr>
              <w:t xml:space="preserve">Min </w:t>
            </w:r>
            <w:r>
              <w:rPr>
                <w:sz w:val="22"/>
                <w:szCs w:val="22"/>
              </w:rPr>
              <w:t>α</w:t>
            </w:r>
          </w:p>
        </w:tc>
        <w:tc>
          <w:tcPr>
            <w:tcW w:w="1182" w:type="dxa"/>
            <w:noWrap/>
            <w:hideMark/>
          </w:tcPr>
          <w:p w14:paraId="240DD998" w14:textId="77777777" w:rsidR="00E14F78" w:rsidRPr="00E14F78" w:rsidRDefault="00E14F78" w:rsidP="00E14F78">
            <w:pPr>
              <w:spacing w:line="360" w:lineRule="auto"/>
              <w:rPr>
                <w:sz w:val="22"/>
                <w:szCs w:val="22"/>
              </w:rPr>
            </w:pPr>
            <w:r w:rsidRPr="00E14F78">
              <w:rPr>
                <w:sz w:val="22"/>
                <w:szCs w:val="22"/>
              </w:rPr>
              <w:t>Leader</w:t>
            </w:r>
          </w:p>
        </w:tc>
      </w:tr>
      <w:tr w:rsidR="00E14F78" w:rsidRPr="00E14F78" w14:paraId="08DF4C67" w14:textId="77777777" w:rsidTr="00E14F78">
        <w:trPr>
          <w:trHeight w:val="288"/>
        </w:trPr>
        <w:tc>
          <w:tcPr>
            <w:tcW w:w="10072" w:type="dxa"/>
            <w:gridSpan w:val="10"/>
            <w:noWrap/>
          </w:tcPr>
          <w:p w14:paraId="07DEC95B" w14:textId="79716E30" w:rsidR="00E14F78" w:rsidRPr="00E14F78" w:rsidRDefault="00E14F78" w:rsidP="00E14F78">
            <w:pPr>
              <w:spacing w:line="360" w:lineRule="auto"/>
              <w:rPr>
                <w:sz w:val="22"/>
                <w:szCs w:val="22"/>
              </w:rPr>
            </w:pPr>
            <w:r w:rsidRPr="00E14F78">
              <w:rPr>
                <w:sz w:val="22"/>
                <w:szCs w:val="22"/>
              </w:rPr>
              <w:t>Raw</w:t>
            </w:r>
          </w:p>
        </w:tc>
      </w:tr>
      <w:tr w:rsidR="00E14F78" w:rsidRPr="00E14F78" w14:paraId="2747631E" w14:textId="77777777" w:rsidTr="00E14F78">
        <w:trPr>
          <w:trHeight w:val="288"/>
        </w:trPr>
        <w:tc>
          <w:tcPr>
            <w:tcW w:w="1145" w:type="dxa"/>
            <w:noWrap/>
            <w:hideMark/>
          </w:tcPr>
          <w:p w14:paraId="2AFEA88B"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105227DE"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3AD0321C" w14:textId="77777777" w:rsidR="00E14F78" w:rsidRPr="00E14F78" w:rsidRDefault="00E14F78" w:rsidP="00E14F78">
            <w:pPr>
              <w:spacing w:line="360" w:lineRule="auto"/>
              <w:rPr>
                <w:sz w:val="22"/>
                <w:szCs w:val="22"/>
              </w:rPr>
            </w:pPr>
            <w:r w:rsidRPr="00E14F78">
              <w:rPr>
                <w:sz w:val="22"/>
                <w:szCs w:val="22"/>
              </w:rPr>
              <w:t>74.45***</w:t>
            </w:r>
          </w:p>
        </w:tc>
        <w:tc>
          <w:tcPr>
            <w:tcW w:w="1151" w:type="dxa"/>
            <w:noWrap/>
            <w:hideMark/>
          </w:tcPr>
          <w:p w14:paraId="601F3A6E" w14:textId="77777777" w:rsidR="00E14F78" w:rsidRPr="00E14F78" w:rsidRDefault="00E14F78" w:rsidP="00E14F78">
            <w:pPr>
              <w:spacing w:line="360" w:lineRule="auto"/>
              <w:rPr>
                <w:sz w:val="22"/>
                <w:szCs w:val="22"/>
              </w:rPr>
            </w:pPr>
            <w:r w:rsidRPr="00E14F78">
              <w:rPr>
                <w:sz w:val="22"/>
                <w:szCs w:val="22"/>
              </w:rPr>
              <w:t>37.76**</w:t>
            </w:r>
          </w:p>
        </w:tc>
        <w:tc>
          <w:tcPr>
            <w:tcW w:w="1116" w:type="dxa"/>
            <w:noWrap/>
            <w:hideMark/>
          </w:tcPr>
          <w:p w14:paraId="29117B22" w14:textId="77777777" w:rsidR="00E14F78" w:rsidRPr="00E14F78" w:rsidRDefault="00E14F78" w:rsidP="00E14F78">
            <w:pPr>
              <w:spacing w:line="360" w:lineRule="auto"/>
              <w:rPr>
                <w:sz w:val="22"/>
                <w:szCs w:val="22"/>
              </w:rPr>
            </w:pPr>
            <w:r w:rsidRPr="00E14F78">
              <w:rPr>
                <w:sz w:val="22"/>
                <w:szCs w:val="22"/>
              </w:rPr>
              <w:t>19.10*</w:t>
            </w:r>
          </w:p>
        </w:tc>
        <w:tc>
          <w:tcPr>
            <w:tcW w:w="601" w:type="dxa"/>
            <w:noWrap/>
            <w:hideMark/>
          </w:tcPr>
          <w:p w14:paraId="1EAD93C8" w14:textId="77777777" w:rsidR="00E14F78" w:rsidRPr="00E14F78" w:rsidRDefault="00E14F78" w:rsidP="00E14F78">
            <w:pPr>
              <w:spacing w:line="360" w:lineRule="auto"/>
              <w:rPr>
                <w:sz w:val="22"/>
                <w:szCs w:val="22"/>
              </w:rPr>
            </w:pPr>
          </w:p>
        </w:tc>
        <w:tc>
          <w:tcPr>
            <w:tcW w:w="869" w:type="dxa"/>
            <w:noWrap/>
            <w:hideMark/>
          </w:tcPr>
          <w:p w14:paraId="040B1DA0" w14:textId="77777777" w:rsidR="00E14F78" w:rsidRPr="00E14F78" w:rsidRDefault="00E14F78" w:rsidP="00E14F78">
            <w:pPr>
              <w:spacing w:line="360" w:lineRule="auto"/>
              <w:rPr>
                <w:sz w:val="22"/>
                <w:szCs w:val="22"/>
              </w:rPr>
            </w:pPr>
            <w:r w:rsidRPr="00E14F78">
              <w:rPr>
                <w:sz w:val="22"/>
                <w:szCs w:val="22"/>
              </w:rPr>
              <w:t>-0.169</w:t>
            </w:r>
          </w:p>
        </w:tc>
        <w:tc>
          <w:tcPr>
            <w:tcW w:w="1216" w:type="dxa"/>
            <w:noWrap/>
            <w:hideMark/>
          </w:tcPr>
          <w:p w14:paraId="397C3EEB"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6E869542" w14:textId="77777777" w:rsidR="00E14F78" w:rsidRPr="00E14F78" w:rsidRDefault="00E14F78" w:rsidP="00E14F78">
            <w:pPr>
              <w:spacing w:line="360" w:lineRule="auto"/>
              <w:rPr>
                <w:sz w:val="22"/>
                <w:szCs w:val="22"/>
              </w:rPr>
            </w:pPr>
            <w:r w:rsidRPr="00E14F78">
              <w:rPr>
                <w:sz w:val="22"/>
                <w:szCs w:val="22"/>
              </w:rPr>
              <w:t>-0.002</w:t>
            </w:r>
          </w:p>
        </w:tc>
        <w:tc>
          <w:tcPr>
            <w:tcW w:w="1182" w:type="dxa"/>
            <w:noWrap/>
            <w:hideMark/>
          </w:tcPr>
          <w:p w14:paraId="3C1907A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7BACDC00" w14:textId="77777777" w:rsidTr="00E14F78">
        <w:trPr>
          <w:trHeight w:val="288"/>
        </w:trPr>
        <w:tc>
          <w:tcPr>
            <w:tcW w:w="1145" w:type="dxa"/>
            <w:noWrap/>
            <w:hideMark/>
          </w:tcPr>
          <w:p w14:paraId="78B23A61"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2952CE82"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68C9085F" w14:textId="77777777" w:rsidR="00E14F78" w:rsidRPr="00E14F78" w:rsidRDefault="00E14F78" w:rsidP="00E14F78">
            <w:pPr>
              <w:spacing w:line="360" w:lineRule="auto"/>
              <w:rPr>
                <w:sz w:val="22"/>
                <w:szCs w:val="22"/>
              </w:rPr>
            </w:pPr>
            <w:r w:rsidRPr="00E14F78">
              <w:rPr>
                <w:sz w:val="22"/>
                <w:szCs w:val="22"/>
              </w:rPr>
              <w:t>209.65***</w:t>
            </w:r>
          </w:p>
        </w:tc>
        <w:tc>
          <w:tcPr>
            <w:tcW w:w="1151" w:type="dxa"/>
            <w:noWrap/>
            <w:hideMark/>
          </w:tcPr>
          <w:p w14:paraId="035318BB" w14:textId="77777777" w:rsidR="00E14F78" w:rsidRPr="00E14F78" w:rsidRDefault="00E14F78" w:rsidP="00E14F78">
            <w:pPr>
              <w:spacing w:line="360" w:lineRule="auto"/>
              <w:rPr>
                <w:sz w:val="22"/>
                <w:szCs w:val="22"/>
              </w:rPr>
            </w:pPr>
            <w:r w:rsidRPr="00E14F78">
              <w:rPr>
                <w:sz w:val="22"/>
                <w:szCs w:val="22"/>
              </w:rPr>
              <w:t>14.49</w:t>
            </w:r>
          </w:p>
        </w:tc>
        <w:tc>
          <w:tcPr>
            <w:tcW w:w="1116" w:type="dxa"/>
            <w:noWrap/>
            <w:hideMark/>
          </w:tcPr>
          <w:p w14:paraId="25E866D9" w14:textId="77777777" w:rsidR="00E14F78" w:rsidRPr="00E14F78" w:rsidRDefault="00E14F78" w:rsidP="00E14F78">
            <w:pPr>
              <w:spacing w:line="360" w:lineRule="auto"/>
              <w:rPr>
                <w:sz w:val="22"/>
                <w:szCs w:val="22"/>
              </w:rPr>
            </w:pPr>
          </w:p>
        </w:tc>
        <w:tc>
          <w:tcPr>
            <w:tcW w:w="601" w:type="dxa"/>
            <w:noWrap/>
            <w:hideMark/>
          </w:tcPr>
          <w:p w14:paraId="5FBE4D0D" w14:textId="77777777" w:rsidR="00E14F78" w:rsidRPr="00E14F78" w:rsidRDefault="00E14F78" w:rsidP="00E14F78">
            <w:pPr>
              <w:spacing w:line="360" w:lineRule="auto"/>
              <w:rPr>
                <w:sz w:val="22"/>
                <w:szCs w:val="22"/>
              </w:rPr>
            </w:pPr>
          </w:p>
        </w:tc>
        <w:tc>
          <w:tcPr>
            <w:tcW w:w="869" w:type="dxa"/>
            <w:noWrap/>
            <w:hideMark/>
          </w:tcPr>
          <w:p w14:paraId="229EE1BD" w14:textId="77777777" w:rsidR="00E14F78" w:rsidRPr="00E14F78" w:rsidRDefault="00E14F78" w:rsidP="00E14F78">
            <w:pPr>
              <w:spacing w:line="360" w:lineRule="auto"/>
              <w:rPr>
                <w:sz w:val="22"/>
                <w:szCs w:val="22"/>
              </w:rPr>
            </w:pPr>
            <w:r w:rsidRPr="00E14F78">
              <w:rPr>
                <w:sz w:val="22"/>
                <w:szCs w:val="22"/>
              </w:rPr>
              <w:t>0.313</w:t>
            </w:r>
          </w:p>
        </w:tc>
        <w:tc>
          <w:tcPr>
            <w:tcW w:w="1216" w:type="dxa"/>
            <w:noWrap/>
            <w:hideMark/>
          </w:tcPr>
          <w:p w14:paraId="4446C65C"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A3481D3" w14:textId="77777777" w:rsidR="00E14F78" w:rsidRPr="00E14F78" w:rsidRDefault="00E14F78" w:rsidP="00E14F78">
            <w:pPr>
              <w:spacing w:line="360" w:lineRule="auto"/>
              <w:rPr>
                <w:sz w:val="22"/>
                <w:szCs w:val="22"/>
              </w:rPr>
            </w:pPr>
            <w:r w:rsidRPr="00E14F78">
              <w:rPr>
                <w:sz w:val="22"/>
                <w:szCs w:val="22"/>
              </w:rPr>
              <w:t>0.008</w:t>
            </w:r>
          </w:p>
        </w:tc>
        <w:tc>
          <w:tcPr>
            <w:tcW w:w="1182" w:type="dxa"/>
            <w:noWrap/>
            <w:hideMark/>
          </w:tcPr>
          <w:p w14:paraId="7B6563A6"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AC21943" w14:textId="77777777" w:rsidTr="00E14F78">
        <w:trPr>
          <w:trHeight w:val="288"/>
        </w:trPr>
        <w:tc>
          <w:tcPr>
            <w:tcW w:w="1145" w:type="dxa"/>
            <w:noWrap/>
            <w:hideMark/>
          </w:tcPr>
          <w:p w14:paraId="3180E037"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353D1711"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03AAC211" w14:textId="77777777" w:rsidR="00E14F78" w:rsidRPr="00E14F78" w:rsidRDefault="00E14F78" w:rsidP="00E14F78">
            <w:pPr>
              <w:spacing w:line="360" w:lineRule="auto"/>
              <w:rPr>
                <w:sz w:val="22"/>
                <w:szCs w:val="22"/>
              </w:rPr>
            </w:pPr>
            <w:r w:rsidRPr="00E14F78">
              <w:rPr>
                <w:sz w:val="22"/>
                <w:szCs w:val="22"/>
              </w:rPr>
              <w:t>174.19***</w:t>
            </w:r>
          </w:p>
        </w:tc>
        <w:tc>
          <w:tcPr>
            <w:tcW w:w="1151" w:type="dxa"/>
            <w:noWrap/>
            <w:hideMark/>
          </w:tcPr>
          <w:p w14:paraId="48E3C650" w14:textId="77777777" w:rsidR="00E14F78" w:rsidRPr="00E14F78" w:rsidRDefault="00E14F78" w:rsidP="00E14F78">
            <w:pPr>
              <w:spacing w:line="360" w:lineRule="auto"/>
              <w:rPr>
                <w:sz w:val="22"/>
                <w:szCs w:val="22"/>
              </w:rPr>
            </w:pPr>
            <w:r w:rsidRPr="00E14F78">
              <w:rPr>
                <w:sz w:val="22"/>
                <w:szCs w:val="22"/>
              </w:rPr>
              <w:t>102.34***</w:t>
            </w:r>
          </w:p>
        </w:tc>
        <w:tc>
          <w:tcPr>
            <w:tcW w:w="1116" w:type="dxa"/>
            <w:noWrap/>
            <w:hideMark/>
          </w:tcPr>
          <w:p w14:paraId="653BD77B" w14:textId="77777777" w:rsidR="00E14F78" w:rsidRPr="00E14F78" w:rsidRDefault="00E14F78" w:rsidP="00E14F78">
            <w:pPr>
              <w:spacing w:line="360" w:lineRule="auto"/>
              <w:rPr>
                <w:sz w:val="22"/>
                <w:szCs w:val="22"/>
              </w:rPr>
            </w:pPr>
            <w:r w:rsidRPr="00E14F78">
              <w:rPr>
                <w:sz w:val="22"/>
                <w:szCs w:val="22"/>
              </w:rPr>
              <w:t>42.29***</w:t>
            </w:r>
          </w:p>
        </w:tc>
        <w:tc>
          <w:tcPr>
            <w:tcW w:w="601" w:type="dxa"/>
            <w:noWrap/>
            <w:hideMark/>
          </w:tcPr>
          <w:p w14:paraId="43C68384" w14:textId="77777777" w:rsidR="00E14F78" w:rsidRPr="00E14F78" w:rsidRDefault="00E14F78" w:rsidP="00E14F78">
            <w:pPr>
              <w:spacing w:line="360" w:lineRule="auto"/>
              <w:rPr>
                <w:sz w:val="22"/>
                <w:szCs w:val="22"/>
              </w:rPr>
            </w:pPr>
            <w:r w:rsidRPr="00E14F78">
              <w:rPr>
                <w:sz w:val="22"/>
                <w:szCs w:val="22"/>
              </w:rPr>
              <w:t>0.71</w:t>
            </w:r>
          </w:p>
        </w:tc>
        <w:tc>
          <w:tcPr>
            <w:tcW w:w="869" w:type="dxa"/>
            <w:noWrap/>
            <w:hideMark/>
          </w:tcPr>
          <w:p w14:paraId="31B04621" w14:textId="77777777" w:rsidR="00E14F78" w:rsidRPr="00E14F78" w:rsidRDefault="00E14F78" w:rsidP="00E14F78">
            <w:pPr>
              <w:spacing w:line="360" w:lineRule="auto"/>
              <w:rPr>
                <w:sz w:val="22"/>
                <w:szCs w:val="22"/>
              </w:rPr>
            </w:pPr>
            <w:r w:rsidRPr="00E14F78">
              <w:rPr>
                <w:sz w:val="22"/>
                <w:szCs w:val="22"/>
              </w:rPr>
              <w:t>-0.154</w:t>
            </w:r>
          </w:p>
        </w:tc>
        <w:tc>
          <w:tcPr>
            <w:tcW w:w="1216" w:type="dxa"/>
            <w:noWrap/>
            <w:hideMark/>
          </w:tcPr>
          <w:p w14:paraId="527F3E66"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7689A3CC" w14:textId="77777777" w:rsidR="00E14F78" w:rsidRPr="00E14F78" w:rsidRDefault="00E14F78" w:rsidP="00E14F78">
            <w:pPr>
              <w:spacing w:line="360" w:lineRule="auto"/>
              <w:rPr>
                <w:sz w:val="22"/>
                <w:szCs w:val="22"/>
              </w:rPr>
            </w:pPr>
            <w:r w:rsidRPr="00E14F78">
              <w:rPr>
                <w:sz w:val="22"/>
                <w:szCs w:val="22"/>
              </w:rPr>
              <w:t>0.017</w:t>
            </w:r>
          </w:p>
        </w:tc>
        <w:tc>
          <w:tcPr>
            <w:tcW w:w="1182" w:type="dxa"/>
            <w:noWrap/>
            <w:hideMark/>
          </w:tcPr>
          <w:p w14:paraId="195DB3A9"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61D710C6" w14:textId="77777777" w:rsidTr="00E14F78">
        <w:trPr>
          <w:trHeight w:val="288"/>
        </w:trPr>
        <w:tc>
          <w:tcPr>
            <w:tcW w:w="1145" w:type="dxa"/>
            <w:noWrap/>
            <w:hideMark/>
          </w:tcPr>
          <w:p w14:paraId="434FE207"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6EEA57C6"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2F363AD8" w14:textId="77777777" w:rsidR="00E14F78" w:rsidRPr="00E14F78" w:rsidRDefault="00E14F78" w:rsidP="00E14F78">
            <w:pPr>
              <w:spacing w:line="360" w:lineRule="auto"/>
              <w:rPr>
                <w:sz w:val="22"/>
                <w:szCs w:val="22"/>
              </w:rPr>
            </w:pPr>
            <w:r w:rsidRPr="00E14F78">
              <w:rPr>
                <w:sz w:val="22"/>
                <w:szCs w:val="22"/>
              </w:rPr>
              <w:t>129.82***</w:t>
            </w:r>
          </w:p>
        </w:tc>
        <w:tc>
          <w:tcPr>
            <w:tcW w:w="1151" w:type="dxa"/>
            <w:noWrap/>
            <w:hideMark/>
          </w:tcPr>
          <w:p w14:paraId="4E7C4A4F" w14:textId="77777777" w:rsidR="00E14F78" w:rsidRPr="00E14F78" w:rsidRDefault="00E14F78" w:rsidP="00E14F78">
            <w:pPr>
              <w:spacing w:line="360" w:lineRule="auto"/>
              <w:rPr>
                <w:sz w:val="22"/>
                <w:szCs w:val="22"/>
              </w:rPr>
            </w:pPr>
            <w:r w:rsidRPr="00E14F78">
              <w:rPr>
                <w:sz w:val="22"/>
                <w:szCs w:val="22"/>
              </w:rPr>
              <w:t>66.53***</w:t>
            </w:r>
          </w:p>
        </w:tc>
        <w:tc>
          <w:tcPr>
            <w:tcW w:w="1116" w:type="dxa"/>
            <w:noWrap/>
            <w:hideMark/>
          </w:tcPr>
          <w:p w14:paraId="113B8A60" w14:textId="77777777" w:rsidR="00E14F78" w:rsidRPr="00E14F78" w:rsidRDefault="00E14F78" w:rsidP="00E14F78">
            <w:pPr>
              <w:spacing w:line="360" w:lineRule="auto"/>
              <w:rPr>
                <w:sz w:val="22"/>
                <w:szCs w:val="22"/>
              </w:rPr>
            </w:pPr>
            <w:r w:rsidRPr="00E14F78">
              <w:rPr>
                <w:sz w:val="22"/>
                <w:szCs w:val="22"/>
              </w:rPr>
              <w:t>24.25**</w:t>
            </w:r>
          </w:p>
        </w:tc>
        <w:tc>
          <w:tcPr>
            <w:tcW w:w="601" w:type="dxa"/>
            <w:noWrap/>
            <w:hideMark/>
          </w:tcPr>
          <w:p w14:paraId="343837E7" w14:textId="77777777" w:rsidR="00E14F78" w:rsidRPr="00E14F78" w:rsidRDefault="00E14F78" w:rsidP="00E14F78">
            <w:pPr>
              <w:spacing w:line="360" w:lineRule="auto"/>
              <w:rPr>
                <w:sz w:val="22"/>
                <w:szCs w:val="22"/>
              </w:rPr>
            </w:pPr>
            <w:r w:rsidRPr="00E14F78">
              <w:rPr>
                <w:sz w:val="22"/>
                <w:szCs w:val="22"/>
              </w:rPr>
              <w:t>1.91</w:t>
            </w:r>
          </w:p>
        </w:tc>
        <w:tc>
          <w:tcPr>
            <w:tcW w:w="869" w:type="dxa"/>
            <w:noWrap/>
            <w:hideMark/>
          </w:tcPr>
          <w:p w14:paraId="6BC56724" w14:textId="77777777" w:rsidR="00E14F78" w:rsidRPr="00E14F78" w:rsidRDefault="00E14F78" w:rsidP="00E14F78">
            <w:pPr>
              <w:spacing w:line="360" w:lineRule="auto"/>
              <w:rPr>
                <w:sz w:val="22"/>
                <w:szCs w:val="22"/>
              </w:rPr>
            </w:pPr>
            <w:r w:rsidRPr="00E14F78">
              <w:rPr>
                <w:sz w:val="22"/>
                <w:szCs w:val="22"/>
              </w:rPr>
              <w:t>-0.098</w:t>
            </w:r>
          </w:p>
        </w:tc>
        <w:tc>
          <w:tcPr>
            <w:tcW w:w="1216" w:type="dxa"/>
            <w:noWrap/>
            <w:hideMark/>
          </w:tcPr>
          <w:p w14:paraId="0F12C23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DB0C437" w14:textId="77777777" w:rsidR="00E14F78" w:rsidRPr="00E14F78" w:rsidRDefault="00E14F78" w:rsidP="00E14F78">
            <w:pPr>
              <w:spacing w:line="360" w:lineRule="auto"/>
              <w:rPr>
                <w:sz w:val="22"/>
                <w:szCs w:val="22"/>
              </w:rPr>
            </w:pPr>
            <w:r w:rsidRPr="00E14F78">
              <w:rPr>
                <w:sz w:val="22"/>
                <w:szCs w:val="22"/>
              </w:rPr>
              <w:t>0.001</w:t>
            </w:r>
          </w:p>
        </w:tc>
        <w:tc>
          <w:tcPr>
            <w:tcW w:w="1182" w:type="dxa"/>
            <w:noWrap/>
            <w:hideMark/>
          </w:tcPr>
          <w:p w14:paraId="616459D4" w14:textId="77777777" w:rsidR="00E14F78" w:rsidRPr="00E14F78" w:rsidRDefault="00E14F78" w:rsidP="00E14F78">
            <w:pPr>
              <w:spacing w:line="360" w:lineRule="auto"/>
              <w:rPr>
                <w:sz w:val="22"/>
                <w:szCs w:val="22"/>
              </w:rPr>
            </w:pPr>
            <w:r w:rsidRPr="00E14F78">
              <w:rPr>
                <w:sz w:val="22"/>
                <w:szCs w:val="22"/>
              </w:rPr>
              <w:t>NISHFE</w:t>
            </w:r>
          </w:p>
        </w:tc>
      </w:tr>
      <w:tr w:rsidR="00E14F78" w:rsidRPr="00E14F78" w14:paraId="6B0A23FA" w14:textId="77777777" w:rsidTr="005720EA">
        <w:trPr>
          <w:trHeight w:val="288"/>
        </w:trPr>
        <w:tc>
          <w:tcPr>
            <w:tcW w:w="10072" w:type="dxa"/>
            <w:gridSpan w:val="10"/>
            <w:noWrap/>
          </w:tcPr>
          <w:p w14:paraId="26B78F88" w14:textId="50EE6A6E" w:rsidR="00E14F78" w:rsidRPr="00E14F78" w:rsidRDefault="00E14F78" w:rsidP="00E14F78">
            <w:pPr>
              <w:spacing w:line="360" w:lineRule="auto"/>
              <w:rPr>
                <w:sz w:val="22"/>
                <w:szCs w:val="22"/>
              </w:rPr>
            </w:pPr>
            <w:r w:rsidRPr="00E14F78">
              <w:rPr>
                <w:sz w:val="22"/>
                <w:szCs w:val="22"/>
              </w:rPr>
              <w:t>Filtered</w:t>
            </w:r>
          </w:p>
        </w:tc>
      </w:tr>
      <w:tr w:rsidR="00E14F78" w:rsidRPr="00E14F78" w14:paraId="1038373D" w14:textId="77777777" w:rsidTr="00E14F78">
        <w:trPr>
          <w:trHeight w:val="288"/>
        </w:trPr>
        <w:tc>
          <w:tcPr>
            <w:tcW w:w="1145" w:type="dxa"/>
            <w:noWrap/>
            <w:hideMark/>
          </w:tcPr>
          <w:p w14:paraId="12AB7850"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68750525"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6C533DEC" w14:textId="77777777" w:rsidR="00E14F78" w:rsidRPr="00E14F78" w:rsidRDefault="00E14F78" w:rsidP="00E14F78">
            <w:pPr>
              <w:spacing w:line="360" w:lineRule="auto"/>
              <w:rPr>
                <w:sz w:val="22"/>
                <w:szCs w:val="22"/>
              </w:rPr>
            </w:pPr>
            <w:r w:rsidRPr="00E14F78">
              <w:rPr>
                <w:sz w:val="22"/>
                <w:szCs w:val="22"/>
              </w:rPr>
              <w:t>75.65***</w:t>
            </w:r>
          </w:p>
        </w:tc>
        <w:tc>
          <w:tcPr>
            <w:tcW w:w="1151" w:type="dxa"/>
            <w:noWrap/>
            <w:hideMark/>
          </w:tcPr>
          <w:p w14:paraId="507B6CA3" w14:textId="77777777" w:rsidR="00E14F78" w:rsidRPr="00E14F78" w:rsidRDefault="00E14F78" w:rsidP="00E14F78">
            <w:pPr>
              <w:spacing w:line="360" w:lineRule="auto"/>
              <w:rPr>
                <w:sz w:val="22"/>
                <w:szCs w:val="22"/>
              </w:rPr>
            </w:pPr>
            <w:r w:rsidRPr="00E14F78">
              <w:rPr>
                <w:sz w:val="22"/>
                <w:szCs w:val="22"/>
              </w:rPr>
              <w:t>40.49**</w:t>
            </w:r>
          </w:p>
        </w:tc>
        <w:tc>
          <w:tcPr>
            <w:tcW w:w="1116" w:type="dxa"/>
            <w:noWrap/>
            <w:hideMark/>
          </w:tcPr>
          <w:p w14:paraId="2A038441" w14:textId="77777777" w:rsidR="00E14F78" w:rsidRPr="00E14F78" w:rsidRDefault="00E14F78" w:rsidP="00E14F78">
            <w:pPr>
              <w:spacing w:line="360" w:lineRule="auto"/>
              <w:rPr>
                <w:sz w:val="22"/>
                <w:szCs w:val="22"/>
              </w:rPr>
            </w:pPr>
            <w:r w:rsidRPr="00E14F78">
              <w:rPr>
                <w:sz w:val="22"/>
                <w:szCs w:val="22"/>
              </w:rPr>
              <w:t>19.49*</w:t>
            </w:r>
          </w:p>
        </w:tc>
        <w:tc>
          <w:tcPr>
            <w:tcW w:w="601" w:type="dxa"/>
            <w:noWrap/>
            <w:hideMark/>
          </w:tcPr>
          <w:p w14:paraId="63F57FB0" w14:textId="77777777" w:rsidR="00E14F78" w:rsidRPr="00E14F78" w:rsidRDefault="00E14F78" w:rsidP="00E14F78">
            <w:pPr>
              <w:spacing w:line="360" w:lineRule="auto"/>
              <w:rPr>
                <w:sz w:val="22"/>
                <w:szCs w:val="22"/>
              </w:rPr>
            </w:pPr>
          </w:p>
        </w:tc>
        <w:tc>
          <w:tcPr>
            <w:tcW w:w="869" w:type="dxa"/>
            <w:noWrap/>
            <w:hideMark/>
          </w:tcPr>
          <w:p w14:paraId="5C30671D" w14:textId="77777777" w:rsidR="00E14F78" w:rsidRPr="00E14F78" w:rsidRDefault="00E14F78" w:rsidP="00E14F78">
            <w:pPr>
              <w:spacing w:line="360" w:lineRule="auto"/>
              <w:rPr>
                <w:sz w:val="22"/>
                <w:szCs w:val="22"/>
              </w:rPr>
            </w:pPr>
            <w:r w:rsidRPr="00E14F78">
              <w:rPr>
                <w:sz w:val="22"/>
                <w:szCs w:val="22"/>
              </w:rPr>
              <w:t>-0.244</w:t>
            </w:r>
          </w:p>
        </w:tc>
        <w:tc>
          <w:tcPr>
            <w:tcW w:w="1216" w:type="dxa"/>
            <w:noWrap/>
            <w:hideMark/>
          </w:tcPr>
          <w:p w14:paraId="47F0BE1E"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79BA6507" w14:textId="77777777" w:rsidR="00E14F78" w:rsidRPr="00E14F78" w:rsidRDefault="00E14F78" w:rsidP="00E14F78">
            <w:pPr>
              <w:spacing w:line="360" w:lineRule="auto"/>
              <w:rPr>
                <w:sz w:val="22"/>
                <w:szCs w:val="22"/>
              </w:rPr>
            </w:pPr>
            <w:r w:rsidRPr="00E14F78">
              <w:rPr>
                <w:sz w:val="22"/>
                <w:szCs w:val="22"/>
              </w:rPr>
              <w:t>-0.034</w:t>
            </w:r>
          </w:p>
        </w:tc>
        <w:tc>
          <w:tcPr>
            <w:tcW w:w="1182" w:type="dxa"/>
            <w:noWrap/>
            <w:hideMark/>
          </w:tcPr>
          <w:p w14:paraId="7EC2BF7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6A8D04AB" w14:textId="77777777" w:rsidTr="00E14F78">
        <w:trPr>
          <w:trHeight w:val="288"/>
        </w:trPr>
        <w:tc>
          <w:tcPr>
            <w:tcW w:w="1145" w:type="dxa"/>
            <w:noWrap/>
            <w:hideMark/>
          </w:tcPr>
          <w:p w14:paraId="57ABCE24"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045B746B"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438DE4B1" w14:textId="77777777" w:rsidR="00E14F78" w:rsidRPr="00E14F78" w:rsidRDefault="00E14F78" w:rsidP="00E14F78">
            <w:pPr>
              <w:spacing w:line="360" w:lineRule="auto"/>
              <w:rPr>
                <w:sz w:val="22"/>
                <w:szCs w:val="22"/>
              </w:rPr>
            </w:pPr>
            <w:r w:rsidRPr="00E14F78">
              <w:rPr>
                <w:sz w:val="22"/>
                <w:szCs w:val="22"/>
              </w:rPr>
              <w:t>213.94***</w:t>
            </w:r>
          </w:p>
        </w:tc>
        <w:tc>
          <w:tcPr>
            <w:tcW w:w="1151" w:type="dxa"/>
            <w:noWrap/>
            <w:hideMark/>
          </w:tcPr>
          <w:p w14:paraId="358B4081" w14:textId="77777777" w:rsidR="00E14F78" w:rsidRPr="00E14F78" w:rsidRDefault="00E14F78" w:rsidP="00E14F78">
            <w:pPr>
              <w:spacing w:line="360" w:lineRule="auto"/>
              <w:rPr>
                <w:sz w:val="22"/>
                <w:szCs w:val="22"/>
              </w:rPr>
            </w:pPr>
            <w:r w:rsidRPr="00E14F78">
              <w:rPr>
                <w:sz w:val="22"/>
                <w:szCs w:val="22"/>
              </w:rPr>
              <w:t>18.26</w:t>
            </w:r>
          </w:p>
        </w:tc>
        <w:tc>
          <w:tcPr>
            <w:tcW w:w="1116" w:type="dxa"/>
            <w:noWrap/>
            <w:hideMark/>
          </w:tcPr>
          <w:p w14:paraId="3A366569" w14:textId="77777777" w:rsidR="00E14F78" w:rsidRPr="00E14F78" w:rsidRDefault="00E14F78" w:rsidP="00E14F78">
            <w:pPr>
              <w:spacing w:line="360" w:lineRule="auto"/>
              <w:rPr>
                <w:sz w:val="22"/>
                <w:szCs w:val="22"/>
              </w:rPr>
            </w:pPr>
          </w:p>
        </w:tc>
        <w:tc>
          <w:tcPr>
            <w:tcW w:w="601" w:type="dxa"/>
            <w:noWrap/>
            <w:hideMark/>
          </w:tcPr>
          <w:p w14:paraId="53DD5119" w14:textId="77777777" w:rsidR="00E14F78" w:rsidRPr="00E14F78" w:rsidRDefault="00E14F78" w:rsidP="00E14F78">
            <w:pPr>
              <w:spacing w:line="360" w:lineRule="auto"/>
              <w:rPr>
                <w:sz w:val="22"/>
                <w:szCs w:val="22"/>
              </w:rPr>
            </w:pPr>
          </w:p>
        </w:tc>
        <w:tc>
          <w:tcPr>
            <w:tcW w:w="869" w:type="dxa"/>
            <w:noWrap/>
            <w:hideMark/>
          </w:tcPr>
          <w:p w14:paraId="6C7D11C2" w14:textId="77777777" w:rsidR="00E14F78" w:rsidRPr="00E14F78" w:rsidRDefault="00E14F78" w:rsidP="00E14F78">
            <w:pPr>
              <w:spacing w:line="360" w:lineRule="auto"/>
              <w:rPr>
                <w:sz w:val="22"/>
                <w:szCs w:val="22"/>
              </w:rPr>
            </w:pPr>
            <w:r w:rsidRPr="00E14F78">
              <w:rPr>
                <w:sz w:val="22"/>
                <w:szCs w:val="22"/>
              </w:rPr>
              <w:t>0.309</w:t>
            </w:r>
          </w:p>
        </w:tc>
        <w:tc>
          <w:tcPr>
            <w:tcW w:w="1216" w:type="dxa"/>
            <w:noWrap/>
            <w:hideMark/>
          </w:tcPr>
          <w:p w14:paraId="151F2BFA"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7E6C9E5" w14:textId="77777777" w:rsidR="00E14F78" w:rsidRPr="00E14F78" w:rsidRDefault="00E14F78" w:rsidP="00E14F78">
            <w:pPr>
              <w:spacing w:line="360" w:lineRule="auto"/>
              <w:rPr>
                <w:sz w:val="22"/>
                <w:szCs w:val="22"/>
              </w:rPr>
            </w:pPr>
            <w:r w:rsidRPr="00E14F78">
              <w:rPr>
                <w:sz w:val="22"/>
                <w:szCs w:val="22"/>
              </w:rPr>
              <w:t>0.004</w:t>
            </w:r>
          </w:p>
        </w:tc>
        <w:tc>
          <w:tcPr>
            <w:tcW w:w="1182" w:type="dxa"/>
            <w:noWrap/>
            <w:hideMark/>
          </w:tcPr>
          <w:p w14:paraId="1BDC3940"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1A22054" w14:textId="77777777" w:rsidTr="00E14F78">
        <w:trPr>
          <w:trHeight w:val="288"/>
        </w:trPr>
        <w:tc>
          <w:tcPr>
            <w:tcW w:w="1145" w:type="dxa"/>
            <w:noWrap/>
            <w:hideMark/>
          </w:tcPr>
          <w:p w14:paraId="3EF90BB5"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6AB2379D"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20C720D" w14:textId="77777777" w:rsidR="00E14F78" w:rsidRPr="00E14F78" w:rsidRDefault="00E14F78" w:rsidP="00E14F78">
            <w:pPr>
              <w:spacing w:line="360" w:lineRule="auto"/>
              <w:rPr>
                <w:sz w:val="22"/>
                <w:szCs w:val="22"/>
              </w:rPr>
            </w:pPr>
            <w:r w:rsidRPr="00E14F78">
              <w:rPr>
                <w:sz w:val="22"/>
                <w:szCs w:val="22"/>
              </w:rPr>
              <w:t>167.54***</w:t>
            </w:r>
          </w:p>
        </w:tc>
        <w:tc>
          <w:tcPr>
            <w:tcW w:w="1151" w:type="dxa"/>
            <w:noWrap/>
            <w:hideMark/>
          </w:tcPr>
          <w:p w14:paraId="42804BC4" w14:textId="77777777" w:rsidR="00E14F78" w:rsidRPr="00E14F78" w:rsidRDefault="00E14F78" w:rsidP="00E14F78">
            <w:pPr>
              <w:spacing w:line="360" w:lineRule="auto"/>
              <w:rPr>
                <w:sz w:val="22"/>
                <w:szCs w:val="22"/>
              </w:rPr>
            </w:pPr>
            <w:r w:rsidRPr="00E14F78">
              <w:rPr>
                <w:sz w:val="22"/>
                <w:szCs w:val="22"/>
              </w:rPr>
              <w:t>97.97***</w:t>
            </w:r>
          </w:p>
        </w:tc>
        <w:tc>
          <w:tcPr>
            <w:tcW w:w="1116" w:type="dxa"/>
            <w:noWrap/>
            <w:hideMark/>
          </w:tcPr>
          <w:p w14:paraId="4EE77F62" w14:textId="77777777" w:rsidR="00E14F78" w:rsidRPr="00E14F78" w:rsidRDefault="00E14F78" w:rsidP="00E14F78">
            <w:pPr>
              <w:spacing w:line="360" w:lineRule="auto"/>
              <w:rPr>
                <w:sz w:val="22"/>
                <w:szCs w:val="22"/>
              </w:rPr>
            </w:pPr>
            <w:r w:rsidRPr="00E14F78">
              <w:rPr>
                <w:sz w:val="22"/>
                <w:szCs w:val="22"/>
              </w:rPr>
              <w:t>41.40***</w:t>
            </w:r>
          </w:p>
        </w:tc>
        <w:tc>
          <w:tcPr>
            <w:tcW w:w="601" w:type="dxa"/>
            <w:noWrap/>
            <w:hideMark/>
          </w:tcPr>
          <w:p w14:paraId="220EC2FF" w14:textId="77777777" w:rsidR="00E14F78" w:rsidRPr="00E14F78" w:rsidRDefault="00E14F78" w:rsidP="00E14F78">
            <w:pPr>
              <w:spacing w:line="360" w:lineRule="auto"/>
              <w:rPr>
                <w:sz w:val="22"/>
                <w:szCs w:val="22"/>
              </w:rPr>
            </w:pPr>
            <w:r w:rsidRPr="00E14F78">
              <w:rPr>
                <w:sz w:val="22"/>
                <w:szCs w:val="22"/>
              </w:rPr>
              <w:t>3.43</w:t>
            </w:r>
          </w:p>
        </w:tc>
        <w:tc>
          <w:tcPr>
            <w:tcW w:w="869" w:type="dxa"/>
            <w:noWrap/>
            <w:hideMark/>
          </w:tcPr>
          <w:p w14:paraId="2B5B75CC" w14:textId="77777777" w:rsidR="00E14F78" w:rsidRPr="00E14F78" w:rsidRDefault="00E14F78" w:rsidP="00E14F78">
            <w:pPr>
              <w:spacing w:line="360" w:lineRule="auto"/>
              <w:rPr>
                <w:sz w:val="22"/>
                <w:szCs w:val="22"/>
              </w:rPr>
            </w:pPr>
            <w:r w:rsidRPr="00E14F78">
              <w:rPr>
                <w:sz w:val="22"/>
                <w:szCs w:val="22"/>
              </w:rPr>
              <w:t>-0.159</w:t>
            </w:r>
          </w:p>
        </w:tc>
        <w:tc>
          <w:tcPr>
            <w:tcW w:w="1216" w:type="dxa"/>
            <w:noWrap/>
            <w:hideMark/>
          </w:tcPr>
          <w:p w14:paraId="6EC2DFAF"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450C2ED7" w14:textId="77777777" w:rsidR="00E14F78" w:rsidRPr="00E14F78" w:rsidRDefault="00E14F78" w:rsidP="00E14F78">
            <w:pPr>
              <w:spacing w:line="360" w:lineRule="auto"/>
              <w:rPr>
                <w:sz w:val="22"/>
                <w:szCs w:val="22"/>
              </w:rPr>
            </w:pPr>
            <w:r w:rsidRPr="00E14F78">
              <w:rPr>
                <w:sz w:val="22"/>
                <w:szCs w:val="22"/>
              </w:rPr>
              <w:t>0.012</w:t>
            </w:r>
          </w:p>
        </w:tc>
        <w:tc>
          <w:tcPr>
            <w:tcW w:w="1182" w:type="dxa"/>
            <w:noWrap/>
            <w:hideMark/>
          </w:tcPr>
          <w:p w14:paraId="7F6DC817"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5B96C5E1" w14:textId="77777777" w:rsidTr="00E14F78">
        <w:trPr>
          <w:trHeight w:val="288"/>
        </w:trPr>
        <w:tc>
          <w:tcPr>
            <w:tcW w:w="1145" w:type="dxa"/>
            <w:noWrap/>
            <w:hideMark/>
          </w:tcPr>
          <w:p w14:paraId="33BF07AA"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08E89803"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E1C4DDB" w14:textId="77777777" w:rsidR="00E14F78" w:rsidRPr="00E14F78" w:rsidRDefault="00E14F78" w:rsidP="00E14F78">
            <w:pPr>
              <w:spacing w:line="360" w:lineRule="auto"/>
              <w:rPr>
                <w:sz w:val="22"/>
                <w:szCs w:val="22"/>
              </w:rPr>
            </w:pPr>
            <w:r w:rsidRPr="00E14F78">
              <w:rPr>
                <w:sz w:val="22"/>
                <w:szCs w:val="22"/>
              </w:rPr>
              <w:t>302.28***</w:t>
            </w:r>
          </w:p>
        </w:tc>
        <w:tc>
          <w:tcPr>
            <w:tcW w:w="1151" w:type="dxa"/>
            <w:noWrap/>
            <w:hideMark/>
          </w:tcPr>
          <w:p w14:paraId="7EE3AF2F" w14:textId="77777777" w:rsidR="00E14F78" w:rsidRPr="00E14F78" w:rsidRDefault="00E14F78" w:rsidP="00E14F78">
            <w:pPr>
              <w:spacing w:line="360" w:lineRule="auto"/>
              <w:rPr>
                <w:sz w:val="22"/>
                <w:szCs w:val="22"/>
              </w:rPr>
            </w:pPr>
            <w:r w:rsidRPr="00E14F78">
              <w:rPr>
                <w:sz w:val="22"/>
                <w:szCs w:val="22"/>
              </w:rPr>
              <w:t>74.20***</w:t>
            </w:r>
          </w:p>
        </w:tc>
        <w:tc>
          <w:tcPr>
            <w:tcW w:w="1116" w:type="dxa"/>
            <w:noWrap/>
            <w:hideMark/>
          </w:tcPr>
          <w:p w14:paraId="7FC49C1A" w14:textId="77777777" w:rsidR="00E14F78" w:rsidRPr="00E14F78" w:rsidRDefault="00E14F78" w:rsidP="00E14F78">
            <w:pPr>
              <w:spacing w:line="360" w:lineRule="auto"/>
              <w:rPr>
                <w:sz w:val="22"/>
                <w:szCs w:val="22"/>
              </w:rPr>
            </w:pPr>
            <w:r w:rsidRPr="00E14F78">
              <w:rPr>
                <w:sz w:val="22"/>
                <w:szCs w:val="22"/>
              </w:rPr>
              <w:t>31.73***</w:t>
            </w:r>
          </w:p>
        </w:tc>
        <w:tc>
          <w:tcPr>
            <w:tcW w:w="601" w:type="dxa"/>
            <w:noWrap/>
            <w:hideMark/>
          </w:tcPr>
          <w:p w14:paraId="34A57F5E" w14:textId="77777777" w:rsidR="00E14F78" w:rsidRPr="00E14F78" w:rsidRDefault="00E14F78" w:rsidP="00E14F78">
            <w:pPr>
              <w:spacing w:line="360" w:lineRule="auto"/>
              <w:rPr>
                <w:sz w:val="22"/>
                <w:szCs w:val="22"/>
              </w:rPr>
            </w:pPr>
            <w:r w:rsidRPr="00E14F78">
              <w:rPr>
                <w:sz w:val="22"/>
                <w:szCs w:val="22"/>
              </w:rPr>
              <w:t>3.77</w:t>
            </w:r>
          </w:p>
        </w:tc>
        <w:tc>
          <w:tcPr>
            <w:tcW w:w="869" w:type="dxa"/>
            <w:noWrap/>
            <w:hideMark/>
          </w:tcPr>
          <w:p w14:paraId="4C13FE9B" w14:textId="77777777" w:rsidR="00E14F78" w:rsidRPr="00E14F78" w:rsidRDefault="00E14F78" w:rsidP="00E14F78">
            <w:pPr>
              <w:spacing w:line="360" w:lineRule="auto"/>
              <w:rPr>
                <w:sz w:val="22"/>
                <w:szCs w:val="22"/>
              </w:rPr>
            </w:pPr>
            <w:r w:rsidRPr="00E14F78">
              <w:rPr>
                <w:sz w:val="22"/>
                <w:szCs w:val="22"/>
              </w:rPr>
              <w:t>-0.334</w:t>
            </w:r>
          </w:p>
        </w:tc>
        <w:tc>
          <w:tcPr>
            <w:tcW w:w="1216" w:type="dxa"/>
            <w:noWrap/>
            <w:hideMark/>
          </w:tcPr>
          <w:p w14:paraId="361B68C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48EBC42" w14:textId="77777777" w:rsidR="00E14F78" w:rsidRPr="00E14F78" w:rsidRDefault="00E14F78" w:rsidP="00E14F78">
            <w:pPr>
              <w:spacing w:line="360" w:lineRule="auto"/>
              <w:rPr>
                <w:sz w:val="22"/>
                <w:szCs w:val="22"/>
              </w:rPr>
            </w:pPr>
            <w:r w:rsidRPr="00E14F78">
              <w:rPr>
                <w:sz w:val="22"/>
                <w:szCs w:val="22"/>
              </w:rPr>
              <w:t>0.076</w:t>
            </w:r>
          </w:p>
        </w:tc>
        <w:tc>
          <w:tcPr>
            <w:tcW w:w="1182" w:type="dxa"/>
            <w:noWrap/>
            <w:hideMark/>
          </w:tcPr>
          <w:p w14:paraId="02D90B65" w14:textId="77777777" w:rsidR="00E14F78" w:rsidRPr="00E14F78" w:rsidRDefault="00E14F78" w:rsidP="00E14F78">
            <w:pPr>
              <w:spacing w:line="360" w:lineRule="auto"/>
              <w:rPr>
                <w:sz w:val="22"/>
                <w:szCs w:val="22"/>
              </w:rPr>
            </w:pPr>
            <w:r w:rsidRPr="00E14F78">
              <w:rPr>
                <w:sz w:val="22"/>
                <w:szCs w:val="22"/>
              </w:rPr>
              <w:t>NISHFE</w:t>
            </w:r>
          </w:p>
        </w:tc>
      </w:tr>
    </w:tbl>
    <w:p w14:paraId="395C1E30" w14:textId="2C63FE4A" w:rsidR="009644EF" w:rsidRDefault="00E14F78" w:rsidP="009644EF">
      <w:pPr>
        <w:rPr>
          <w:lang w:val="en-US"/>
        </w:rPr>
      </w:pPr>
      <w:r>
        <w:rPr>
          <w:lang w:val="en-US"/>
        </w:rPr>
        <w:fldChar w:fldCharType="end"/>
      </w:r>
    </w:p>
    <w:p w14:paraId="3DBE9973" w14:textId="28E3DBAA" w:rsidR="00D764FA" w:rsidRPr="00201FFE" w:rsidRDefault="00D764FA" w:rsidP="00D764FA">
      <w:pPr>
        <w:pStyle w:val="Footnotes"/>
        <w:rPr>
          <w:lang w:val="en-US"/>
        </w:rPr>
      </w:pPr>
      <w:r w:rsidRPr="00201FFE">
        <w:rPr>
          <w:lang w:val="en-US"/>
        </w:rPr>
        <w:t xml:space="preserve">Note: Trace statistics test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Pr="00201FFE">
        <w:rPr>
          <w:lang w:val="en-US"/>
        </w:rPr>
        <w:t xml:space="preserve">: cointegration rank </w:t>
      </w:r>
      <m:oMath>
        <m:r>
          <w:rPr>
            <w:rFonts w:ascii="Cambria Math" w:hAnsi="Cambria Math"/>
            <w:lang w:val="en-US"/>
          </w:rPr>
          <m:t>≤r</m:t>
        </m:r>
      </m:oMath>
      <w:r w:rsidRPr="00201FFE">
        <w:rPr>
          <w:lang w:val="en-US"/>
        </w:rPr>
        <w:t xml:space="preserve">   vs  : </w:t>
      </w:r>
      <w:r w:rsidR="00CA2C55" w:rsidRPr="00201FFE">
        <w:rPr>
          <w:lang w:val="en-US"/>
        </w:rPr>
        <w:t xml:space="preserve">cointegration rank </w:t>
      </w:r>
      <w:r w:rsidR="00CA2C55" w:rsidRPr="00201FFE">
        <w:rPr>
          <w:lang w:val="en-US"/>
        </w:rPr>
        <w:t>&gt;</w:t>
      </w:r>
      <w:r w:rsidR="00CA2C55" w:rsidRPr="00201FFE">
        <w:rPr>
          <w:lang w:val="en-US"/>
        </w:rPr>
        <w:t xml:space="preserve"> </w:t>
      </w:r>
      <m:oMath>
        <m:r>
          <w:rPr>
            <w:rFonts w:ascii="Cambria Math" w:hAnsi="Cambria Math"/>
            <w:lang w:val="en-US"/>
          </w:rPr>
          <m:t>r</m:t>
        </m:r>
      </m:oMath>
      <w:r w:rsidRPr="00201FFE">
        <w:rPr>
          <w:lang w:val="en-US"/>
        </w:rPr>
        <w:t xml:space="preserve"> </w:t>
      </w:r>
      <w:r w:rsidR="00201FFE" w:rsidRPr="00201FFE">
        <w:rPr>
          <w:lang w:val="en-US"/>
        </w:rPr>
        <w:t xml:space="preserve">. Significance levels are denoted as follows: </w:t>
      </w:r>
      <w:r w:rsidR="00CA2C55" w:rsidRPr="00201FFE">
        <w:rPr>
          <w:lang w:val="en-US"/>
        </w:rPr>
        <w:t>***</w:t>
      </w:r>
      <w:r w:rsidRPr="00201FFE">
        <w:rPr>
          <w:lang w:val="en-US"/>
        </w:rPr>
        <w:t xml:space="preserve"> is for  </w:t>
      </w:r>
      <m:oMath>
        <m:r>
          <w:rPr>
            <w:rFonts w:ascii="Cambria Math" w:hAnsi="Cambria Math"/>
            <w:lang w:val="en-US"/>
          </w:rPr>
          <m:t>p&lt;0.01</m:t>
        </m:r>
      </m:oMath>
      <w:r w:rsidRPr="00201FFE">
        <w:rPr>
          <w:lang w:val="en-US"/>
        </w:rPr>
        <w:t xml:space="preserve">,  </w:t>
      </w:r>
      <w:r w:rsidR="00CA2C55" w:rsidRPr="00201FFE">
        <w:rPr>
          <w:lang w:val="en-US"/>
        </w:rPr>
        <w:t>**</w:t>
      </w:r>
      <w:r w:rsidRPr="00201FFE">
        <w:rPr>
          <w:lang w:val="en-US"/>
        </w:rPr>
        <w:t xml:space="preserve"> for </w:t>
      </w:r>
      <m:oMath>
        <m:r>
          <w:rPr>
            <w:rFonts w:ascii="Cambria Math" w:hAnsi="Cambria Math"/>
            <w:lang w:val="en-US"/>
          </w:rPr>
          <m:t>p&lt;0.0</m:t>
        </m:r>
        <m:r>
          <w:rPr>
            <w:rFonts w:ascii="Cambria Math" w:hAnsi="Cambria Math"/>
            <w:lang w:val="en-US"/>
          </w:rPr>
          <m:t>5</m:t>
        </m:r>
      </m:oMath>
      <w:r w:rsidRPr="00201FFE">
        <w:rPr>
          <w:lang w:val="en-US"/>
        </w:rPr>
        <w:t xml:space="preserve"> , and  </w:t>
      </w:r>
      <w:r w:rsidR="00CA2C55" w:rsidRPr="00201FFE">
        <w:rPr>
          <w:lang w:val="en-US"/>
        </w:rPr>
        <w:t>*</w:t>
      </w:r>
      <w:r w:rsidRPr="00201FFE">
        <w:rPr>
          <w:lang w:val="en-US"/>
        </w:rPr>
        <w:t xml:space="preserve"> for  </w:t>
      </w:r>
      <m:oMath>
        <m:r>
          <w:rPr>
            <w:rFonts w:ascii="Cambria Math" w:hAnsi="Cambria Math"/>
            <w:lang w:val="en-US"/>
          </w:rPr>
          <m:t>p&lt;0.1</m:t>
        </m:r>
      </m:oMath>
      <w:r w:rsidRPr="00201FFE">
        <w:rPr>
          <w:lang w:val="en-US"/>
        </w:rPr>
        <w:t xml:space="preserve">. Max </w:t>
      </w:r>
      <m:oMath>
        <m:d>
          <m:dPr>
            <m:begChr m:val="|"/>
            <m:endChr m:val="|"/>
            <m:ctrlPr>
              <w:rPr>
                <w:rFonts w:ascii="Cambria Math" w:hAnsi="Cambria Math"/>
                <w:i/>
                <w:lang w:val="en-US"/>
              </w:rPr>
            </m:ctrlPr>
          </m:dPr>
          <m:e>
            <m:r>
              <w:rPr>
                <w:rFonts w:ascii="Cambria Math" w:hAnsi="Cambria Math"/>
                <w:lang w:val="en-US"/>
              </w:rPr>
              <m:t>α</m:t>
            </m:r>
          </m:e>
        </m:d>
      </m:oMath>
      <w:r w:rsidRPr="00201FFE">
        <w:rPr>
          <w:lang w:val="en-US"/>
        </w:rPr>
        <w:t xml:space="preserve"> </w:t>
      </w:r>
      <w:r w:rsidR="00201FFE" w:rsidRPr="00201FFE">
        <w:rPr>
          <w:lang w:val="en-US"/>
        </w:rPr>
        <w:t>represents the highest absolute adjustment coefficient from the VECM, indicating the price follower (fastest adjustment to long-run equilibrium)</w:t>
      </w:r>
      <w:r w:rsidR="00CA2C55" w:rsidRPr="00201FFE">
        <w:rPr>
          <w:lang w:val="en-US"/>
        </w:rPr>
        <w:t xml:space="preserve">, </w:t>
      </w:r>
      <w:r w:rsidRPr="00201FFE">
        <w:rPr>
          <w:lang w:val="en-US"/>
        </w:rPr>
        <w:t xml:space="preserve">Min </w:t>
      </w:r>
      <m:oMath>
        <m:d>
          <m:dPr>
            <m:begChr m:val="|"/>
            <m:endChr m:val="|"/>
            <m:ctrlPr>
              <w:rPr>
                <w:rFonts w:ascii="Cambria Math" w:hAnsi="Cambria Math"/>
                <w:i/>
                <w:lang w:val="en-US"/>
              </w:rPr>
            </m:ctrlPr>
          </m:dPr>
          <m:e>
            <m:r>
              <w:rPr>
                <w:rFonts w:ascii="Cambria Math" w:hAnsi="Cambria Math"/>
                <w:lang w:val="en-US"/>
              </w:rPr>
              <m:t>α</m:t>
            </m:r>
          </m:e>
        </m:d>
      </m:oMath>
      <w:r w:rsidR="00CA2C55" w:rsidRPr="00201FFE">
        <w:rPr>
          <w:lang w:val="en-US"/>
        </w:rPr>
        <w:t xml:space="preserve"> </w:t>
      </w:r>
      <w:r w:rsidR="00201FFE" w:rsidRPr="00201FFE">
        <w:rPr>
          <w:lang w:val="en-US"/>
        </w:rPr>
        <w:t>indicates the price</w:t>
      </w:r>
      <w:r w:rsidR="00CA2C55" w:rsidRPr="00201FFE">
        <w:rPr>
          <w:lang w:val="en-US"/>
        </w:rPr>
        <w:t xml:space="preserve"> </w:t>
      </w:r>
      <w:r w:rsidRPr="00201FFE">
        <w:rPr>
          <w:lang w:val="en-US"/>
        </w:rPr>
        <w:t>leader (slowest adjustment).</w:t>
      </w:r>
      <w:r w:rsidR="0048275F" w:rsidRPr="00201FFE">
        <w:rPr>
          <w:lang w:val="en-US"/>
        </w:rPr>
        <w:t xml:space="preserve"> </w:t>
      </w:r>
      <w:r w:rsidR="0048275F" w:rsidRPr="00201FFE">
        <w:t>For a detailed description of the abbreviations</w:t>
      </w:r>
      <w:r w:rsidR="00CA2C55" w:rsidRPr="00201FFE">
        <w:t xml:space="preserve"> in follower and leader column</w:t>
      </w:r>
      <w:r w:rsidR="0048275F" w:rsidRPr="00201FFE">
        <w:t>, see Table 1.</w:t>
      </w:r>
    </w:p>
    <w:p w14:paraId="26066DFF" w14:textId="77777777" w:rsidR="00EB03EF" w:rsidRPr="00024CD7" w:rsidRDefault="00EB03EF">
      <w:pPr>
        <w:spacing w:line="240" w:lineRule="auto"/>
        <w:rPr>
          <w:sz w:val="22"/>
          <w:lang w:val="en-US"/>
        </w:rPr>
      </w:pPr>
      <w:r w:rsidRPr="00024CD7">
        <w:rPr>
          <w:lang w:val="en-US"/>
        </w:rPr>
        <w:br w:type="page"/>
      </w:r>
    </w:p>
    <w:p w14:paraId="76BD6704" w14:textId="77777777" w:rsidR="00EB03EF" w:rsidRPr="00024CD7" w:rsidRDefault="00EB03EF" w:rsidP="00EB03EF">
      <w:pPr>
        <w:pStyle w:val="Newparagraph"/>
        <w:keepNext/>
        <w:ind w:firstLine="0"/>
        <w:jc w:val="center"/>
      </w:pPr>
      <w:r w:rsidRPr="00024CD7">
        <w:rPr>
          <w:noProof/>
          <w:lang w:val="en-US"/>
        </w:rPr>
        <w:drawing>
          <wp:inline distT="0" distB="0" distL="0" distR="0" wp14:anchorId="5BE99A39" wp14:editId="2BCE68C1">
            <wp:extent cx="5396865" cy="4722495"/>
            <wp:effectExtent l="0" t="0" r="0" b="1905"/>
            <wp:docPr id="14835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1355" name="Picture 1483571355"/>
                    <pic:cNvPicPr/>
                  </pic:nvPicPr>
                  <pic:blipFill>
                    <a:blip r:embed="rId12">
                      <a:extLst>
                        <a:ext uri="{28A0092B-C50C-407E-A947-70E740481C1C}">
                          <a14:useLocalDpi xmlns:a14="http://schemas.microsoft.com/office/drawing/2010/main" val="0"/>
                        </a:ext>
                      </a:extLst>
                    </a:blip>
                    <a:stretch>
                      <a:fillRect/>
                    </a:stretch>
                  </pic:blipFill>
                  <pic:spPr>
                    <a:xfrm>
                      <a:off x="0" y="0"/>
                      <a:ext cx="5396865" cy="4722495"/>
                    </a:xfrm>
                    <a:prstGeom prst="rect">
                      <a:avLst/>
                    </a:prstGeom>
                  </pic:spPr>
                </pic:pic>
              </a:graphicData>
            </a:graphic>
          </wp:inline>
        </w:drawing>
      </w:r>
    </w:p>
    <w:p w14:paraId="5B260062" w14:textId="16A80459" w:rsidR="00EB03EF" w:rsidRDefault="00EB03EF" w:rsidP="00D10CE2">
      <w:pPr>
        <w:pStyle w:val="Figurecaption"/>
      </w:pPr>
      <w:r w:rsidRPr="00D10CE2">
        <w:t xml:space="preserve">Figure </w:t>
      </w:r>
      <w:fldSimple w:instr=" SEQ Figure \* ARABIC ">
        <w:r w:rsidR="009044B6">
          <w:rPr>
            <w:noProof/>
          </w:rPr>
          <w:t>1</w:t>
        </w:r>
      </w:fldSimple>
      <w:r w:rsidRPr="00D10CE2">
        <w:t xml:space="preserve"> The Correlation Network</w:t>
      </w:r>
    </w:p>
    <w:p w14:paraId="6157C9B1" w14:textId="4335267E" w:rsidR="00201CAB" w:rsidRPr="00201CAB" w:rsidRDefault="00201CAB" w:rsidP="0048275F">
      <w:pPr>
        <w:pStyle w:val="Footnotes"/>
      </w:pPr>
      <w:r w:rsidRPr="0048275F">
        <w:rPr>
          <w:i/>
        </w:rPr>
        <w:t>Note</w:t>
      </w:r>
      <w:r>
        <w:t xml:space="preserve">: </w:t>
      </w:r>
      <w:r w:rsidR="0048275F" w:rsidRPr="0048275F">
        <w:t>Each node represents a given metal. Metal abbreviations are defined in Table 1.</w:t>
      </w:r>
      <w:r w:rsidR="0048275F">
        <w:t xml:space="preserve"> </w:t>
      </w:r>
      <w:r w:rsidR="0048275F" w:rsidRPr="0048275F">
        <w:t>Edges represent the strength of correlation between the metals.</w:t>
      </w:r>
    </w:p>
    <w:p w14:paraId="25D1358B" w14:textId="5ABA81B7" w:rsidR="00EB03EF" w:rsidRPr="00024CD7" w:rsidRDefault="00EB03EF">
      <w:pPr>
        <w:spacing w:line="240" w:lineRule="auto"/>
        <w:rPr>
          <w:sz w:val="22"/>
          <w:lang w:val="en-US"/>
        </w:rPr>
      </w:pPr>
      <w:r w:rsidRPr="00024CD7">
        <w:rPr>
          <w:lang w:val="en-US"/>
        </w:rPr>
        <w:br w:type="page"/>
      </w:r>
    </w:p>
    <w:p w14:paraId="20CAA6F4" w14:textId="77777777" w:rsidR="00EB03EF" w:rsidRPr="00024CD7" w:rsidRDefault="00EB03EF" w:rsidP="00EB03EF">
      <w:pPr>
        <w:pStyle w:val="Nagwek2"/>
        <w:jc w:val="center"/>
        <w:rPr>
          <w:rFonts w:cs="Times New Roman"/>
        </w:rPr>
      </w:pPr>
      <w:r w:rsidRPr="00024CD7">
        <w:rPr>
          <w:rFonts w:cs="Times New Roman"/>
          <w:noProof/>
        </w:rPr>
        <w:drawing>
          <wp:inline distT="0" distB="0" distL="0" distR="0" wp14:anchorId="042EDE40" wp14:editId="1511027D">
            <wp:extent cx="5396865" cy="3855085"/>
            <wp:effectExtent l="0" t="0" r="0" b="0"/>
            <wp:docPr id="87264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2167" name="Picture 872642167"/>
                    <pic:cNvPicPr/>
                  </pic:nvPicPr>
                  <pic:blipFill>
                    <a:blip r:embed="rId13">
                      <a:extLst>
                        <a:ext uri="{28A0092B-C50C-407E-A947-70E740481C1C}">
                          <a14:useLocalDpi xmlns:a14="http://schemas.microsoft.com/office/drawing/2010/main" val="0"/>
                        </a:ext>
                      </a:extLst>
                    </a:blip>
                    <a:stretch>
                      <a:fillRect/>
                    </a:stretch>
                  </pic:blipFill>
                  <pic:spPr>
                    <a:xfrm>
                      <a:off x="0" y="0"/>
                      <a:ext cx="5396865" cy="3855085"/>
                    </a:xfrm>
                    <a:prstGeom prst="rect">
                      <a:avLst/>
                    </a:prstGeom>
                  </pic:spPr>
                </pic:pic>
              </a:graphicData>
            </a:graphic>
          </wp:inline>
        </w:drawing>
      </w:r>
    </w:p>
    <w:p w14:paraId="1973A287" w14:textId="51842B26" w:rsidR="00EB03EF" w:rsidRDefault="00EB03EF" w:rsidP="00EB03EF">
      <w:pPr>
        <w:pStyle w:val="Figurecaption"/>
      </w:pPr>
      <w:r w:rsidRPr="00024CD7">
        <w:t xml:space="preserve">Figure </w:t>
      </w:r>
      <w:fldSimple w:instr=" SEQ Figure \* ARABIC ">
        <w:r w:rsidR="009044B6">
          <w:rPr>
            <w:noProof/>
          </w:rPr>
          <w:t>2</w:t>
        </w:r>
      </w:fldSimple>
      <w:r w:rsidRPr="00024CD7">
        <w:t xml:space="preserve"> The metal price series and bubble periods detected with the GSADF test</w:t>
      </w:r>
    </w:p>
    <w:p w14:paraId="183B5F69" w14:textId="087D0742" w:rsidR="0048275F" w:rsidRPr="0048275F" w:rsidRDefault="0048275F" w:rsidP="0048275F">
      <w:pPr>
        <w:pStyle w:val="Footnotes"/>
      </w:pPr>
      <w:r>
        <w:t xml:space="preserve">Note: </w:t>
      </w:r>
      <w:r>
        <w:t>For a detailed description of the abbreviations, see Table 1.</w:t>
      </w:r>
    </w:p>
    <w:p w14:paraId="400F29FD" w14:textId="47155511" w:rsidR="00EB03EF" w:rsidRPr="00024CD7" w:rsidRDefault="00EB03EF">
      <w:pPr>
        <w:spacing w:line="240" w:lineRule="auto"/>
        <w:rPr>
          <w:sz w:val="22"/>
        </w:rPr>
      </w:pPr>
      <w:r w:rsidRPr="00024CD7">
        <w:br w:type="page"/>
      </w:r>
    </w:p>
    <w:p w14:paraId="325E80BB" w14:textId="77777777" w:rsidR="00EB03EF" w:rsidRPr="00024CD7" w:rsidRDefault="00EB03EF" w:rsidP="00EB03EF">
      <w:pPr>
        <w:pStyle w:val="Tekstpodstawowy"/>
      </w:pPr>
    </w:p>
    <w:p w14:paraId="6E7D57FA" w14:textId="77777777" w:rsidR="00EB03EF" w:rsidRPr="00024CD7" w:rsidRDefault="00EB03EF" w:rsidP="00EB03EF">
      <w:pPr>
        <w:pStyle w:val="Tekstpodstawowy"/>
        <w:keepNext/>
      </w:pPr>
      <w:r w:rsidRPr="00024CD7">
        <w:rPr>
          <w:noProof/>
        </w:rPr>
        <w:drawing>
          <wp:inline distT="0" distB="0" distL="0" distR="0" wp14:anchorId="2C18E8DB" wp14:editId="52A9F51F">
            <wp:extent cx="5391150" cy="3238500"/>
            <wp:effectExtent l="0" t="0" r="0" b="0"/>
            <wp:docPr id="1747660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59A50E0D" w14:textId="3DB9EF2A" w:rsidR="00EB03EF" w:rsidRDefault="00EB03EF" w:rsidP="00EB03EF">
      <w:pPr>
        <w:pStyle w:val="Figurecaption"/>
      </w:pPr>
      <w:r w:rsidRPr="00024CD7">
        <w:t xml:space="preserve">Figure </w:t>
      </w:r>
      <w:fldSimple w:instr=" SEQ Figure \* ARABIC ">
        <w:r w:rsidR="009044B6">
          <w:rPr>
            <w:noProof/>
          </w:rPr>
          <w:t>3</w:t>
        </w:r>
      </w:fldSimple>
      <w:r w:rsidRPr="00024CD7">
        <w:t xml:space="preserve"> The estimates of the dynamic conditional correlations for four copper series</w:t>
      </w:r>
    </w:p>
    <w:p w14:paraId="42AAA9C3" w14:textId="77777777" w:rsidR="0048275F" w:rsidRPr="0048275F" w:rsidRDefault="0048275F" w:rsidP="0048275F">
      <w:pPr>
        <w:pStyle w:val="Footnotes"/>
      </w:pPr>
      <w:r>
        <w:t>Note: For a detailed description of the abbreviations, see Table 1.</w:t>
      </w:r>
    </w:p>
    <w:p w14:paraId="1C56A2A7" w14:textId="77777777" w:rsidR="0048275F" w:rsidRPr="0048275F" w:rsidRDefault="0048275F" w:rsidP="0048275F"/>
    <w:p w14:paraId="6535D0C3" w14:textId="77777777" w:rsidR="00EB03EF" w:rsidRPr="00024CD7" w:rsidRDefault="00EB03EF">
      <w:pPr>
        <w:spacing w:line="240" w:lineRule="auto"/>
      </w:pPr>
      <w:r w:rsidRPr="00024CD7">
        <w:br w:type="page"/>
      </w:r>
    </w:p>
    <w:p w14:paraId="5C96C4C5" w14:textId="77777777" w:rsidR="00EB03EF" w:rsidRPr="00024CD7" w:rsidRDefault="00EB03EF" w:rsidP="00EB03EF">
      <w:pPr>
        <w:pStyle w:val="Tekstpodstawowy"/>
      </w:pPr>
    </w:p>
    <w:p w14:paraId="1F07A40B" w14:textId="77777777" w:rsidR="00EB03EF" w:rsidRPr="00024CD7" w:rsidRDefault="00EB03EF" w:rsidP="00EB03EF">
      <w:pPr>
        <w:pStyle w:val="Figurecaption"/>
      </w:pPr>
      <w:r w:rsidRPr="00024CD7">
        <w:rPr>
          <w:noProof/>
        </w:rPr>
        <w:drawing>
          <wp:inline distT="0" distB="0" distL="0" distR="0" wp14:anchorId="6E42E541" wp14:editId="1761E9A7">
            <wp:extent cx="5391150" cy="3238500"/>
            <wp:effectExtent l="0" t="0" r="0" b="0"/>
            <wp:docPr id="1852259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032CF1BF" w14:textId="5ADD9F55" w:rsidR="00EB03EF" w:rsidRDefault="00EB03EF" w:rsidP="00EB03EF">
      <w:pPr>
        <w:pStyle w:val="Figurecaption"/>
      </w:pPr>
      <w:r w:rsidRPr="00024CD7">
        <w:t xml:space="preserve">Figure </w:t>
      </w:r>
      <w:fldSimple w:instr=" SEQ Figure \* ARABIC ">
        <w:r w:rsidR="009044B6">
          <w:rPr>
            <w:noProof/>
          </w:rPr>
          <w:t>4</w:t>
        </w:r>
      </w:fldSimple>
      <w:r w:rsidRPr="00024CD7">
        <w:t xml:space="preserve"> The estimates of the dynamic conditional correlations for four nickel series</w:t>
      </w:r>
    </w:p>
    <w:p w14:paraId="353FDAC2" w14:textId="77777777" w:rsidR="0048275F" w:rsidRPr="0048275F" w:rsidRDefault="0048275F" w:rsidP="0048275F">
      <w:pPr>
        <w:pStyle w:val="Footnotes"/>
      </w:pPr>
      <w:r>
        <w:t>Note: For a detailed description of the abbreviations, see Table 1.</w:t>
      </w:r>
    </w:p>
    <w:p w14:paraId="2417846C" w14:textId="77777777" w:rsidR="0048275F" w:rsidRPr="0048275F" w:rsidRDefault="0048275F" w:rsidP="0048275F"/>
    <w:p w14:paraId="5CCC0E86" w14:textId="1B560C8A" w:rsidR="00EB03EF" w:rsidRPr="00024CD7" w:rsidRDefault="00EB03EF" w:rsidP="00EB03EF"/>
    <w:p w14:paraId="5D5D8C99" w14:textId="77777777" w:rsidR="00EB03EF" w:rsidRPr="00024CD7" w:rsidRDefault="00EB03EF" w:rsidP="00EB03EF">
      <w:pPr>
        <w:pStyle w:val="Tekstpodstawowy"/>
      </w:pPr>
    </w:p>
    <w:p w14:paraId="68E7BFE4" w14:textId="77777777" w:rsidR="00EB03EF" w:rsidRPr="00024CD7" w:rsidRDefault="00EB03EF" w:rsidP="00EB03EF">
      <w:pPr>
        <w:pStyle w:val="Tekstpodstawowy"/>
        <w:keepNext/>
      </w:pPr>
      <w:r w:rsidRPr="00024CD7">
        <w:rPr>
          <w:noProof/>
        </w:rPr>
        <w:drawing>
          <wp:inline distT="0" distB="0" distL="0" distR="0" wp14:anchorId="7173C71F" wp14:editId="01AAD9C4">
            <wp:extent cx="5391150" cy="3238500"/>
            <wp:effectExtent l="0" t="0" r="0" b="0"/>
            <wp:docPr id="73540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4F2BC626" w14:textId="0407243C" w:rsidR="00EB03EF" w:rsidRDefault="00EB03EF" w:rsidP="00D10CE2">
      <w:pPr>
        <w:pStyle w:val="Figurecaption"/>
      </w:pPr>
      <w:r w:rsidRPr="00024CD7">
        <w:t xml:space="preserve">Figure </w:t>
      </w:r>
      <w:fldSimple w:instr=" SEQ Figure \* ARABIC ">
        <w:r w:rsidR="009044B6">
          <w:rPr>
            <w:noProof/>
          </w:rPr>
          <w:t>5</w:t>
        </w:r>
      </w:fldSimple>
      <w:r w:rsidRPr="00024CD7">
        <w:t xml:space="preserve"> The estimates of the dynamic conditional correlations for four different metal</w:t>
      </w:r>
      <w:r w:rsidR="00A2714D">
        <w:t xml:space="preserve"> series</w:t>
      </w:r>
    </w:p>
    <w:p w14:paraId="7245882D" w14:textId="77777777" w:rsidR="0048275F" w:rsidRPr="0048275F" w:rsidRDefault="0048275F" w:rsidP="0048275F">
      <w:pPr>
        <w:pStyle w:val="Footnotes"/>
      </w:pPr>
      <w:r>
        <w:t>Note: For a detailed description of the abbreviations, see Table 1.</w:t>
      </w:r>
    </w:p>
    <w:p w14:paraId="491CD5DE" w14:textId="77777777" w:rsidR="0048275F" w:rsidRPr="0048275F" w:rsidRDefault="0048275F" w:rsidP="0048275F"/>
    <w:p w14:paraId="66D36E06" w14:textId="77777777" w:rsidR="00EB03EF" w:rsidRPr="00024CD7" w:rsidRDefault="00EB03EF" w:rsidP="00EB03EF">
      <w:pPr>
        <w:pStyle w:val="Figurecaption"/>
      </w:pPr>
    </w:p>
    <w:p w14:paraId="186D40E0" w14:textId="77777777" w:rsidR="00C7215E" w:rsidRPr="00024CD7" w:rsidRDefault="00C7215E" w:rsidP="00D764FA">
      <w:pPr>
        <w:pStyle w:val="Footnotes"/>
      </w:pPr>
    </w:p>
    <w:sectPr w:rsidR="00C7215E" w:rsidRPr="00024CD7" w:rsidSect="00074B81">
      <w:headerReference w:type="even" r:id="rId17"/>
      <w:headerReference w:type="default" r:id="rId18"/>
      <w:footerReference w:type="even" r:id="rId19"/>
      <w:footerReference w:type="default" r:id="rId20"/>
      <w:headerReference w:type="first" r:id="rId21"/>
      <w:footerReference w:type="first" r:id="rId22"/>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C5A9A" w14:textId="77777777" w:rsidR="007C7631" w:rsidRDefault="007C7631" w:rsidP="00AF2C92">
      <w:r>
        <w:separator/>
      </w:r>
    </w:p>
  </w:endnote>
  <w:endnote w:type="continuationSeparator" w:id="0">
    <w:p w14:paraId="79EE863E" w14:textId="77777777" w:rsidR="007C7631" w:rsidRDefault="007C7631"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20000287" w:usb1="00000000" w:usb2="00000000" w:usb3="00000000" w:csb0="0000019F" w:csb1="00000000"/>
  </w:font>
  <w:font w:name="font1340">
    <w:charset w:val="01"/>
    <w:family w:val="auto"/>
    <w:pitch w:val="variable"/>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5720EA" w:rsidRDefault="005720EA">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5720EA" w:rsidRDefault="005720EA">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5720EA" w:rsidRDefault="005720E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358DF" w14:textId="77777777" w:rsidR="007C7631" w:rsidRDefault="007C7631" w:rsidP="00AF2C92">
      <w:r>
        <w:separator/>
      </w:r>
    </w:p>
  </w:footnote>
  <w:footnote w:type="continuationSeparator" w:id="0">
    <w:p w14:paraId="1E84DE14" w14:textId="77777777" w:rsidR="007C7631" w:rsidRDefault="007C7631" w:rsidP="00AF2C92">
      <w:r>
        <w:continuationSeparator/>
      </w:r>
    </w:p>
  </w:footnote>
  <w:footnote w:id="1">
    <w:p w14:paraId="609AE795" w14:textId="0209A387" w:rsidR="005720EA" w:rsidRPr="00303644" w:rsidRDefault="005720EA" w:rsidP="009044B6">
      <w:pPr>
        <w:pStyle w:val="Footnotes"/>
        <w:rPr>
          <w:lang w:val="en-US"/>
        </w:rPr>
      </w:pPr>
      <w:r>
        <w:rPr>
          <w:rStyle w:val="Odwoanieprzypisudolnego"/>
        </w:rPr>
        <w:footnoteRef/>
      </w:r>
      <w:r>
        <w:t xml:space="preserve"> </w:t>
      </w:r>
      <w:r w:rsidRPr="00303644">
        <w:t>https://www.lme.com/</w:t>
      </w:r>
    </w:p>
  </w:footnote>
  <w:footnote w:id="2">
    <w:p w14:paraId="69470EEA" w14:textId="52B4EF5E" w:rsidR="005720EA" w:rsidRPr="00303644" w:rsidRDefault="005720EA" w:rsidP="009044B6">
      <w:pPr>
        <w:pStyle w:val="Footnotes"/>
        <w:rPr>
          <w:lang w:val="en-US"/>
        </w:rPr>
      </w:pPr>
      <w:r>
        <w:rPr>
          <w:rStyle w:val="Odwoanieprzypisudolnego"/>
        </w:rPr>
        <w:footnoteRef/>
      </w:r>
      <w:r>
        <w:t xml:space="preserve"> </w:t>
      </w:r>
      <w:r w:rsidRPr="00303644">
        <w:t>https://www.cmegroup.com/company/comex.html</w:t>
      </w:r>
    </w:p>
  </w:footnote>
  <w:footnote w:id="3">
    <w:p w14:paraId="401EC94D" w14:textId="703DA435" w:rsidR="005720EA" w:rsidRPr="00303644" w:rsidRDefault="005720EA" w:rsidP="009044B6">
      <w:pPr>
        <w:pStyle w:val="Footnotes"/>
        <w:rPr>
          <w:lang w:val="en-US"/>
        </w:rPr>
      </w:pPr>
      <w:r>
        <w:rPr>
          <w:rStyle w:val="Odwoanieprzypisudolnego"/>
        </w:rPr>
        <w:footnoteRef/>
      </w:r>
      <w:r>
        <w:t xml:space="preserve"> </w:t>
      </w:r>
      <w:r w:rsidRPr="00303644">
        <w:t>https://www.shfe.com.cn/eng/</w:t>
      </w:r>
    </w:p>
  </w:footnote>
  <w:footnote w:id="4">
    <w:p w14:paraId="2C053C9F" w14:textId="19021471" w:rsidR="005720EA" w:rsidRPr="00303644" w:rsidRDefault="005720EA"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r w:rsidR="009044B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5720EA" w:rsidRDefault="005720EA">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5720EA" w:rsidRDefault="005720EA">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5720EA" w:rsidRDefault="005720E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4CD7"/>
    <w:rsid w:val="00026871"/>
    <w:rsid w:val="00037A98"/>
    <w:rsid w:val="000427FB"/>
    <w:rsid w:val="0004455E"/>
    <w:rsid w:val="00047CB5"/>
    <w:rsid w:val="00051FAA"/>
    <w:rsid w:val="000572A9"/>
    <w:rsid w:val="00061325"/>
    <w:rsid w:val="00065DA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24678"/>
    <w:rsid w:val="00134A51"/>
    <w:rsid w:val="00140727"/>
    <w:rsid w:val="00160628"/>
    <w:rsid w:val="00161344"/>
    <w:rsid w:val="00162195"/>
    <w:rsid w:val="0016322A"/>
    <w:rsid w:val="00165A21"/>
    <w:rsid w:val="001705CE"/>
    <w:rsid w:val="0017714B"/>
    <w:rsid w:val="001804DF"/>
    <w:rsid w:val="00181BDC"/>
    <w:rsid w:val="00181DB0"/>
    <w:rsid w:val="001829E3"/>
    <w:rsid w:val="0019108C"/>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1CAB"/>
    <w:rsid w:val="00201FFE"/>
    <w:rsid w:val="0020415E"/>
    <w:rsid w:val="00204FF4"/>
    <w:rsid w:val="0021056E"/>
    <w:rsid w:val="0021075D"/>
    <w:rsid w:val="0021165A"/>
    <w:rsid w:val="00211BC9"/>
    <w:rsid w:val="0021620C"/>
    <w:rsid w:val="00216E78"/>
    <w:rsid w:val="00217275"/>
    <w:rsid w:val="002211DD"/>
    <w:rsid w:val="00226115"/>
    <w:rsid w:val="00236F4B"/>
    <w:rsid w:val="00242B0D"/>
    <w:rsid w:val="002467C6"/>
    <w:rsid w:val="0024692A"/>
    <w:rsid w:val="00252BBA"/>
    <w:rsid w:val="00253123"/>
    <w:rsid w:val="00264001"/>
    <w:rsid w:val="00266354"/>
    <w:rsid w:val="00267A18"/>
    <w:rsid w:val="00273462"/>
    <w:rsid w:val="0027395B"/>
    <w:rsid w:val="00275854"/>
    <w:rsid w:val="00281A6D"/>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18D1"/>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4F0C"/>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275F"/>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E5A83"/>
    <w:rsid w:val="004E7D3E"/>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1DB5"/>
    <w:rsid w:val="00534ECC"/>
    <w:rsid w:val="00535019"/>
    <w:rsid w:val="0053720D"/>
    <w:rsid w:val="00540EF5"/>
    <w:rsid w:val="00541BF3"/>
    <w:rsid w:val="00541CD3"/>
    <w:rsid w:val="005476FA"/>
    <w:rsid w:val="0055595E"/>
    <w:rsid w:val="00557988"/>
    <w:rsid w:val="00562C49"/>
    <w:rsid w:val="00562DEF"/>
    <w:rsid w:val="0056321A"/>
    <w:rsid w:val="00563A35"/>
    <w:rsid w:val="00566596"/>
    <w:rsid w:val="005720EA"/>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0574"/>
    <w:rsid w:val="005E2EEA"/>
    <w:rsid w:val="005E3708"/>
    <w:rsid w:val="005E3CCD"/>
    <w:rsid w:val="005E3D6B"/>
    <w:rsid w:val="005E5B55"/>
    <w:rsid w:val="005E5E4A"/>
    <w:rsid w:val="005E693D"/>
    <w:rsid w:val="005E75BF"/>
    <w:rsid w:val="005F57BA"/>
    <w:rsid w:val="005F61E6"/>
    <w:rsid w:val="005F6C45"/>
    <w:rsid w:val="0060209A"/>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3EB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1286"/>
    <w:rsid w:val="007C301F"/>
    <w:rsid w:val="007C4540"/>
    <w:rsid w:val="007C65AF"/>
    <w:rsid w:val="007C7631"/>
    <w:rsid w:val="007D135D"/>
    <w:rsid w:val="007D6CD3"/>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4C94"/>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28"/>
    <w:rsid w:val="008D435A"/>
    <w:rsid w:val="008E387B"/>
    <w:rsid w:val="008E6087"/>
    <w:rsid w:val="008E758D"/>
    <w:rsid w:val="008F10A7"/>
    <w:rsid w:val="008F755D"/>
    <w:rsid w:val="008F7A39"/>
    <w:rsid w:val="009021E8"/>
    <w:rsid w:val="009044B6"/>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5755D"/>
    <w:rsid w:val="009644EF"/>
    <w:rsid w:val="009673E8"/>
    <w:rsid w:val="00974DB8"/>
    <w:rsid w:val="00980661"/>
    <w:rsid w:val="0098093B"/>
    <w:rsid w:val="0098573C"/>
    <w:rsid w:val="009876D4"/>
    <w:rsid w:val="009914A5"/>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2714D"/>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2EDD"/>
    <w:rsid w:val="00BB3FCC"/>
    <w:rsid w:val="00BB5267"/>
    <w:rsid w:val="00BB52B8"/>
    <w:rsid w:val="00BB59D8"/>
    <w:rsid w:val="00BB7E69"/>
    <w:rsid w:val="00BC0E51"/>
    <w:rsid w:val="00BC3C1F"/>
    <w:rsid w:val="00BC7CE7"/>
    <w:rsid w:val="00BD295E"/>
    <w:rsid w:val="00BD4664"/>
    <w:rsid w:val="00BE1193"/>
    <w:rsid w:val="00BE2496"/>
    <w:rsid w:val="00BE41B7"/>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535"/>
    <w:rsid w:val="00C80924"/>
    <w:rsid w:val="00C8286B"/>
    <w:rsid w:val="00C947F8"/>
    <w:rsid w:val="00C9515F"/>
    <w:rsid w:val="00C963C5"/>
    <w:rsid w:val="00CA030C"/>
    <w:rsid w:val="00CA1F41"/>
    <w:rsid w:val="00CA2C55"/>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0CE2"/>
    <w:rsid w:val="00D12806"/>
    <w:rsid w:val="00D12D44"/>
    <w:rsid w:val="00D15018"/>
    <w:rsid w:val="00D158AC"/>
    <w:rsid w:val="00D1694C"/>
    <w:rsid w:val="00D20F5E"/>
    <w:rsid w:val="00D23B76"/>
    <w:rsid w:val="00D24B4A"/>
    <w:rsid w:val="00D379A3"/>
    <w:rsid w:val="00D40322"/>
    <w:rsid w:val="00D45FF3"/>
    <w:rsid w:val="00D512CF"/>
    <w:rsid w:val="00D528B9"/>
    <w:rsid w:val="00D53186"/>
    <w:rsid w:val="00D5406D"/>
    <w:rsid w:val="00D5487D"/>
    <w:rsid w:val="00D60140"/>
    <w:rsid w:val="00D6024A"/>
    <w:rsid w:val="00D608B5"/>
    <w:rsid w:val="00D64739"/>
    <w:rsid w:val="00D71F99"/>
    <w:rsid w:val="00D73CA4"/>
    <w:rsid w:val="00D73D71"/>
    <w:rsid w:val="00D74396"/>
    <w:rsid w:val="00D764FA"/>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1E98"/>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78"/>
    <w:rsid w:val="00E14F94"/>
    <w:rsid w:val="00E17336"/>
    <w:rsid w:val="00E17D15"/>
    <w:rsid w:val="00E22B95"/>
    <w:rsid w:val="00E30331"/>
    <w:rsid w:val="00E30BB8"/>
    <w:rsid w:val="00E31F9C"/>
    <w:rsid w:val="00E34ED3"/>
    <w:rsid w:val="00E40488"/>
    <w:rsid w:val="00E47E22"/>
    <w:rsid w:val="00E50367"/>
    <w:rsid w:val="00E51ABA"/>
    <w:rsid w:val="00E524CB"/>
    <w:rsid w:val="00E62064"/>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3EF"/>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65C7"/>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zastpczy">
    <w:name w:val="Placeholder Text"/>
    <w:basedOn w:val="Domylnaczcionkaakapitu"/>
    <w:rsid w:val="002261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7877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user\Downloads\dailymetalprice.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1nhrr\Document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2.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CE2154-1375-4B3E-B372-2BDE8B965313}">
  <ds:schemaRefs>
    <ds:schemaRef ds:uri="http://schemas.microsoft.com/office/2006/metadata/properties"/>
    <ds:schemaRef ds:uri="http://schemas.microsoft.com/office/infopath/2007/PartnerControls"/>
    <ds:schemaRef ds:uri="3a7e6068-1895-45e3-9135-cfe04c0031da"/>
  </ds:schemaRefs>
</ds:datastoreItem>
</file>

<file path=customXml/itemProps4.xml><?xml version="1.0" encoding="utf-8"?>
<ds:datastoreItem xmlns:ds="http://schemas.openxmlformats.org/officeDocument/2006/customXml" ds:itemID="{1CA57980-4DC1-494D-A6EC-AD3587A50A49}">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7</TotalTime>
  <Pages>36</Pages>
  <Words>8185</Words>
  <Characters>46655</Characters>
  <Application>Microsoft Office Word</Application>
  <DocSecurity>0</DocSecurity>
  <Lines>388</Lines>
  <Paragraphs>109</Paragraphs>
  <ScaleCrop>false</ScaleCrop>
  <HeadingPairs>
    <vt:vector size="6" baseType="variant">
      <vt:variant>
        <vt:lpstr>Tytuł</vt:lpstr>
      </vt:variant>
      <vt:variant>
        <vt:i4>1</vt:i4>
      </vt:variant>
      <vt:variant>
        <vt:lpstr>Nagłówki</vt:lpstr>
      </vt:variant>
      <vt:variant>
        <vt:i4>14</vt:i4>
      </vt:variant>
      <vt:variant>
        <vt:lpstr>Title</vt:lpstr>
      </vt:variant>
      <vt:variant>
        <vt:i4>1</vt:i4>
      </vt:variant>
    </vt:vector>
  </HeadingPairs>
  <TitlesOfParts>
    <vt:vector size="16" baseType="lpstr">
      <vt:lpstr>TF_Template_Word_Windows_2016</vt:lpstr>
      <vt:lpstr>Introduction</vt:lpstr>
      <vt:lpstr>Literature review</vt:lpstr>
      <vt:lpstr>Data and Methodology</vt:lpstr>
      <vt:lpstr>    Data</vt:lpstr>
      <vt:lpstr>    Methods</vt:lpstr>
      <vt:lpstr>Empirical results</vt:lpstr>
      <vt:lpstr>    The correlation network</vt:lpstr>
      <vt:lpstr>    Speculative bubbles</vt:lpstr>
      <vt:lpstr>    Cointegration - Johansen method</vt:lpstr>
      <vt:lpstr>    Dynamic Conditional Correlation Models</vt:lpstr>
      <vt:lpstr>Conclusions</vt:lpstr>
      <vt:lpstr>Conflict of interest</vt:lpstr>
      <vt:lpstr>&lt;References&gt;</vt:lpstr>
      <vt:lpstr>    /</vt:lpstr>
      <vt:lpstr>TF_Template_Word_Windows_2016</vt:lpstr>
    </vt:vector>
  </TitlesOfParts>
  <Company>Informa Plc</Company>
  <LinksUpToDate>false</LinksUpToDate>
  <CharactersWithSpaces>54731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3</cp:revision>
  <cp:lastPrinted>2026-05-18T10:09:00Z</cp:lastPrinted>
  <dcterms:created xsi:type="dcterms:W3CDTF">2026-05-18T10:23:00Z</dcterms:created>
  <dcterms:modified xsi:type="dcterms:W3CDTF">2026-05-18T10:30:00Z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