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C8991F"/>
          <w:sz w:val="20"/>
          <w:szCs w:val="20"/>
        </w:rPr>
        <w:t xml:space="preserve">DHWANI RIS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8B1A1A"/>
          <w:sz w:val="56"/>
          <w:szCs w:val="56"/>
        </w:rPr>
        <w:t xml:space="preserve">Everything AI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7534E"/>
          <w:sz w:val="36"/>
          <w:szCs w:val="36"/>
        </w:rPr>
        <w:t xml:space="preserve">Skill Catalog</w:t>
      </w:r>
    </w:p>
    <w:p>
      <w:pPr>
        <w:pBdr>
          <w:top w:val="single" w:color="C8991F" w:sz="2"/>
        </w:pBdr>
        <w:spacing w:after="120"/>
        <w:jc w:val="center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78716C"/>
          <w:sz w:val="22"/>
          <w:szCs w:val="22"/>
        </w:rPr>
        <w:t xml:space="preserve">49 AI agent skills · 5 clusters · 39 connections · 10-step Golden Path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78716C"/>
          <w:sz w:val="22"/>
          <w:szCs w:val="22"/>
        </w:rPr>
        <w:t xml:space="preserve">From client call to shipped code — every step has a dedicated AI skill.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8991F"/>
          <w:sz w:val="18"/>
          <w:szCs w:val="18"/>
        </w:rPr>
        <w:t xml:space="preserve">THE MULTIPLIER EFFECT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13"/>
        <w:gridCol w:w="2813"/>
      </w:tblGrid>
      <w:tr>
        <w:tc>
          <w:tcPr>
            <w:tcW w:type="dxa" w:w="3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D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Metric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Before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BRD → Code time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91B1B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3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Domain errors (CSR, FCRA)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91B1B"/>
                <w:sz w:val="18"/>
                <w:szCs w:val="18"/>
              </w:rPr>
              <w:t xml:space="preserve">Frequent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Near-zero</w:t>
            </w:r>
          </w:p>
        </w:tc>
      </w:tr>
      <w:tr>
        <w:tc>
          <w:tcPr>
            <w:tcW w:type="dxa" w:w="3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Design consistency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91B1B"/>
                <w:sz w:val="18"/>
                <w:szCs w:val="18"/>
              </w:rPr>
              <w:t xml:space="preserve">Variable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3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New PM/engineer onboarding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91B1B"/>
                <w:sz w:val="18"/>
                <w:szCs w:val="18"/>
              </w:rPr>
              <w:t xml:space="preserve">2 weeks shadowing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Day 1 productive</w:t>
            </w:r>
          </w:p>
        </w:tc>
      </w:tr>
      <w:tr>
        <w:tc>
          <w:tcPr>
            <w:tcW w:type="dxa" w:w="3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Client communication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91B1B"/>
                <w:sz w:val="18"/>
                <w:szCs w:val="18"/>
              </w:rPr>
              <w:t xml:space="preserve">Inconsistent</w:t>
            </w:r>
          </w:p>
        </w:tc>
        <w:tc>
          <w:tcPr>
            <w:tcW w:type="dxa" w:w="28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Templated + contextualized</w:t>
            </w:r>
          </w:p>
        </w:tc>
      </w:tr>
    </w:tbl>
    <w:p>
      <w:pPr>
        <w:spacing w:before="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C8991F"/>
          <w:sz w:val="18"/>
          <w:szCs w:val="18"/>
        </w:rPr>
        <w:t xml:space="preserve">CONTRIBUTORS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C1917"/>
          <w:sz w:val="20"/>
          <w:szCs w:val="20"/>
        </w:rPr>
        <w:t xml:space="preserve">Affaan Mustafa</w:t>
      </w:r>
      <w:r>
        <w:rPr>
          <w:rFonts w:ascii="Calibri" w:cs="Calibri" w:eastAsia="Calibri" w:hAnsi="Calibri"/>
          <w:color w:val="78716C"/>
          <w:sz w:val="20"/>
          <w:szCs w:val="20"/>
        </w:rPr>
        <w:t xml:space="preserve"> · Everything Claude Code (120+ base skills)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C1917"/>
          <w:sz w:val="20"/>
          <w:szCs w:val="20"/>
        </w:rPr>
        <w:t xml:space="preserve">Ankit Jangir</w:t>
      </w:r>
      <w:r>
        <w:rPr>
          <w:rFonts w:ascii="Calibri" w:cs="Calibri" w:eastAsia="Calibri" w:hAnsi="Calibri"/>
          <w:color w:val="78716C"/>
          <w:sz w:val="20"/>
          <w:szCs w:val="20"/>
        </w:rPr>
        <w:t xml:space="preserve"> · 13 technical skills + 2 agents + 5 rules + safety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C1917"/>
          <w:sz w:val="20"/>
          <w:szCs w:val="20"/>
        </w:rPr>
        <w:t xml:space="preserve">Nihaan Mohammed</w:t>
      </w:r>
      <w:r>
        <w:rPr>
          <w:rFonts w:ascii="Calibri" w:cs="Calibri" w:eastAsia="Calibri" w:hAnsi="Calibri"/>
          <w:color w:val="78716C"/>
          <w:sz w:val="20"/>
          <w:szCs w:val="20"/>
        </w:rPr>
        <w:t xml:space="preserve"> · 28 skills (domain, design, product workflows)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C1917"/>
          <w:sz w:val="20"/>
          <w:szCs w:val="20"/>
        </w:rPr>
        <w:t xml:space="preserve">Swapnil Agarwal</w:t>
      </w:r>
      <w:r>
        <w:rPr>
          <w:rFonts w:ascii="Calibri" w:cs="Calibri" w:eastAsia="Calibri" w:hAnsi="Calibri"/>
          <w:color w:val="78716C"/>
          <w:sz w:val="20"/>
          <w:szCs w:val="20"/>
        </w:rPr>
        <w:t xml:space="preserve"> · BRD-to-spec pipeline + spec template</w:t>
      </w:r>
    </w:p>
    <w:p>
      <w:r>
        <w:br w:type="page"/>
      </w:r>
    </w:p>
    <w:p>
      <w:pPr>
        <w:spacing w:before="360" w:after="120"/>
      </w:pPr>
      <w:r>
        <w:rPr>
          <w:rFonts w:ascii="Calibri" w:cs="Calibri" w:eastAsia="Calibri" w:hAnsi="Calibri"/>
          <w:sz w:val="28"/>
          <w:szCs w:val="28"/>
        </w:rPr>
        <w:t xml:space="preserve">🟡 </w:t>
      </w:r>
      <w:r>
        <w:rPr>
          <w:rFonts w:ascii="Calibri" w:cs="Calibri" w:eastAsia="Calibri" w:hAnsi="Calibri"/>
          <w:b/>
          <w:bCs/>
          <w:color w:val="8B1A1A"/>
          <w:sz w:val="28"/>
          <w:szCs w:val="28"/>
        </w:rPr>
        <w:t xml:space="preserve">Domain Knowledge (6 skills)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8716C"/>
          <w:sz w:val="20"/>
          <w:szCs w:val="20"/>
        </w:rPr>
        <w:t xml:space="preserve">India social sector domain expertise. Load as context alongside builder or product skills.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2600"/>
      </w:tblGrid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Skill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What It Knows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csr-compliance-india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Companies Act 2013 §135, Schedule VII, 11 MCA reports, penalties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Indian CSR law, MCA forms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ngo-operations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Trust/Society/Section 8, 12A/80G/FCRA/DARPAN/CSR-1, governance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NGO governance, registrations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development-sector-grants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Grant lifecycle (9 stages), ToC, LogFrame, M&amp;E, SDGs, SROI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Program design, M&amp;E planning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grant-management-operations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Fund flow, UCs, SoEs, budget management, apportionment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Fund flow, UCs, budgets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fcra-compliance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FCRA 2010+2020, SBI designated account, 20% admin cap, FC-4/FC-6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Foreign funding, FCRA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data-mis-design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ODK, KoBoToolbox, mForm, MIS design, dashboards, DPDP Act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Data collection, MIS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cs="Calibri" w:eastAsia="Calibri" w:hAnsi="Calibri"/>
          <w:sz w:val="28"/>
          <w:szCs w:val="28"/>
        </w:rPr>
        <w:t xml:space="preserve">🟢 </w:t>
      </w:r>
      <w:r>
        <w:rPr>
          <w:rFonts w:ascii="Calibri" w:cs="Calibri" w:eastAsia="Calibri" w:hAnsi="Calibri"/>
          <w:b/>
          <w:bCs/>
          <w:color w:val="8B1A1A"/>
          <w:sz w:val="28"/>
          <w:szCs w:val="28"/>
        </w:rPr>
        <w:t xml:space="preserve">Design Skills (7 skills)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8716C"/>
          <w:sz w:val="20"/>
          <w:szCs w:val="20"/>
        </w:rPr>
        <w:t xml:space="preserve">UI/UX/Architecture frameworks. Design review chain: Frontend Designer → UX Reviewer → Accessibility Auditor.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2600"/>
      </w:tblGrid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Skill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frontend-designer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Anti-AI-slop design, 30+ aesthetic tones, brand defaults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Any new UI work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ux-reviewer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10-priority UX review, PASS/FAIL scoring per category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Reviewing existing UI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accessibility-auditor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WCAG 2.1 AA audit/fix, contrast calc, auto-fix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WCAG compliance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react-composition-patterns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Compound components, React 19, boolean prop elimination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Refactoring React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frappe-ui-design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ui.frappe.io components, Dhwani brand, module scaffolding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Frappe-based UIs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system-architecture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5-pillar thinking, 20-question framework, AI-aware decomposition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Architecture decisions</w:t>
            </w:r>
          </w:p>
        </w:tc>
      </w:tr>
      <w:tr>
        <w:tc>
          <w:tcPr>
            <w:tcW w:type="dxa" w:w="2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figma-to-powerbi</w:t>
            </w:r>
          </w:p>
        </w:tc>
        <w:tc>
          <w:tcPr>
            <w:tcW w:type="dxa" w:w="4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Figma dashboard → PowerBI: theme JSON, PBIR, DAX measures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Figma to PowerBI conversion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cs="Calibri" w:eastAsia="Calibri" w:hAnsi="Calibri"/>
          <w:sz w:val="28"/>
          <w:szCs w:val="28"/>
        </w:rPr>
        <w:t xml:space="preserve">🔴 </w:t>
      </w:r>
      <w:r>
        <w:rPr>
          <w:rFonts w:ascii="Calibri" w:cs="Calibri" w:eastAsia="Calibri" w:hAnsi="Calibri"/>
          <w:b/>
          <w:bCs/>
          <w:color w:val="8B1A1A"/>
          <w:sz w:val="28"/>
          <w:szCs w:val="28"/>
        </w:rPr>
        <w:t xml:space="preserve">Product Workflows (17 skills)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8716C"/>
          <w:sz w:val="20"/>
          <w:szCs w:val="20"/>
        </w:rPr>
        <w:t xml:space="preserve">Dhwani RIS PM, BA, engineering, and delivery workflows. Golden Path runs through 10 of these.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Role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Input → Output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dris-business-analyst ⭐①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BA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Raw client inputs → BRD + Requirements Matrix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dris-feature-spec ⭐②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PM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Raw idea → .docx feature spec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dris-technical-pm ⭐③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PM/Arch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Feature spec → Solution architecture (COVE)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brd-to-implementation-spec ⭐④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Architect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BRD → Claude Code-ready tech spec (6 phases)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dris-frappe-doctype ⭐⑤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Engineer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Spec → DocType JSON + workflow definitions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dris-pr-raiser ⭐⑧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Engineer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Completed changes → GitHub PR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dris-release-notes ⭐⑨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PM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Git log → Internal notes + customer email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dris-email-drafter ⭐⑩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PM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Context → Draft email for Outlook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dris-ticketing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PM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Feature spec → Linear tickets (batch)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dris-skill-selector 🔶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Router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Task description → Skill + execution order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dris-product-docs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Writer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Completed feature → Wiki .md chapters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dris-weekly-update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PM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Git log + Linear → .docx weekly report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dris-mgrant-donor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Domain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40+ DocTypes, 5 grant flows — donor platform context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dris-mgrant-csr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Domain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MCA §135, budget lifecycle — CSR module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dris-mgrant-nuo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Domain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NGO grants, sub-grants, FCRA — NGO platform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dris-mgrant-bulk-upload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Engineer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Data → PREP-MAP-SAMPLE-EXECUTE with PM gates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dris-mgrant-setup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Engineer</w:t>
            </w:r>
          </w:p>
        </w:tc>
        <w:tc>
          <w:tcPr>
            <w:tcW w:type="dxa" w:w="52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Setup requirements → 11-phase configuration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cs="Calibri" w:eastAsia="Calibri" w:hAnsi="Calibri"/>
          <w:sz w:val="28"/>
          <w:szCs w:val="28"/>
        </w:rPr>
        <w:t xml:space="preserve">🔵 </w:t>
      </w:r>
      <w:r>
        <w:rPr>
          <w:rFonts w:ascii="Calibri" w:cs="Calibri" w:eastAsia="Calibri" w:hAnsi="Calibri"/>
          <w:b/>
          <w:bCs/>
          <w:color w:val="8B1A1A"/>
          <w:sz w:val="28"/>
          <w:szCs w:val="28"/>
        </w:rPr>
        <w:t xml:space="preserve">Builder / Technical (13 skills)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8716C"/>
          <w:sz w:val="20"/>
          <w:szCs w:val="20"/>
        </w:rPr>
        <w:t xml:space="preserve">Technical implementation patterns by Ankit Jangir. frappe-development and qa-testing are the most comprehensive Frappe patterns in any public repo.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26"/>
        <w:gridCol w:w="2600"/>
      </w:tblGrid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Skill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Focus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frappe-development ⭐⑥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DocType, API security, hooks, testing — 500 lines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ALL Frappe code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qa-testing ⭐⑦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Playwright E2E, POM, CI, permissions — 569 lines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E2E test setup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pm-workflow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Figma-to-code, walkthrough, demo prep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Demo preparation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angular-node-patterns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Angular + Express + MongoDB microservices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Angular/Express projects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mongodb-patterns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Schema design, aggregation, encryption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MongoDB projects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microservices-patterns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Service communication, API gateway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Multi-service arch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devops-loadtesting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k6, Locust, monitoring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Performance validation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devops-scheduling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Frappe scheduler, PM2, cron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Background jobs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github-analytics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GitHub CLI, DORA metrics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Engineering metrics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postgres-frappe-patterns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PostgreSQL optimization for Frappe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Query optimization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govt-csr-compliance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Audit trails, PII, RBAC, WCAG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Compliance in code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knowledge-base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Team KBs, CLAUDE.md templates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Knowledge management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documentation-workflow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API docs, user guides, release notes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API documentation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cs="Calibri" w:eastAsia="Calibri" w:hAnsi="Calibri"/>
          <w:sz w:val="28"/>
          <w:szCs w:val="28"/>
        </w:rPr>
        <w:t xml:space="preserve">⚪ </w:t>
      </w:r>
      <w:r>
        <w:rPr>
          <w:rFonts w:ascii="Calibri" w:cs="Calibri" w:eastAsia="Calibri" w:hAnsi="Calibri"/>
          <w:b/>
          <w:bCs/>
          <w:color w:val="8B1A1A"/>
          <w:sz w:val="28"/>
          <w:szCs w:val="28"/>
        </w:rPr>
        <w:t xml:space="preserve">Templates &amp; Guides (6 skills)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8716C"/>
          <w:sz w:val="20"/>
          <w:szCs w:val="20"/>
        </w:rPr>
        <w:t xml:space="preserve">Reference material. Use at project start or when creating new skills.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26"/>
        <w:gridCol w:w="2600"/>
      </w:tblGrid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File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claude-template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Generator prompt for CLAUDE.md in any repo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Start of every new repo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evals-template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Skill evaluation test framework — 3+ test cases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Every new skill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spec-template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Tech spec skeleton — 13 sections + 3 appendices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Frappe v16 projects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tooling-reference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ECC + Autoresearch + Paperclip install guide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Setting up AI tools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vibe-coding-how-to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Non-technical onboarding for Claude Code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Onboarding PMs</w:t>
            </w:r>
          </w:p>
        </w:tc>
      </w:tr>
      <w:tr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8"/>
                <w:szCs w:val="18"/>
              </w:rPr>
              <w:t xml:space="preserve">skill-authoring-standards</w:t>
            </w:r>
          </w:p>
        </w:tc>
        <w:tc>
          <w:tcPr>
            <w:tcW w:type="dxa" w:w="382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Frontmatter, evals, semver standards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03C"/>
                <w:sz w:val="18"/>
                <w:szCs w:val="18"/>
              </w:rPr>
              <w:t xml:space="preserve">Creating new skills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D1" w:sz="1"/>
      </w:pBdr>
      <w:spacing w:before="80"/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Page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CA3AF"/>
        <w:sz w:val="16"/>
        <w:szCs w:val="16"/>
      </w:rPr>
      <w:t xml:space="preserve"> · github.com/Doot-Workspaces/dhwani-everything-claude-code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91F" w:sz="1"/>
      </w:pBdr>
      <w:jc w:val="right"/>
    </w:pPr>
    <w:r>
      <w:rPr>
        <w:rFonts w:ascii="Calibri" w:cs="Calibri" w:eastAsia="Calibri" w:hAnsi="Calibri"/>
        <w:color w:val="C8991F"/>
        <w:sz w:val="16"/>
        <w:szCs w:val="16"/>
      </w:rPr>
      <w:t xml:space="preserve">Dhwani RIS · Everything AI · Skill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2026-03-20T17:55:21.372Z</dcterms:created>
  <dcterms:modified xsi:type="dcterms:W3CDTF">2026-03-20T17:55:21.373Z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