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four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RETURNED (conditional)</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four checks: a static import-graph parse using ast; a static call-graph check for attention or audio symbols inside X_core or E_t computation; a runtime check that computes X_core and E_t with the attention and audio modules monkeypatched to raise on any attribute access; and a fourth added later, covering the compatibility shim described at the end of this row. Each was demonstrated failing on a deliberate violation before being relied on.</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the harness acceptance check and the ROI features it enables.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has NOT yet been carried out — see the status note below.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b/>
          <w:bCs/>
          <w:sz w:val="20"/>
          <w:szCs w:val="20"/>
        </w:rPr>
        <w:t xml:space="preserve">CORRECTION TO AN EARLIER DRAFT: the acceptance check has NOT been performed. </w:t>
      </w:r>
      <w:r>
        <w:rPr>
          <w:rFonts w:ascii="Calibri" w:cs="Calibri" w:eastAsia="Calibri" w:hAnsi="Calibri"/>
          <w:sz w:val="20"/>
          <w:szCs w:val="20"/>
        </w:rPr>
        <w:t xml:space="preserve">A previous version of this document described it as in progress. It has not started — the harness package has not yet been opened. Everything in this row is therefore conditional on a check that is outstanding, and I would rather state that than let the row read as verified. It is the single item blocking this row.</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the harness: </w:t>
      </w:r>
      <w:r>
        <w:rPr>
          <w:rFonts w:ascii="Calibri" w:cs="Calibri" w:eastAsia="Calibri" w:hAnsi="Calibri"/>
          <w:sz w:val="20"/>
          <w:szCs w:val="20"/>
        </w:rPr>
        <w:t xml:space="preserve">the episodes whose range must be designed are episodes in the supplied task environment, so the reliability design can be fully specified only once the acceptance check is complete.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measures are implemented in analysis/reliability.py — SEM, repeatability coefficient, Bland–Altman with plots, within-unit CV, each per signal with confidence intervals from episode-level resampling. The guarded ICC is implemented and raises on a single-unit structure with an explanatory message.</w:t>
      </w:r>
    </w:p>
    <w:p>
      <w:pPr>
        <w:spacing w:after="120" w:before="0"/>
      </w:pPr>
      <w:r>
        <w:rPr>
          <w:rFonts w:ascii="Calibri" w:cs="Calibri" w:eastAsia="Calibri" w:hAnsi="Calibri"/>
          <w:sz w:val="20"/>
          <w:szCs w:val="20"/>
        </w:rPr>
        <w:t xml:space="preserve">Validated against synthetic data with known ground truth: on i.i.d. episode means where the population SEM is 0.1826 by construction, the implementation returns 0.1896 — 3.8% relative error.</w:t>
      </w:r>
    </w:p>
    <w:p>
      <w:pPr>
        <w:spacing w:after="120" w:before="0"/>
      </w:pPr>
      <w:r>
        <w:rPr>
          <w:rFonts w:ascii="Calibri" w:cs="Calibri" w:eastAsia="Calibri" w:hAnsi="Calibri"/>
          <w:b/>
          <w:bCs/>
          <w:sz w:val="20"/>
          <w:szCs w:val="20"/>
        </w:rPr>
        <w:t xml:space="preserve">No reliability RESULT exists, and none should. </w:t>
      </w:r>
      <w:r>
        <w:rPr>
          <w:rFonts w:ascii="Calibri" w:cs="Calibri" w:eastAsia="Calibri" w:hAnsi="Calibri"/>
          <w:sz w:val="20"/>
          <w:szCs w:val="20"/>
        </w:rPr>
        <w:t xml:space="preserve">The three reliability sessions have not been collected. The existing logs are POC captures under differing protocols and schemas, not repeated measurements of matched units. Running the machinery over them would produce a tidy table that means nothing, so the repository contains a structural smoke test that reports no magnitudes at all.</w:t>
      </w:r>
    </w:p>
    <w:p>
      <w:pPr>
        <w:pStyle w:val="Heading3"/>
        <w:spacing w:after="100" w:before="200"/>
      </w:pPr>
      <w:r>
        <w:rPr>
          <w:rFonts w:ascii="Calibri" w:cs="Calibri" w:eastAsia="Calibri" w:hAnsi="Calibri"/>
          <w:b/>
          <w:bCs/>
          <w:color w:val="2A2A2A"/>
          <w:sz w:val="21"/>
          <w:szCs w:val="21"/>
        </w:rPr>
        <w:t xml:space="preserve">One measure needs a caveat, found during implementation</w:t>
      </w:r>
    </w:p>
    <w:p>
      <w:pPr>
        <w:spacing w:after="120" w:before="0"/>
      </w:pPr>
      <w:r>
        <w:rPr>
          <w:rFonts w:ascii="Calibri" w:cs="Calibri" w:eastAsia="Calibri" w:hAnsi="Calibri"/>
          <w:b/>
          <w:bCs/>
          <w:sz w:val="20"/>
          <w:szCs w:val="20"/>
        </w:rPr>
        <w:t xml:space="preserve">The within-unit coefficient of variation is uninformative for signals whose mean is near zero. </w:t>
      </w:r>
      <w:r>
        <w:rPr>
          <w:rFonts w:ascii="Calibri" w:cs="Calibri" w:eastAsia="Calibri" w:hAnsi="Calibri"/>
          <w:sz w:val="20"/>
          <w:szCs w:val="20"/>
        </w:rPr>
        <w:t xml:space="preserve">CV is a ratio against the mean; for V_pd it returns values in the hundreds to tens of thousands of percent — correct by formula, useless as a measure. SEM, RC and Bland–Altman are unaffected. CV will be reported only for signals where it is meaningful, and its omission stated rather than silent.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All three representations are implemented in analysis/baselines.py, with the estimator and window rule selectable and recorded in the config hash.</w:t>
      </w:r>
    </w:p>
    <w:p>
      <w:pPr>
        <w:spacing w:after="120" w:before="0"/>
      </w:pPr>
      <w:r>
        <w:rPr>
          <w:rFonts w:ascii="Calibri" w:cs="Calibri" w:eastAsia="Calibri" w:hAnsi="Calibri"/>
          <w:b/>
          <w:bCs/>
          <w:sz w:val="20"/>
          <w:szCs w:val="20"/>
        </w:rPr>
        <w:t xml:space="preserve">The temporal rule is enforced by a test that was demonstrated to fail, not merely asserted. </w:t>
      </w:r>
      <w:r>
        <w:rPr>
          <w:rFonts w:ascii="Calibri" w:cs="Calibri" w:eastAsia="Calibri" w:hAnsi="Calibri"/>
          <w:sz w:val="20"/>
          <w:szCs w:val="20"/>
        </w:rPr>
        <w:t xml:space="preserve">A synthetic session whose values would visibly move the baseline was constructed; the computed baseline and scale for that session are bit-identical whether or not that session is present. To prove the test is not vacuous, the same comparison was run through a deliberately leaky selector that includes the session’s own data — and it produced visibly different values, confirming the test detects a leak when one exists.</w:t>
      </w:r>
    </w:p>
    <w:p>
      <w:pPr>
        <w:spacing w:after="120" w:before="0"/>
      </w:pPr>
      <w:r>
        <w:rPr>
          <w:rFonts w:ascii="Calibri" w:cs="Calibri" w:eastAsia="Calibri" w:hAnsi="Calibri"/>
          <w:sz w:val="20"/>
          <w:szCs w:val="20"/>
        </w:rPr>
        <w:t xml:space="preserve">Session 1 emits every row with value null, missingness flag set and reason no_prior_history — verified across all rows, never dropped and never falling back to within-session values.</w:t>
      </w:r>
    </w:p>
    <w:p>
      <w:pPr>
        <w:spacing w:after="120" w:before="0"/>
      </w:pPr>
      <w:r>
        <w:rPr>
          <w:rFonts w:ascii="Calibri" w:cs="Calibri" w:eastAsia="Calibri" w:hAnsi="Calibri"/>
          <w:sz w:val="20"/>
          <w:szCs w:val="20"/>
        </w:rPr>
        <w:t xml:space="preserve">No cross-session data exists yet, so the representations have not been computed on real recordings.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the harness acceptance check.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A).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A difference in U exceeding 2 × δ_Gate3, i.e. 0.10 nats,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supplied harness has been accepted and produces logged trials.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controls/leakage.py with a pluggable data source, so real logged trials replace synthetic ones without rewriting the harness. All four variants report side by side with confidence intervals on each difference, and the negative control is carried automatically — verified by calling the harness the way an unaware caller would and confirming the negative-control result still returns populated.</w:t>
      </w:r>
    </w:p>
    <w:p>
      <w:pPr>
        <w:spacing w:after="120" w:before="0"/>
      </w:pPr>
      <w:r>
        <w:rPr>
          <w:rFonts w:ascii="Calibri" w:cs="Calibri" w:eastAsia="Calibri" w:hAnsi="Calibri"/>
          <w:b/>
          <w:bCs/>
          <w:sz w:val="20"/>
          <w:szCs w:val="20"/>
        </w:rPr>
        <w:t xml:space="preserve">An honest limit on what the synthetic run establishes. </w:t>
      </w:r>
      <w:r>
        <w:rPr>
          <w:rFonts w:ascii="Calibri" w:cs="Calibri" w:eastAsia="Calibri" w:hAnsi="Calibri"/>
          <w:sz w:val="20"/>
          <w:szCs w:val="20"/>
        </w:rPr>
        <w:t xml:space="preserve">On the current generator the signal precedes the action by construction, so shifting the window forward LOSES information rather than gaining it, and the post-action variant scores below the valid one. Synthetic data therefore cannot establish the expected direction for this control.</w:t>
      </w:r>
    </w:p>
    <w:p>
      <w:pPr>
        <w:spacing w:after="120" w:before="0"/>
      </w:pPr>
      <w:r>
        <w:rPr>
          <w:rFonts w:ascii="Calibri" w:cs="Calibri" w:eastAsia="Calibri" w:hAnsi="Calibri"/>
          <w:b/>
          <w:bCs/>
          <w:sz w:val="20"/>
          <w:szCs w:val="20"/>
        </w:rPr>
        <w:t xml:space="preserve">What it does establish is that the harness detects leakage when leakage exists: </w:t>
      </w:r>
      <w:r>
        <w:rPr>
          <w:rFonts w:ascii="Calibri" w:cs="Calibri" w:eastAsia="Calibri" w:hAnsi="Calibri"/>
          <w:sz w:val="20"/>
          <w:szCs w:val="20"/>
        </w:rPr>
        <w:t xml:space="preserve">an injected leak in which the signal directly encodes the class produced +0.66 against a clean baseline’s −0.02. The control will be re-run on real trials and the outcome reported either way, per the investigate-and-report rule.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no media file or credential has ever entered this history — the durable, checkable claim.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Style w:val="Heading3"/>
        <w:spacing w:after="100" w:before="200"/>
      </w:pPr>
      <w:r>
        <w:rPr>
          <w:rFonts w:ascii="Calibri" w:cs="Calibri" w:eastAsia="Calibri" w:hAnsi="Calibri"/>
          <w:b/>
          <w:bCs/>
          <w:color w:val="2A2A2A"/>
          <w:sz w:val="21"/>
          <w:szCs w:val="21"/>
        </w:rPr>
        <w:t xml:space="preserve">Implementation status — the command exists and was tested</w:t>
      </w:r>
    </w:p>
    <w:p>
      <w:pPr>
        <w:spacing w:after="120" w:before="0"/>
      </w:pPr>
      <w:r>
        <w:rPr>
          <w:rFonts w:ascii="Calibri" w:cs="Calibri" w:eastAsia="Calibri" w:hAnsi="Calibri"/>
          <w:sz w:val="20"/>
          <w:szCs w:val="20"/>
        </w:rPr>
        <w:t xml:space="preserve">reproduce.py plus a Makefile target and a PowerShell equivalent. It runs from archived inputs, never a camera, and prints the experiment ID, commit, config hash and validated-path source hash at the start of every run.</w:t>
      </w:r>
    </w:p>
    <w:p>
      <w:pPr>
        <w:spacing w:after="120" w:before="0"/>
      </w:pPr>
      <w:r>
        <w:rPr>
          <w:rFonts w:ascii="Calibri" w:cs="Calibri" w:eastAsia="Calibri" w:hAnsi="Calibri"/>
          <w:b/>
          <w:bCs/>
          <w:sz w:val="20"/>
          <w:szCs w:val="20"/>
        </w:rPr>
        <w:t xml:space="preserve">Run twice in a clean checkout and diffed: all six results tables and the figure are byte-identical. </w:t>
      </w:r>
      <w:r>
        <w:rPr>
          <w:rFonts w:ascii="Calibri" w:cs="Calibri" w:eastAsia="Calibri" w:hAnsi="Calibri"/>
          <w:sz w:val="20"/>
          <w:szCs w:val="20"/>
        </w:rPr>
        <w:t xml:space="preserve">The only difference is a timestamp and its derived run id, by design.</w:t>
      </w:r>
    </w:p>
    <w:p>
      <w:pPr>
        <w:spacing w:after="120" w:before="0"/>
      </w:pPr>
      <w:r>
        <w:rPr>
          <w:rFonts w:ascii="Calibri" w:cs="Calibri" w:eastAsia="Calibri" w:hAnsi="Calibri"/>
          <w:b/>
          <w:bCs/>
          <w:sz w:val="20"/>
          <w:szCs w:val="20"/>
        </w:rPr>
        <w:t xml:space="preserve">This was NOT true on the first attempt, and the failure is worth recording. </w:t>
      </w:r>
      <w:r>
        <w:rPr>
          <w:rFonts w:ascii="Calibri" w:cs="Calibri" w:eastAsia="Calibri" w:hAnsi="Calibri"/>
          <w:sz w:val="20"/>
          <w:szCs w:val="20"/>
        </w:rPr>
        <w:t xml:space="preserve">The SVG figure differed between runs — matplotlib embeds a wall-clock timestamp and a randomly salted element id into its output. The plotted data was identical; only the library’s own metadata varied. Root-caused and fixed by pinning the hash salt and suppressing the date. A second issue was also found: the output directory was not ignored by git, so running the command perturbed its own dirty-tree count.</w:t>
      </w:r>
    </w:p>
    <w:p>
      <w:pPr>
        <w:spacing w:after="120" w:before="0"/>
      </w:pPr>
      <w:r>
        <w:rPr>
          <w:rFonts w:ascii="Calibri" w:cs="Calibri" w:eastAsia="Calibri" w:hAnsi="Calibri"/>
          <w:sz w:val="20"/>
          <w:szCs w:val="20"/>
        </w:rPr>
        <w:t xml:space="preserve">Both are exactly the class of defect §7.1 says to investigate rather than accept as a floating-point fact, and neither would have been found without actually running the command twice.</w:t>
      </w:r>
    </w:p>
    <w:p>
      <w:pPr>
        <w:spacing w:after="120" w:before="0"/>
      </w:pPr>
      <w:r>
        <w:rPr>
          <w:rFonts w:ascii="Calibri" w:cs="Calibri" w:eastAsia="Calibri" w:hAnsi="Calibri"/>
          <w:sz w:val="20"/>
          <w:szCs w:val="20"/>
        </w:rPr>
        <w:t xml:space="preserve">Ten stochastic components are enumerated and all are seeded; none was found unseeded. Recommended cross-machine tolerance is 1e-6 absolute — deliberately looser than the exact same-machine result, sized for reduction-order noise elsewhere. It has not been validated against a second physical machine, because none was available.</w:t>
      </w:r>
    </w:p>
    <w:p>
      <w:pPr>
        <w:spacing w:after="120" w:before="0"/>
      </w:pPr>
      <w:r>
        <w:rPr>
          <w:rFonts w:ascii="Calibri" w:cs="Calibri" w:eastAsia="Calibri" w:hAnsi="Calibri"/>
          <w:b/>
          <w:bCs/>
          <w:sz w:val="20"/>
          <w:szCs w:val="20"/>
        </w:rPr>
        <w:t xml:space="preserve">The three pipeline consumers are NOT part of the reproduction path </w:t>
      </w:r>
      <w:r>
        <w:rPr>
          <w:rFonts w:ascii="Calibri" w:cs="Calibri" w:eastAsia="Calibri" w:hAnsi="Calibri"/>
          <w:sz w:val="20"/>
          <w:szCs w:val="20"/>
        </w:rPr>
        <w:t xml:space="preserve">and were deliberately left untouched. Reproduction exercises the analysis half only. Historical logs were attributed to their originating consumer by code inspection where determinable; two log types could be narrowed to two candidates but not one, and that is recorded as a gap rather than guessed.</w:t>
      </w:r>
    </w:p>
    <w:p>
      <w:pPr>
        <w:spacing w:after="120" w:before="0"/>
      </w:pPr>
      <w:r>
        <w:rPr>
          <w:rFonts w:ascii="Calibri" w:cs="Calibri" w:eastAsia="Calibri" w:hAnsi="Calibri"/>
          <w:sz w:val="20"/>
          <w:szCs w:val="20"/>
        </w:rPr>
        <w:t xml:space="preserve">The confirmatory study’s archived recordings do not exist yet. The command works today on available inputs, and the pluggable design lets the real inputs slot in without code changes.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established that horizontal head orientation (yaw) is detected reliably. Vertical orientation (pitch) is not usable for ROI attribution — but I am correcting the reason I gave for that in an earlier draft, because the reason was wrong.</w:t>
            </w:r>
          </w:p>
          <w:p>
            <w:pPr>
              <w:spacing w:after="120" w:before="0"/>
            </w:pPr>
            <w:r>
              <w:rPr>
                <w:rFonts w:ascii="Calibri" w:cs="Calibri" w:eastAsia="Calibri" w:hAnsi="Calibri"/>
                <w:sz w:val="20"/>
                <w:szCs w:val="20"/>
              </w:rPr>
              <w:t xml:space="preserve">The earlier draft stated that on a maximal, sustained chin-to-chest look-down, measured pitch stayed at approximately 0.1°, and attributed this to a structural limit of single-camera landmark head-pose. That figure had no documented verification method anywhere in the repository, and a subsequent graded-intensity capture, judged independently in real time before any number was shown, contradicts it: maximal held look-down attempts registered pitch as large as −43.1°, with magnitude scaling roughly with commanded intensity. I am retracting the figure and the mechanism claim built on it.</w:t>
            </w:r>
          </w:p>
          <w:p>
            <w:pPr>
              <w:spacing w:after="120" w:before="0"/>
            </w:pPr>
            <w:r>
              <w:rPr>
                <w:rFonts w:ascii="Calibri" w:cs="Calibri" w:eastAsia="Calibri" w:hAnsi="Calibri"/>
                <w:sz w:val="20"/>
                <w:szCs w:val="20"/>
              </w:rPr>
              <w:t xml:space="preserve">The practical conclusion is unchanged, and the evidence for it is now better. What fails during look-down is not the pitch measurement but face detection itself: detection rate fell to between 0.08% and 27.5% across the graded attempts, including on attempts where pitch registered at large magnitude. Because most window-samples are missing rather than present, the oriented-rate still reads close to 1.0 — a missingness artefact, not a reading of orientation. Two facts remain unexplained and I am not smoothing them over: a sign inconsistency between the medium and maximal readings, and why detection collapses this severely. The mechanism question is reopened, not settled.</w:t>
            </w:r>
          </w:p>
          <w:p>
            <w:pPr>
              <w:spacing w:after="120" w:before="0"/>
            </w:pPr>
            <w:r>
              <w:rPr>
                <w:rFonts w:ascii="Calibri" w:cs="Calibri" w:eastAsia="Calibri" w:hAnsi="Calibri"/>
                <w:sz w:val="20"/>
                <w:szCs w:val="20"/>
              </w:rPr>
              <w:t xml:space="preserve">The consequence for this row is what it was: the most common disengagement cue is looking down, and this signal cannot see it reliably. Your §11 failure rule already provides for that outcome, which is why I am declaring the expectation now rather than presenting it afterwards. I would rather show you a retracted claim and the data that retracted it than carry a tidy sentence I cannot support.</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comes from the supplied harness, and is therefore downstream of the acceptance check.</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clip manifest, a manual-count entry format a human fills in without touching code, a configurable event-matching routine, event precision/recall/F1, and per-clip count agreement via Bland–Altman.</w:t>
      </w:r>
    </w:p>
    <w:p>
      <w:pPr>
        <w:spacing w:after="120" w:before="0"/>
      </w:pPr>
      <w:r>
        <w:rPr>
          <w:rFonts w:ascii="Calibri" w:cs="Calibri" w:eastAsia="Calibri" w:hAnsi="Calibri"/>
          <w:sz w:val="20"/>
          <w:szCs w:val="20"/>
        </w:rPr>
        <w:t xml:space="preserve">Validated against the real, unmodified blink detector on synthetic aperture streams with known onsets: a clean case returns precision, recall and F1 of 1.0; a deliberately degraded case — half the detections dropped, two spurious added — drops F1 to 0.615, confirming the metrics move correctly under a worse detector rather than merely computing.</w:t>
      </w:r>
    </w:p>
    <w:p>
      <w:pPr>
        <w:spacing w:after="120" w:before="0"/>
      </w:pPr>
      <w:r>
        <w:rPr>
          <w:rFonts w:ascii="Calibri" w:cs="Calibri" w:eastAsia="Calibri" w:hAnsi="Calibri"/>
          <w:b/>
          <w:bCs/>
          <w:sz w:val="20"/>
          <w:szCs w:val="20"/>
        </w:rPr>
        <w:t xml:space="preserve">The criterion values are held in configuration and are never read back for a comparison anywhere in the code. </w:t>
      </w:r>
      <w:r>
        <w:rPr>
          <w:rFonts w:ascii="Calibri" w:cs="Calibri" w:eastAsia="Calibri" w:hAnsi="Calibri"/>
          <w:sz w:val="20"/>
          <w:szCs w:val="20"/>
        </w:rPr>
        <w:t xml:space="preserve">This was verified by parsing the module’s own syntax tree and confirming none of the three criterion field names appears in any comparison. The harness reports; a human decides.</w:t>
      </w:r>
    </w:p>
    <w:p>
      <w:pPr>
        <w:spacing w:after="120" w:before="0"/>
      </w:pPr>
      <w:r>
        <w:rPr>
          <w:rFonts w:ascii="Calibri" w:cs="Calibri" w:eastAsia="Calibri" w:hAnsi="Calibri"/>
          <w:b/>
          <w:bCs/>
          <w:sz w:val="20"/>
          <w:szCs w:val="20"/>
        </w:rPr>
        <w:t xml:space="preserve">No real clips exist and none has been processed. </w:t>
      </w:r>
      <w:r>
        <w:rPr>
          <w:rFonts w:ascii="Calibri" w:cs="Calibri" w:eastAsia="Calibri" w:hAnsi="Calibri"/>
          <w:sz w:val="20"/>
          <w:szCs w:val="20"/>
        </w:rPr>
        <w:t xml:space="preserve">That requires a camera and a human counting blinks frame by frame.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Two distinct real runs now exist and are named separately, since they answer different questions: the quiet-sitting baseline (subject present, sitting still, blank screen, ten minutes — what this row originally described) and the empty-scene control (camera on, no subject at all, ten minutes — the genuinely null case this row's own closing line below was written to require).</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with operator instructions printed at the start of a run and the excursion rule held in configuration rather than hardcoded. Its computational parts — dispersion, excursion detection, config hashing — are directly tested.</w:t>
      </w:r>
    </w:p>
    <w:p>
      <w:pPr>
        <w:spacing w:after="120" w:before="0"/>
      </w:pPr>
      <w:r>
        <w:rPr>
          <w:rFonts w:ascii="Calibri" w:cs="Calibri" w:eastAsia="Calibri" w:hAnsi="Calibri"/>
          <w:b/>
          <w:bCs/>
          <w:sz w:val="20"/>
          <w:szCs w:val="20"/>
        </w:rPr>
        <w:t xml:space="preserve">Both have now been run against a real camera, for real. </w:t>
      </w:r>
      <w:r>
        <w:rPr>
          <w:rFonts w:ascii="Calibri" w:cs="Calibri" w:eastAsia="Calibri" w:hAnsi="Calibri"/>
          <w:sz w:val="20"/>
          <w:szCs w:val="20"/>
        </w:rPr>
        <w:t xml:space="preserve">The empty-scene control found zero false-signal events across an exhaustive check of every one of 17,888 real frames over ten real minutes: no face, no pose, no composite or covariate value, no yaw reading, ever. Calibration correctly reports itself as never having completed — zero real samples fell in the calibration window, flagged explicitly rather than silently treated as done (a real bug in that logic was found and fixed since this response was first drafted). Because calibration never completed, the excursion detector never had a baseline to compare against, so the false-event-rate metric this row's own threshold clause depends on is not yet computable from this run — reported as not-yet-computable, not as zero. The quiet-sitting baseline separately produced real per-signal dispersion figures (std and MAD-scaled robust dispersion for v_bf, v_es, v_jc, v_pd), a different, useful result, but not what settles the genuinely-null question this row asks.</w:t>
      </w:r>
    </w:p>
    <w:p>
      <w:pPr>
        <w:pStyle w:val="Heading3"/>
        <w:spacing w:after="100" w:before="200"/>
      </w:pPr>
      <w:r>
        <w:rPr>
          <w:rFonts w:ascii="Calibri" w:cs="Calibri" w:eastAsia="Calibri" w:hAnsi="Calibri"/>
          <w:b/>
          <w:bCs/>
          <w:color w:val="2A2A2A"/>
          <w:sz w:val="21"/>
          <w:szCs w:val="21"/>
        </w:rPr>
        <w:t xml:space="preserve">What a preliminary look at existing data suggests</w:t>
      </w:r>
    </w:p>
    <w:p>
      <w:pPr>
        <w:spacing w:after="120" w:before="0"/>
      </w:pPr>
      <w:r>
        <w:rPr>
          <w:rFonts w:ascii="Calibri" w:cs="Calibri" w:eastAsia="Calibri" w:hAnsi="Calibri"/>
          <w:sz w:val="20"/>
          <w:szCs w:val="20"/>
        </w:rPr>
        <w:t xml:space="preserve">Computed on one existing session as a factual observation, with nothing adjusted in response: V_pd’s robust scale is approximately 1.6e-4, roughly sixteen times smaller than its own standard deviation of 2.6e-3. That gap is the signature of a heavy-tailed distribution — near-constant, punctuated by movement.</w:t>
      </w:r>
    </w:p>
    <w:p>
      <w:pPr>
        <w:spacing w:after="120" w:before="0"/>
      </w:pPr>
      <w:r>
        <w:rPr>
          <w:rFonts w:ascii="Calibri" w:cs="Calibri" w:eastAsia="Calibri" w:hAnsi="Calibri"/>
          <w:b/>
          <w:bCs/>
          <w:sz w:val="20"/>
          <w:szCs w:val="20"/>
        </w:rPr>
        <w:t xml:space="preserve">The consequence matters for this row: adopting a robust scale makes the degenerate-denominator problem larger, not smaller. </w:t>
      </w:r>
      <w:r>
        <w:rPr>
          <w:rFonts w:ascii="Calibri" w:cs="Calibri" w:eastAsia="Calibri" w:hAnsi="Calibri"/>
          <w:sz w:val="20"/>
          <w:szCs w:val="20"/>
        </w:rPr>
        <w:t xml:space="preserve">Neither value crosses the zero-dispersion guard, so nothing is flagged and z-scores are computed as valid — while ordinary movement against a scale that small yields values around 13. The empty-scene control above is what settles this on genuinely null input, and it has now been run — the sequencing this paragraph originally argued for has been followed.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and wired into the analysis path rather than existing as an optional script. Verified by calling the delta computation the way an unaware caller would — with no mention of negative controls anywhere in the call — and confirming the negative-control result still comes back populated. It is carried through the leakage and time-shuffle harnesses on the same basis.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controls/time_shuffle.py. Ordered and shuffled utility are reported side by side with the confidence interval on the difference.</w:t>
      </w:r>
    </w:p>
    <w:p>
      <w:pPr>
        <w:spacing w:after="120" w:before="0"/>
      </w:pPr>
      <w:r>
        <w:rPr>
          <w:rFonts w:ascii="Calibri" w:cs="Calibri" w:eastAsia="Calibri" w:hAnsi="Calibri"/>
          <w:b/>
          <w:bCs/>
          <w:sz w:val="20"/>
          <w:szCs w:val="20"/>
        </w:rPr>
        <w:t xml:space="preserve">The diagnostic-only status is carried in the output itself, not only in documentation </w:t>
      </w:r>
      <w:r>
        <w:rPr>
          <w:rFonts w:ascii="Calibri" w:cs="Calibri" w:eastAsia="Calibri" w:hAnsi="Calibri"/>
          <w:sz w:val="20"/>
          <w:szCs w:val="20"/>
        </w:rPr>
        <w:t xml:space="preserve">— printed in the first lines of the report and stamped as explicit fields, so a reader cannot mistake the difference for a permutation-test p-value. Negative control carried automatically and verified the same way.</w:t>
      </w:r>
    </w:p>
    <w:p>
      <w:pPr>
        <w:spacing w:after="120" w:before="0"/>
      </w:pPr>
      <w:r>
        <w:rPr>
          <w:rFonts w:ascii="Calibri" w:cs="Calibri" w:eastAsia="Calibri" w:hAnsi="Calibri"/>
          <w:sz w:val="20"/>
          <w:szCs w:val="20"/>
        </w:rPr>
        <w:t xml:space="preserve">Built and tested on synthetic data. Not yet run on real trials, because none exist.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RETURNED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A.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reusing the D6 generator. Both metrics are reported — correlation and standardised RMSE — across a sweep of effect sizes and noise levels. Correlation rises monotonically with effect size and falls monotonically with added noise at every grid point, and the true-null cell sits at approximately zero, confirming the pipeline does not fabricate structure.</w:t>
      </w:r>
    </w:p>
    <w:p>
      <w:pPr>
        <w:spacing w:after="120" w:before="0"/>
      </w:pPr>
      <w:r>
        <w:rPr>
          <w:rFonts w:ascii="Calibri" w:cs="Calibri" w:eastAsia="Calibri" w:hAnsi="Calibri"/>
          <w:b/>
          <w:bCs/>
          <w:sz w:val="20"/>
          <w:szCs w:val="20"/>
        </w:rPr>
        <w:t xml:space="preserve">One thing must be read carefully. </w:t>
      </w:r>
      <w:r>
        <w:rPr>
          <w:rFonts w:ascii="Calibri" w:cs="Calibri" w:eastAsia="Calibri" w:hAnsi="Calibri"/>
          <w:sz w:val="20"/>
          <w:szCs w:val="20"/>
        </w:rPr>
        <w:t xml:space="preserve">The recovery pipeline used is a placeholder, NOT the study’s latent model, which does not exist yet. The observed numbers characterise the placeholder and nothing else. They are recorded without comparison to any proposed success threshold, because comparing a placeholder against a threshold meant for the real method would be meaningless in either direction.</w:t>
      </w:r>
    </w:p>
    <w:p>
      <w:pPr>
        <w:spacing w:after="120" w:before="0"/>
      </w:pPr>
      <w:r>
        <w:rPr>
          <w:rFonts w:ascii="Calibri" w:cs="Calibri" w:eastAsia="Calibri" w:hAnsi="Calibri"/>
          <w:b/>
          <w:bCs/>
          <w:sz w:val="20"/>
          <w:szCs w:val="20"/>
        </w:rPr>
        <w:t xml:space="preserve">The success threshold therefore cannot be signed against current evidence. </w:t>
      </w:r>
      <w:r>
        <w:rPr>
          <w:rFonts w:ascii="Calibri" w:cs="Calibri" w:eastAsia="Calibri" w:hAnsi="Calibri"/>
          <w:sz w:val="20"/>
          <w:szCs w:val="20"/>
        </w:rPr>
        <w:t xml:space="preserve">It should be set once the real recovery method exists, or signed with the explicit understanding that the present implementation has not been evaluated against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this decision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RETURNED (conditional)</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after that verification. A dangling object created by ordinary commit activity may exist at any moment and is not evidence of anything; the substantive and checkable claim is that no media file and no credential has ever entered this history.</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which Amendment 1 now provides — and I am glad it does.</w:t>
      </w:r>
    </w:p>
    <w:p>
      <w:pPr>
        <w:pStyle w:val="Heading3"/>
        <w:spacing w:after="100" w:before="200"/>
      </w:pPr>
      <w:r>
        <w:rPr>
          <w:rFonts w:ascii="Calibri" w:cs="Calibri" w:eastAsia="Calibri" w:hAnsi="Calibri"/>
          <w:b/>
          <w:bCs/>
          <w:color w:val="2A2A2A"/>
          <w:sz w:val="21"/>
          <w:szCs w:val="21"/>
        </w:rPr>
        <w:t xml:space="preserve">Two further points of accuracy</w:t>
      </w:r>
    </w:p>
    <w:p>
      <w:pPr>
        <w:spacing w:after="120" w:before="0"/>
      </w:pPr>
      <w:r>
        <w:rPr>
          <w:rFonts w:ascii="Calibri" w:cs="Calibri" w:eastAsia="Calibri" w:hAnsi="Calibri"/>
          <w:b/>
          <w:bCs/>
          <w:sz w:val="20"/>
          <w:szCs w:val="20"/>
        </w:rPr>
        <w:t xml:space="preserve">The variant log runs from its own creation, not from the first commit. </w:t>
      </w:r>
      <w:r>
        <w:rPr>
          <w:rFonts w:ascii="Calibri" w:cs="Calibri" w:eastAsia="Calibri" w:hAnsi="Calibri"/>
          <w:sz w:val="20"/>
          <w:szCs w:val="20"/>
        </w:rPr>
        <w:t xml:space="preserve">Eight entries were backfilled to cover work done before it existed, and each is marked as a retrospective entry with its commit range. I would rather state that than let "from the first commit" stand unqualified.</w:t>
      </w:r>
    </w:p>
    <w:p>
      <w:pPr>
        <w:spacing w:after="120" w:before="0"/>
      </w:pPr>
      <w:r>
        <w:rPr>
          <w:rFonts w:ascii="Calibri" w:cs="Calibri" w:eastAsia="Calibri" w:hAnsi="Calibri"/>
          <w:b/>
          <w:bCs/>
          <w:sz w:val="20"/>
          <w:szCs w:val="20"/>
        </w:rPr>
        <w:t xml:space="preserve">The pre-registration is now committed to the repository. </w:t>
      </w:r>
      <w:r>
        <w:rPr>
          <w:rFonts w:ascii="Calibri" w:cs="Calibri" w:eastAsia="Calibri" w:hAnsi="Calibri"/>
          <w:sz w:val="20"/>
          <w:szCs w:val="20"/>
        </w:rPr>
        <w:t xml:space="preserve">At the time of writing it has not been sent to you; the commit timestamp records when the document existed here, not when it was delivered. Later substantive changes will appear as dated commits rather than edits.</w:t>
      </w:r>
    </w:p>
    <w:p>
      <w:pPr>
        <w:spacing w:after="120" w:before="0"/>
      </w:pPr>
      <w:r>
        <w:rPr>
          <w:rFonts w:ascii="Calibri" w:cs="Calibri" w:eastAsia="Calibri" w:hAnsi="Calibri"/>
          <w:sz w:val="20"/>
          <w:szCs w:val="20"/>
        </w:rPr>
        <w:t xml:space="preserve">The pre-commit hook has since fired three further times in ordinary use — on a draft of this document quoting a synthetic key, on a variable name that matched its secret pattern, and during its own verification. Each was resolved by changing the content rather than the guard.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A. ROI-coordinate verification is contingent on the harness acceptance check.</w:t>
      </w:r>
    </w:p>
    <w:p>
      <w:pPr>
        <w:pStyle w:val="Heading3"/>
        <w:spacing w:after="100" w:before="200"/>
      </w:pPr>
      <w:r>
        <w:rPr>
          <w:rFonts w:ascii="Calibri" w:cs="Calibri" w:eastAsia="Calibri" w:hAnsi="Calibri"/>
          <w:b/>
          <w:bCs/>
          <w:color w:val="2A2A2A"/>
          <w:sz w:val="21"/>
          <w:szCs w:val="21"/>
        </w:rPr>
        <w:t xml:space="preserve">Implementation status — this row has moved since the previous draft</w:t>
      </w:r>
    </w:p>
    <w:p>
      <w:pPr>
        <w:spacing w:after="120" w:before="0"/>
      </w:pPr>
      <w:r>
        <w:rPr>
          <w:rFonts w:ascii="Calibri" w:cs="Calibri" w:eastAsia="Calibri" w:hAnsi="Calibri"/>
          <w:b/>
          <w:bCs/>
          <w:sz w:val="20"/>
          <w:szCs w:val="20"/>
        </w:rPr>
        <w:t xml:space="preserve">The schema is now implemented, not merely defined. </w:t>
      </w:r>
      <w:r>
        <w:rPr>
          <w:rFonts w:ascii="Calibri" w:cs="Calibri" w:eastAsia="Calibri" w:hAnsi="Calibri"/>
          <w:sz w:val="20"/>
          <w:szCs w:val="20"/>
        </w:rPr>
        <w:t xml:space="preserve">A single writer validates every record against the schema document at write time, with a session header carrying the wall-clock-to-monotonic offset and an observation record carrying the full field list.</w:t>
      </w:r>
    </w:p>
    <w:p>
      <w:pPr>
        <w:spacing w:after="120" w:before="0"/>
      </w:pPr>
      <w:r>
        <w:rPr>
          <w:rFonts w:ascii="Calibri" w:cs="Calibri" w:eastAsia="Calibri" w:hAnsi="Calibri"/>
          <w:sz w:val="20"/>
          <w:szCs w:val="20"/>
        </w:rPr>
        <w:t xml:space="preserve">All four invariants are enforced in code and directly tested: subject identifier required on every record; context and device identifiers required and locked for a session’s lifetime; missingness cross-checked against a fixed enumerated vocabulary, so both a missing value without a reason and a present value with one are rejected; and per-field timestamp monotonicity within a session.</w:t>
      </w:r>
    </w:p>
    <w:p>
      <w:pPr>
        <w:spacing w:after="120" w:before="0"/>
      </w:pPr>
      <w:r>
        <w:rPr>
          <w:rFonts w:ascii="Calibri" w:cs="Calibri" w:eastAsia="Calibri" w:hAnsi="Calibri"/>
          <w:sz w:val="20"/>
          <w:szCs w:val="20"/>
        </w:rPr>
        <w:t xml:space="preserve">The action class is deliberately an open string rather than a fixed vocabulary, because the class set depends on the harness acceptance check that has not yet been performed. That is recorded in the schema document itself.</w:t>
      </w:r>
    </w:p>
    <w:p>
      <w:pPr>
        <w:spacing w:after="120" w:before="0"/>
      </w:pPr>
      <w:r>
        <w:rPr>
          <w:rFonts w:ascii="Calibri" w:cs="Calibri" w:eastAsia="Calibri" w:hAnsi="Calibri"/>
          <w:sz w:val="20"/>
          <w:szCs w:val="20"/>
        </w:rPr>
        <w:t xml:space="preserve">The schema does not migrate older logs, and does not claim to. Those are described by the data manifest instead, which records honestly that most predate the identifiers now required and that a minority rely on file modification times marked as weak, non-evidentiary.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These rules are now committed to the repository as their own document, so they exist in dated form before collection rather than only inside this response.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Style w:val="Heading3"/>
        <w:spacing w:after="100" w:before="200"/>
      </w:pPr>
      <w:r>
        <w:rPr>
          <w:rFonts w:ascii="Calibri" w:cs="Calibri" w:eastAsia="Calibri" w:hAnsi="Calibri"/>
          <w:b/>
          <w:bCs/>
          <w:color w:val="2A2A2A"/>
          <w:sz w:val="21"/>
          <w:szCs w:val="21"/>
        </w:rPr>
        <w:t xml:space="preserve">Implementation status — partially implemented</w:t>
      </w:r>
    </w:p>
    <w:p>
      <w:pPr>
        <w:spacing w:after="120" w:before="0"/>
      </w:pPr>
      <w:r>
        <w:rPr>
          <w:rFonts w:ascii="Calibri" w:cs="Calibri" w:eastAsia="Calibri" w:hAnsi="Calibri"/>
          <w:sz w:val="20"/>
          <w:szCs w:val="20"/>
        </w:rPr>
        <w:t xml:space="preserve">Retention period and storage location are configuration parameters under the config hash, not literals. A deletion routine is implemented and writes a deletion log recording what was removed and when, so the claim is verifiable rather than asserted.</w:t>
      </w:r>
    </w:p>
    <w:p>
      <w:pPr>
        <w:spacing w:after="120" w:before="0"/>
      </w:pPr>
      <w:r>
        <w:rPr>
          <w:rFonts w:ascii="Calibri" w:cs="Calibri" w:eastAsia="Calibri" w:hAnsi="Calibri"/>
          <w:b/>
          <w:bCs/>
          <w:sz w:val="20"/>
          <w:szCs w:val="20"/>
        </w:rPr>
        <w:t xml:space="preserve">The routine defaults to dry-run. </w:t>
      </w:r>
      <w:r>
        <w:rPr>
          <w:rFonts w:ascii="Calibri" w:cs="Calibri" w:eastAsia="Calibri" w:hAnsi="Calibri"/>
          <w:sz w:val="20"/>
          <w:szCs w:val="20"/>
        </w:rPr>
        <w:t xml:space="preserve">Verified at three independent points, including a real dry run over the existing logs directory that scanned every file, deleted nothing and left the directory unchanged. A deletion tool whose default is to delete would be a hazard in a repository holding the only copy of derived participant data.</w:t>
      </w:r>
    </w:p>
    <w:p>
      <w:pPr>
        <w:spacing w:after="120" w:before="0"/>
      </w:pPr>
      <w:r>
        <w:rPr>
          <w:rFonts w:ascii="Calibri" w:cs="Calibri" w:eastAsia="Calibri" w:hAnsi="Calibri"/>
          <w:b/>
          <w:bCs/>
          <w:sz w:val="20"/>
          <w:szCs w:val="20"/>
        </w:rPr>
        <w:t xml:space="preserve">The storage location decision remains open and I have not pre-empted it. </w:t>
      </w:r>
      <w:r>
        <w:rPr>
          <w:rFonts w:ascii="Calibri" w:cs="Calibri" w:eastAsia="Calibri" w:hAnsi="Calibri"/>
          <w:sz w:val="20"/>
          <w:szCs w:val="20"/>
        </w:rPr>
        <w:t xml:space="preserve">Derived feature logs still sit inside the repository directory while untracked. The path is a parameter with the current location as its default, and the outstanding decision is recorded rather than silently resolved.</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Twenty-nine items are returned. Twelve carry implementing code that has been exercised and evidenced (updated: the null-input control's empty-scene run is now among them). Six are built and tested but have never been run against real data, and carry their own status because that distinction matters more than the count. Eleven are definitions, two of them (rows 19 and 23) moved here from a required decision now that the decision is made and confirmed. One requires a decision from you. Twelve, six, eleven and one: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Built is not the same as validated, and this document keeps them apart. </w:t>
      </w:r>
      <w:r>
        <w:rPr>
          <w:rFonts w:ascii="Calibri" w:cs="Calibri" w:eastAsia="Calibri" w:hAnsi="Calibri"/>
          <w:sz w:val="20"/>
          <w:szCs w:val="20"/>
        </w:rPr>
        <w:t>Six rows are implemented and tested but have never touched real data — the blink control has no clips, the leakage control cannot establish its expected direction on synthetic input, and the reliability machinery has no reliability sessions. Each is marked with its own status rather than counted as evidence. Two A-column items remain partial, and the harness acceptance check has not been performed at all.</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2026-09-04T16:28:58.021Z</dcterms:created>
  <dcterms:modified xsi:type="dcterms:W3CDTF">2026-09-04T16:28:58.021Z</dcterms:modified>
</cp:coreProperties>
</file>

<file path=docProps/custom.xml><?xml version="1.0" encoding="utf-8"?>
<Properties xmlns="http://schemas.openxmlformats.org/officeDocument/2006/custom-properties" xmlns:vt="http://schemas.openxmlformats.org/officeDocument/2006/docPropsVTypes"/>
</file>