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D0PA1 — BUILD STATUS REPORT</w:t>
      </w:r>
    </w:p>
    <w:p>
      <w:pPr>
        <w:pBdr>
          <w:bottom w:val="single" w:color="888888" w:sz="12"/>
        </w:pBdr>
        <w:spacing w:after="200"/>
      </w:pPr>
      <w:r>
        <w:rPr>
          <w:rFonts w:ascii="Calibri" w:cs="Calibri" w:eastAsia="Calibri" w:hAnsi="Calibri"/>
          <w:color w:val="444444"/>
          <w:sz w:val="22"/>
          <w:szCs w:val="22"/>
        </w:rPr>
        <w:t xml:space="preserve">What exists in the repository today,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30"/>
              <w:left w:type="dxa" w:w="170"/>
              <w:bottom w:type="dxa" w:w="130"/>
              <w:right w:type="dxa" w:w="170"/>
            </w:tcMar>
          </w:tcPr>
          <w:p>
            <w:pPr>
              <w:spacing w:after="120" w:before="0"/>
            </w:pPr>
            <w:r>
              <w:rPr>
                <w:rFonts w:ascii="Calibri" w:cs="Calibri" w:eastAsia="Calibri" w:hAnsi="Calibri"/>
                <w:b/>
                <w:bCs/>
                <w:sz w:val="20"/>
                <w:szCs w:val="20"/>
              </w:rPr>
              <w:t xml:space="preserve">Purpose: </w:t>
            </w:r>
            <w:r>
              <w:rPr>
                <w:rFonts w:ascii="Calibri" w:cs="Calibri" w:eastAsia="Calibri" w:hAnsi="Calibri"/>
                <w:sz w:val="20"/>
                <w:szCs w:val="20"/>
              </w:rPr>
              <w:t xml:space="preserve">A factual account of the current state of the codebase, to accompany the §19 sign-off response. Every capability below is stated as VERIFIED, PARTIAL or NOT BUILT against code and artefacts in the repository.</w:t>
            </w:r>
          </w:p>
          <w:p>
            <w:pPr>
              <w:spacing w:after="120" w:before="0"/>
            </w:pPr>
            <w:r>
              <w:rPr>
                <w:rFonts w:ascii="Calibri" w:cs="Calibri" w:eastAsia="Calibri" w:hAnsi="Calibri"/>
                <w:b/>
                <w:bCs/>
                <w:sz w:val="20"/>
                <w:szCs w:val="20"/>
              </w:rPr>
              <w:t xml:space="preserve">From: </w:t>
            </w:r>
            <w:r>
              <w:rPr>
                <w:rFonts w:ascii="Calibri" w:cs="Calibri" w:eastAsia="Calibri" w:hAnsi="Calibri"/>
                <w:sz w:val="20"/>
                <w:szCs w:val="20"/>
              </w:rPr>
              <w:t xml:space="preserve">Debanjan (Modeller)   ·   </w:t>
            </w:r>
            <w:r>
              <w:rPr>
                <w:rFonts w:ascii="Calibri" w:cs="Calibri" w:eastAsia="Calibri" w:hAnsi="Calibri"/>
                <w:b/>
                <w:bCs/>
                <w:sz w:val="20"/>
                <w:szCs w:val="20"/>
              </w:rPr>
              <w:t xml:space="preserve">To: </w:t>
            </w:r>
            <w:r>
              <w:rPr>
                <w:rFonts w:ascii="Calibri" w:cs="Calibri" w:eastAsia="Calibri" w:hAnsi="Calibri"/>
                <w:sz w:val="20"/>
                <w:szCs w:val="20"/>
              </w:rPr>
              <w:t xml:space="preserve">Gargi (DOPALAND)</w:t>
            </w:r>
          </w:p>
          <w:p>
            <w:pPr>
              <w:spacing w:after="0" w:before="0"/>
            </w:pPr>
            <w:r>
              <w:rPr>
                <w:rFonts w:ascii="Calibri" w:cs="Calibri" w:eastAsia="Calibri" w:hAnsi="Calibri"/>
                <w:b/>
                <w:bCs/>
                <w:sz w:val="20"/>
                <w:szCs w:val="20"/>
              </w:rPr>
              <w:t xml:space="preserve">Companion to: </w:t>
            </w:r>
            <w:r>
              <w:rPr>
                <w:rFonts w:ascii="Calibri" w:cs="Calibri" w:eastAsia="Calibri" w:hAnsi="Calibri"/>
                <w:sz w:val="20"/>
                <w:szCs w:val="20"/>
              </w:rPr>
              <w:t xml:space="preserve">D0PA1 Pre-Registration Sign-Off Response (§19 matrix return)</w:t>
            </w:r>
          </w:p>
        </w:tc>
      </w:tr>
    </w:tbl>
    <w:p>
      <w:pPr>
        <w:pStyle w:val="Heading1"/>
        <w:spacing w:after="150" w:before="320"/>
      </w:pPr>
      <w:r>
        <w:rPr>
          <w:rFonts w:ascii="Calibri" w:cs="Calibri" w:eastAsia="Calibri" w:hAnsi="Calibri"/>
          <w:b/>
          <w:bCs/>
          <w:color w:val="1A1A1A"/>
          <w:sz w:val="29"/>
          <w:szCs w:val="29"/>
        </w:rPr>
        <w:t xml:space="preserve">1.  Summary</w:t>
      </w:r>
    </w:p>
    <w:p>
      <w:pPr>
        <w:spacing w:after="120" w:before="0"/>
      </w:pPr>
      <w:r>
        <w:rPr>
          <w:rFonts w:ascii="Calibri" w:cs="Calibri" w:eastAsia="Calibri" w:hAnsi="Calibri"/>
          <w:sz w:val="20"/>
          <w:szCs w:val="20"/>
        </w:rPr>
        <w:t xml:space="preserve">The webcam pipeline that this project builds on was completed and validated before the D0PA1 engagement began. Work since your v0.7 addendum has been infrastructure around that pipeline: version control and provenance guards, feature-block separation, the precision simulation, the canonical log schema, the signal completions, the control harnesses, the baseline and reliability machinery, and a reproduction command.</w:t>
      </w:r>
    </w:p>
    <w:p>
      <w:pPr>
        <w:spacing w:after="120" w:before="0"/>
      </w:pPr>
      <w:r>
        <w:rPr>
          <w:rFonts w:ascii="Calibri" w:cs="Calibri" w:eastAsia="Calibri" w:hAnsi="Calibri"/>
          <w:sz w:val="20"/>
          <w:szCs w:val="20"/>
        </w:rPr>
        <w:t xml:space="preserve">This report exists because your §13 asks for each capability claim to be backed by a commit and an inspectable artefact. Rather than send that as a table of assertions, I have set out what is built, what is partial, what is not built at all, and what the work uncovered.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30"/>
              <w:left w:type="dxa" w:w="170"/>
              <w:bottom w:type="dxa" w:w="130"/>
              <w:right w:type="dxa" w:w="170"/>
            </w:tcMar>
          </w:tcPr>
          <w:p>
            <w:pPr>
              <w:spacing w:after="120" w:before="0"/>
            </w:pPr>
            <w:r>
              <w:rPr>
                <w:rFonts w:ascii="Calibri" w:cs="Calibri" w:eastAsia="Calibri" w:hAnsi="Calibri"/>
                <w:b/>
                <w:bCs/>
                <w:sz w:val="20"/>
                <w:szCs w:val="20"/>
              </w:rPr>
              <w:t xml:space="preserve">Two things I want stated at the top rather than found later:</w:t>
            </w:r>
          </w:p>
          <w:p>
            <w:pPr>
              <w:spacing w:after="120" w:before="0"/>
            </w:pPr>
            <w:r>
              <w:rPr>
                <w:rFonts w:ascii="Calibri" w:cs="Calibri" w:eastAsia="Calibri" w:hAnsi="Calibri"/>
                <w:b/>
                <w:bCs/>
                <w:sz w:val="20"/>
                <w:szCs w:val="20"/>
              </w:rPr>
              <w:t xml:space="preserve">1. </w:t>
            </w:r>
            <w:r>
              <w:rPr>
                <w:rFonts w:ascii="Calibri" w:cs="Calibri" w:eastAsia="Calibri" w:hAnsi="Calibri"/>
                <w:sz w:val="20"/>
                <w:szCs w:val="20"/>
              </w:rPr>
              <w:t xml:space="preserve">This repository was not under version control until this month. All prior work predates it. No commit has been backdated and no history has been reconstructed. Section 3 sets out exactly what the commit column does and does not prove.</w:t>
            </w:r>
          </w:p>
          <w:p>
            <w:pPr>
              <w:spacing w:after="0" w:before="0"/>
            </w:pPr>
            <w:r>
              <w:rPr>
                <w:rFonts w:ascii="Calibri" w:cs="Calibri" w:eastAsia="Calibri" w:hAnsi="Calibri"/>
                <w:b/>
                <w:bCs/>
                <w:sz w:val="20"/>
                <w:szCs w:val="20"/>
              </w:rPr>
              <w:t xml:space="preserve">2. </w:t>
            </w:r>
            <w:r>
              <w:rPr>
                <w:rFonts w:ascii="Calibri" w:cs="Calibri" w:eastAsia="Calibri" w:hAnsi="Calibri"/>
                <w:sz w:val="20"/>
                <w:szCs w:val="20"/>
              </w:rPr>
              <w:t xml:space="preserve">Most of the D0PA1 infrastructure is now built — but BUILT IS NOT VALIDATED, and §6 keeps the two apart. Eight capabilities are implemented and tested yet have never been run against real data, because the data they need does not exist. They are listed under their own heading and must not be read as evidence.</w:t>
            </w:r>
          </w:p>
        </w:tc>
      </w:tr>
    </w:tbl>
    <w:p>
      <w:pPr>
        <w:pStyle w:val="Heading1"/>
        <w:spacing w:after="150" w:before="320"/>
      </w:pPr>
      <w:r>
        <w:rPr>
          <w:rFonts w:ascii="Calibri" w:cs="Calibri" w:eastAsia="Calibri" w:hAnsi="Calibri"/>
          <w:b/>
          <w:bCs/>
          <w:color w:val="1A1A1A"/>
          <w:sz w:val="29"/>
          <w:szCs w:val="29"/>
        </w:rPr>
        <w:t xml:space="preserve">2.  Capability status — the eleven claimed items</w:t>
      </w:r>
    </w:p>
    <w:p>
      <w:pPr>
        <w:spacing w:after="120" w:before="0"/>
      </w:pPr>
      <w:r>
        <w:rPr>
          <w:rFonts w:ascii="Calibri" w:cs="Calibri" w:eastAsia="Calibri" w:hAnsi="Calibri"/>
          <w:sz w:val="20"/>
          <w:szCs w:val="20"/>
        </w:rPr>
        <w:t xml:space="preserve">An independent audit was run against the repository with instructions to find where my earlier claims exceeded the code, rather than to confirm them. Result: 9 VERIFIED, 2 PARTIAL, 0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4460"/>
      </w:tblGrid>
      <w:tr>
        <w:trPr>
          <w:tblHeader/>
        </w:trPr>
        <w:tc>
          <w:tcPr>
            <w:tcW w:type="dxa" w:w="5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w:t>
            </w:r>
          </w:p>
        </w:tc>
        <w:tc>
          <w:tcPr>
            <w:tcW w:type="dxa" w:w="32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Capability</w:t>
            </w:r>
          </w:p>
        </w:tc>
        <w:tc>
          <w:tcPr>
            <w:tcW w:type="dxa" w:w="12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Status</w:t>
            </w:r>
          </w:p>
        </w:tc>
        <w:tc>
          <w:tcPr>
            <w:tcW w:type="dxa" w:w="446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Basis</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1</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Webcam capture pipeline, real-time, two-thread</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Capture thread and processing thread fully decoupled; single-slot buffer, stale frames discarded</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2</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Face / head / visible-torso tracking</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MediaPipe Tasks API: FaceLandmarker (468 + iris) and PoseLandmarker (33), both in video mode</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3</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Sustained ≥15 FPS with full processing</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~29 FPS sustained against a ≥15 FPS floor; logged during the stability soak</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4</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Candidate facial signals, geometric</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Four vectors computed from landmark geometry in pose-normalised space; no trained model in the path</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5</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Per-person within-session calibration</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25-second neutral capture; per-vector reference frozen and stamped on every subsequent record</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6</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Rolling-window statistics</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Average, peak and variance per vector over a 10-second window; continuous sampling underneath</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7</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Blink detection (experimental)</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PARTIAL</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Detector corrected against real logged aperture data and passes in simulation; live-camera confirmation outstanding</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8</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Coarse L/R/centre gaze (experimental)</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PARTIAL</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Implemented and logged as unvalidated; live-camera confirmation outstanding</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9</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Consent and opt-out step</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Camera-free by architecture — the consent module imports no capture library, so declining cannot reach a camera</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10</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Agent read with full request/response logging</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VERIFIED</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Every request/response pair written to disk with a stub/live flag</w:t>
            </w:r>
          </w:p>
        </w:tc>
      </w:tr>
      <w:tr>
        <w:tc>
          <w:tcPr>
            <w:tcW w:type="dxa" w:w="500"/>
            <w:tcMar>
              <w:top w:type="dxa" w:w="70"/>
              <w:left w:type="dxa" w:w="100"/>
              <w:bottom w:type="dxa" w:w="70"/>
              <w:right w:type="dxa" w:w="100"/>
            </w:tcMar>
          </w:tcPr>
          <w:p>
            <w:pPr>
              <w:spacing w:after="120" w:before="0"/>
            </w:pPr>
            <w:r>
              <w:rPr>
                <w:rFonts w:ascii="Calibri" w:cs="Calibri" w:eastAsia="Calibri" w:hAnsi="Calibri"/>
                <w:sz w:val="18"/>
                <w:szCs w:val="18"/>
              </w:rPr>
              <w:t xml:space="preserve">11</w:t>
            </w:r>
          </w:p>
        </w:tc>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Stability soak</w:t>
            </w:r>
          </w:p>
        </w:tc>
        <w:tc>
          <w:tcPr>
            <w:tcW w:type="dxa" w:w="1200"/>
            <w:tcMar>
              <w:top w:type="dxa" w:w="70"/>
              <w:left w:type="dxa" w:w="100"/>
              <w:bottom w:type="dxa" w:w="70"/>
              <w:right w:type="dxa" w:w="100"/>
            </w:tcMar>
          </w:tcPr>
          <w:p>
            <w:pPr>
              <w:spacing w:after="120" w:before="0"/>
            </w:pPr>
            <w:r>
              <w:rPr>
                <w:rFonts w:ascii="Calibri" w:cs="Calibri" w:eastAsia="Calibri" w:hAnsi="Calibri"/>
                <w:sz w:val="18"/>
                <w:szCs w:val="18"/>
              </w:rPr>
              <w:t xml:space="preserve">PARTIAL</w:t>
            </w:r>
          </w:p>
        </w:tc>
        <w:tc>
          <w:tcPr>
            <w:tcW w:type="dxa" w:w="4460"/>
            <w:tcMar>
              <w:top w:type="dxa" w:w="70"/>
              <w:left w:type="dxa" w:w="100"/>
              <w:bottom w:type="dxa" w:w="70"/>
              <w:right w:type="dxa" w:w="100"/>
            </w:tcMar>
          </w:tcPr>
          <w:p>
            <w:pPr>
              <w:spacing w:after="120" w:before="0"/>
            </w:pPr>
            <w:r>
              <w:rPr>
                <w:rFonts w:ascii="Calibri" w:cs="Calibri" w:eastAsia="Calibri" w:hAnsi="Calibri"/>
                <w:sz w:val="18"/>
                <w:szCs w:val="18"/>
              </w:rPr>
              <w:t xml:space="preserve">Longest soak for which a log exists is ~41 minutes, not multi-hour. See §5.</w:t>
            </w:r>
          </w:p>
        </w:tc>
      </w:tr>
    </w:tbl>
    <w:p>
      <w:pPr>
        <w:spacing w:after="8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On items 7 and 8: </w:t>
      </w:r>
      <w:r>
        <w:rPr>
          <w:rFonts w:ascii="Calibri" w:cs="Calibri" w:eastAsia="Calibri" w:hAnsi="Calibri"/>
          <w:sz w:val="20"/>
          <w:szCs w:val="20"/>
        </w:rPr>
        <w:t xml:space="preserve">both were corrected recently, but the only logged artefacts predate the correction. They stay PARTIAL until a post-correction live recording exists. That recording requires one session and is not blocked on anything — I have simply not claimed it before doing it.</w:t>
      </w:r>
    </w:p>
    <w:p>
      <w:pPr>
        <w:spacing w:after="120" w:before="0"/>
      </w:pPr>
      <w:r>
        <w:rPr>
          <w:rFonts w:ascii="Calibri" w:cs="Calibri" w:eastAsia="Calibri" w:hAnsi="Calibri"/>
          <w:b/>
          <w:bCs/>
          <w:sz w:val="20"/>
          <w:szCs w:val="20"/>
        </w:rPr>
        <w:t xml:space="preserve">On item 11: </w:t>
      </w:r>
      <w:r>
        <w:rPr>
          <w:rFonts w:ascii="Calibri" w:cs="Calibri" w:eastAsia="Calibri" w:hAnsi="Calibri"/>
          <w:sz w:val="20"/>
          <w:szCs w:val="20"/>
        </w:rPr>
        <w:t xml:space="preserve">I previously described stability as "multi-hour". The evidence is 41 minutes. That is corrected here and in the sign-off response, and a longer soak is a scheduled item rather than an existing claim.</w:t>
      </w:r>
    </w:p>
    <w:p>
      <w:r>
        <w:br w:type="page"/>
      </w:r>
    </w:p>
    <w:p>
      <w:pPr>
        <w:pStyle w:val="Heading1"/>
        <w:spacing w:after="150" w:before="320"/>
      </w:pPr>
      <w:r>
        <w:rPr>
          <w:rFonts w:ascii="Calibri" w:cs="Calibri" w:eastAsia="Calibri" w:hAnsi="Calibri"/>
          <w:b/>
          <w:bCs/>
          <w:color w:val="1A1A1A"/>
          <w:sz w:val="29"/>
          <w:szCs w:val="29"/>
        </w:rPr>
        <w:t xml:space="preserve">3.  Provenance — version control and what the commit column 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30"/>
              <w:left w:type="dxa" w:w="170"/>
              <w:bottom w:type="dxa" w:w="130"/>
              <w:right w:type="dxa" w:w="170"/>
            </w:tcMar>
          </w:tcPr>
          <w:p>
            <w:pPr>
              <w:spacing w:after="120" w:before="0"/>
            </w:pPr>
            <w:r>
              <w:rPr>
                <w:rFonts w:ascii="Calibri" w:cs="Calibri" w:eastAsia="Calibri" w:hAnsi="Calibri"/>
                <w:sz w:val="20"/>
                <w:szCs w:val="20"/>
              </w:rPr>
              <w:t xml:space="preserve">Version control was established on this repository in August 2026. Work predating that date is not represented in commit history. No commit has been backdated, and no history was reconstructed from file timestamps or any other source.</w:t>
            </w:r>
          </w:p>
          <w:p>
            <w:pPr>
              <w:spacing w:after="0" w:before="0"/>
            </w:pPr>
            <w:r>
              <w:rPr>
                <w:rFonts w:ascii="Calibri" w:cs="Calibri" w:eastAsia="Calibri" w:hAnsi="Calibri"/>
                <w:b/>
                <w:bCs/>
                <w:sz w:val="20"/>
                <w:szCs w:val="20"/>
              </w:rPr>
              <w:t xml:space="preserve">A hardened .gitignore and a media-blocking pre-commit hook were committed BEFORE the first source file was added. </w:t>
            </w:r>
            <w:r>
              <w:rPr>
                <w:rFonts w:ascii="Calibri" w:cs="Calibri" w:eastAsia="Calibri" w:hAnsi="Calibri"/>
                <w:sz w:val="20"/>
                <w:szCs w:val="20"/>
              </w:rPr>
              <w:t xml:space="preserve">No face recording, audio recording or other raw participant media has ever entered this repository's history.</w:t>
            </w:r>
          </w:p>
        </w:tc>
      </w:tr>
    </w:tbl>
    <w:p>
      <w:pPr>
        <w:spacing w:after="120" w:before="0"/>
      </w:pPr>
      <w:r>
        <w:rPr>
          <w:rFonts w:ascii="Calibri" w:cs="Calibri" w:eastAsia="Calibri" w:hAnsi="Calibri"/>
          <w:sz w:val="20"/>
          <w:szCs w:val="20"/>
        </w:rPr>
        <w:t xml:space="preserve">I recognise this is weaker provenance than a long-lived repository would offer, and I would rather you weigh that knowing the facts. It does mean one claim can be made without qualification, which an older repository usually cannot: this history has never held raw media of any kind.</w:t>
      </w:r>
    </w:p>
    <w:p>
      <w:pPr>
        <w:spacing w:after="120" w:before="0"/>
      </w:pPr>
      <w:r>
        <w:rPr>
          <w:rFonts w:ascii="Calibri" w:cs="Calibri" w:eastAsia="Calibri" w:hAnsi="Calibri"/>
          <w:b/>
          <w:bCs/>
          <w:sz w:val="20"/>
          <w:szCs w:val="20"/>
        </w:rPr>
        <w:t xml:space="preserve">What a commit hash proves here: </w:t>
      </w:r>
      <w:r>
        <w:rPr>
          <w:rFonts w:ascii="Calibri" w:cs="Calibri" w:eastAsia="Calibri" w:hAnsi="Calibri"/>
          <w:sz w:val="20"/>
          <w:szCs w:val="20"/>
        </w:rPr>
        <w:t xml:space="preserve">that the code exists and can be inspected by you. It does not date authorship. I have read your §13 requirement as being about inspectability, which is what it asks for. If you intended the stricter reading, all eleven items should be reclassified B, and that is your call to make rather than mine.</w:t>
      </w:r>
    </w:p>
    <w:p>
      <w:pPr>
        <w:pStyle w:val="Heading2"/>
        <w:spacing w:after="110" w:before="240"/>
      </w:pPr>
      <w:r>
        <w:rPr>
          <w:rFonts w:ascii="Calibri" w:cs="Calibri" w:eastAsia="Calibri" w:hAnsi="Calibri"/>
          <w:b/>
          <w:bCs/>
          <w:color w:val="1A1A1A"/>
          <w:sz w:val="23"/>
          <w:szCs w:val="23"/>
        </w:rPr>
        <w:t xml:space="preserve">3.1  Guards, and evidence that they work</w:t>
      </w:r>
    </w:p>
    <w:p>
      <w:pPr>
        <w:pStyle w:val="ListParagraph"/>
        <w:numPr>
          <w:ilvl w:val="0"/>
          <w:numId w:val="1"/>
        </w:numPr>
        <w:spacing w:after="70"/>
      </w:pPr>
      <w:r>
        <w:rPr>
          <w:rFonts w:ascii="Calibri" w:cs="Calibri" w:eastAsia="Calibri" w:hAnsi="Calibri"/>
          <w:sz w:val="20"/>
          <w:szCs w:val="20"/>
        </w:rPr>
        <w:t xml:space="preserve">The pre-commit hook blocks staged media by file extension AND by magic-byte inspection, and blocks secret-like patterns. It inspects the staged blob rather than the working-tree file, so staging one thing and leaving another on disk cannot defeat it.</w:t>
      </w:r>
    </w:p>
    <w:p>
      <w:pPr>
        <w:pStyle w:val="ListParagraph"/>
        <w:numPr>
          <w:ilvl w:val="0"/>
          <w:numId w:val="1"/>
        </w:numPr>
        <w:spacing w:after="70"/>
      </w:pPr>
      <w:r>
        <w:rPr>
          <w:rFonts w:ascii="Calibri" w:cs="Calibri" w:eastAsia="Calibri" w:hAnsi="Calibri"/>
          <w:sz w:val="20"/>
          <w:szCs w:val="20"/>
        </w:rPr>
        <w:t xml:space="preserve">The hook has been observed blocking a media file and a key-like string, and correctly passing legitimate placeholder text. It also blocked a draft of the provenance disclosure itself, which quoted a synthetic key value; the text was reworked rather than the hook bypassed.</w:t>
      </w:r>
    </w:p>
    <w:p>
      <w:pPr>
        <w:pStyle w:val="ListParagraph"/>
        <w:numPr>
          <w:ilvl w:val="0"/>
          <w:numId w:val="1"/>
        </w:numPr>
        <w:spacing w:after="70"/>
      </w:pPr>
      <w:r>
        <w:rPr>
          <w:rFonts w:ascii="Calibri" w:cs="Calibri" w:eastAsia="Calibri" w:hAnsi="Calibri"/>
          <w:sz w:val="20"/>
          <w:szCs w:val="20"/>
        </w:rPr>
        <w:t xml:space="preserve">A whole-tree scan of all 89 files by magic bytes rather than file extension found no media of any kind — no video, image or audio, by content or by name.</w:t>
      </w:r>
    </w:p>
    <w:p>
      <w:pPr>
        <w:pStyle w:val="ListParagraph"/>
        <w:numPr>
          <w:ilvl w:val="0"/>
          <w:numId w:val="1"/>
        </w:numPr>
        <w:spacing w:after="70"/>
      </w:pPr>
      <w:r>
        <w:rPr>
          <w:rFonts w:ascii="Calibri" w:cs="Calibri" w:eastAsia="Calibri" w:hAnsi="Calibri"/>
          <w:sz w:val="20"/>
          <w:szCs w:val="20"/>
        </w:rPr>
        <w:t xml:space="preserve">No .env file and no live credential exists anywhere in the tree. The API key is read from the environment only.</w:t>
      </w:r>
    </w:p>
    <w:p>
      <w:pPr>
        <w:pStyle w:val="ListParagraph"/>
        <w:numPr>
          <w:ilvl w:val="0"/>
          <w:numId w:val="1"/>
        </w:numPr>
        <w:spacing w:after="70"/>
      </w:pPr>
      <w:r>
        <w:rPr>
          <w:rFonts w:ascii="Calibri" w:cs="Calibri" w:eastAsia="Calibri" w:hAnsi="Calibri"/>
          <w:sz w:val="20"/>
          <w:szCs w:val="20"/>
        </w:rPr>
        <w:t xml:space="preserve">During hook verification, two synthetic test files and one test commit were created and removed before any real commit. Both files contained no participant data. This is disclosed in the repository, the object store was pruned, and git fsck --full --strict returns clean.</w:t>
      </w:r>
    </w:p>
    <w:p>
      <w:pPr>
        <w:spacing w:after="120" w:before="0"/>
      </w:pPr>
      <w:r>
        <w:rPr>
          <w:rFonts w:ascii="Calibri" w:cs="Calibri" w:eastAsia="Calibri" w:hAnsi="Calibri"/>
          <w:b/>
          <w:bCs/>
          <w:sz w:val="20"/>
          <w:szCs w:val="20"/>
        </w:rPr>
        <w:t xml:space="preserve">That last point is recorded because the alternative — a dangling object with no explanation, found by you later — reads very differently from a documented verification step.</w:t>
      </w:r>
    </w:p>
    <w:p>
      <w:pPr>
        <w:pStyle w:val="Heading1"/>
        <w:spacing w:after="150" w:before="320"/>
      </w:pPr>
      <w:r>
        <w:rPr>
          <w:rFonts w:ascii="Calibri" w:cs="Calibri" w:eastAsia="Calibri" w:hAnsi="Calibri"/>
          <w:b/>
          <w:bCs/>
          <w:color w:val="1A1A1A"/>
          <w:sz w:val="29"/>
          <w:szCs w:val="29"/>
        </w:rPr>
        <w:t xml:space="preserve">4.  D1 feature-block separation — built and enforced</w:t>
      </w:r>
    </w:p>
    <w:p>
      <w:pPr>
        <w:spacing w:after="120" w:before="0"/>
      </w:pPr>
      <w:r>
        <w:rPr>
          <w:rFonts w:ascii="Calibri" w:cs="Calibri" w:eastAsia="Calibri" w:hAnsi="Calibri"/>
          <w:sz w:val="20"/>
          <w:szCs w:val="20"/>
        </w:rPr>
        <w:t xml:space="preserve">The load-bearing requirement of your §2. Feature computation now lives in five separate block modules, with shared raw-landmark utilities in a neutral geometry module that is upstream of all five and belongs to none.</w:t>
      </w:r>
    </w:p>
    <w:p>
      <w:pPr>
        <w:spacing w:after="50" w:before="50"/>
        <w:ind w:left="340"/>
      </w:pPr>
      <w:r>
        <w:rPr>
          <w:rFonts w:ascii="Consolas" w:cs="Consolas" w:eastAsia="Consolas" w:hAnsi="Consolas"/>
          <w:color w:val="333333"/>
          <w:sz w:val="16"/>
          <w:szCs w:val="16"/>
        </w:rPr>
        <w:t xml:space="preserve">features/  x_core.py · episodes.py · attention.py · audio.py (stub) · context.py (stub) · geometry.py</w:t>
      </w:r>
    </w:p>
    <w:p>
      <w:pPr>
        <w:pStyle w:val="Heading2"/>
        <w:spacing w:after="110" w:before="240"/>
      </w:pPr>
      <w:r>
        <w:rPr>
          <w:rFonts w:ascii="Calibri" w:cs="Calibri" w:eastAsia="Calibri" w:hAnsi="Calibri"/>
          <w:b/>
          <w:bCs/>
          <w:color w:val="1A1A1A"/>
          <w:sz w:val="23"/>
          <w:szCs w:val="23"/>
        </w:rPr>
        <w:t xml:space="preserve">4.1  Both exclusions, confirmed separately</w:t>
      </w:r>
    </w:p>
    <w:p>
      <w:pPr>
        <w:pStyle w:val="ListParagraph"/>
        <w:numPr>
          <w:ilvl w:val="0"/>
          <w:numId w:val="1"/>
        </w:numPr>
        <w:spacing w:after="70"/>
      </w:pPr>
      <w:r>
        <w:rPr>
          <w:rFonts w:ascii="Calibri" w:cs="Calibri" w:eastAsia="Calibri" w:hAnsi="Calibri"/>
          <w:b/>
          <w:bCs/>
          <w:sz w:val="20"/>
          <w:szCs w:val="20"/>
        </w:rPr>
        <w:t xml:space="preserve">Attention: </w:t>
      </w:r>
      <w:r>
        <w:rPr>
          <w:rFonts w:ascii="Calibri" w:cs="Calibri" w:eastAsia="Calibri" w:hAnsi="Calibri"/>
          <w:sz w:val="20"/>
          <w:szCs w:val="20"/>
        </w:rPr>
        <w:t xml:space="preserve">no attention-derived value — orientation score, oriented rate, gaze label, blink rate — is read by X_core or E_t.</w:t>
      </w:r>
    </w:p>
    <w:p>
      <w:pPr>
        <w:pStyle w:val="ListParagraph"/>
        <w:numPr>
          <w:ilvl w:val="0"/>
          <w:numId w:val="1"/>
        </w:numPr>
        <w:spacing w:after="70"/>
      </w:pPr>
      <w:r>
        <w:rPr>
          <w:rFonts w:ascii="Calibri" w:cs="Calibri" w:eastAsia="Calibri" w:hAnsi="Calibri"/>
          <w:b/>
          <w:bCs/>
          <w:sz w:val="20"/>
          <w:szCs w:val="20"/>
        </w:rPr>
        <w:t xml:space="preserve">Audio: </w:t>
      </w:r>
      <w:r>
        <w:rPr>
          <w:rFonts w:ascii="Calibri" w:cs="Calibri" w:eastAsia="Calibri" w:hAnsi="Calibri"/>
          <w:sz w:val="20"/>
          <w:szCs w:val="20"/>
        </w:rPr>
        <w:t xml:space="preserve">no audio code exists at all. The stub module exposes nothing that could be mistaken for a working signal.</w:t>
      </w:r>
    </w:p>
    <w:p>
      <w:pPr>
        <w:pStyle w:val="Heading2"/>
        <w:spacing w:after="110" w:before="240"/>
      </w:pPr>
      <w:r>
        <w:rPr>
          <w:rFonts w:ascii="Calibri" w:cs="Calibri" w:eastAsia="Calibri" w:hAnsi="Calibri"/>
          <w:b/>
          <w:bCs/>
          <w:color w:val="1A1A1A"/>
          <w:sz w:val="23"/>
          <w:szCs w:val="23"/>
        </w:rPr>
        <w:t xml:space="preserve">4.2  Enforcement is a test, not a promise</w:t>
      </w:r>
    </w:p>
    <w:p>
      <w:pPr>
        <w:spacing w:after="120" w:before="0"/>
      </w:pPr>
      <w:r>
        <w:rPr>
          <w:rFonts w:ascii="Calibri" w:cs="Calibri" w:eastAsia="Calibri" w:hAnsi="Calibri"/>
          <w:sz w:val="20"/>
          <w:szCs w:val="20"/>
        </w:rPr>
        <w:t xml:space="preserve">Three checks: a static import-graph parse using Python's ast module; a static call-graph check for attention or audio symbols inside X_core or E_t computation; and a runtime check computing X_core and E_t with the attention and audio modules monkeypatched to raise on any attribute access.</w:t>
      </w:r>
    </w:p>
    <w:p>
      <w:pPr>
        <w:spacing w:after="120" w:before="0"/>
      </w:pPr>
      <w:r>
        <w:rPr>
          <w:rFonts w:ascii="Calibri" w:cs="Calibri" w:eastAsia="Calibri" w:hAnsi="Calibri"/>
          <w:b/>
          <w:bCs/>
          <w:sz w:val="20"/>
          <w:szCs w:val="20"/>
        </w:rPr>
        <w:t xml:space="preserve">The test has been observed to fail. </w:t>
      </w:r>
      <w:r>
        <w:rPr>
          <w:rFonts w:ascii="Calibri" w:cs="Calibri" w:eastAsia="Calibri" w:hAnsi="Calibri"/>
          <w:sz w:val="20"/>
          <w:szCs w:val="20"/>
        </w:rPr>
        <w:t xml:space="preserve">An attention import was deliberately introduced into x_core; both the static and runtime checks caught it, and the failure output is recorded in the repository. A guard that has never been seen to fire is not evidence of anything.</w:t>
      </w:r>
    </w:p>
    <w:p>
      <w:pPr>
        <w:pStyle w:val="Heading2"/>
        <w:spacing w:after="110" w:before="240"/>
      </w:pPr>
      <w:r>
        <w:rPr>
          <w:rFonts w:ascii="Calibri" w:cs="Calibri" w:eastAsia="Calibri" w:hAnsi="Calibri"/>
          <w:b/>
          <w:bCs/>
          <w:color w:val="1A1A1A"/>
          <w:sz w:val="23"/>
          <w:szCs w:val="23"/>
        </w:rPr>
        <w:t xml:space="preserve">4.3  No pre-existing violations found</w:t>
      </w:r>
    </w:p>
    <w:p>
      <w:pPr>
        <w:spacing w:after="120" w:before="0"/>
      </w:pPr>
      <w:r>
        <w:rPr>
          <w:rFonts w:ascii="Calibri" w:cs="Calibri" w:eastAsia="Calibri" w:hAnsi="Calibri"/>
          <w:sz w:val="20"/>
          <w:szCs w:val="20"/>
        </w:rPr>
        <w:t xml:space="preserve">Before separation, X_core and attention code shared one module — structural entanglement. A full trace of every call site constructing arguments to the calibrator, the window accumulator and the valence/arousal mapping, across both loop implementations and the agent path, found no information-flow violation. The method is recorded so the claim is checkable rather than asserted.</w:t>
      </w:r>
    </w:p>
    <w:p>
      <w:pPr>
        <w:pStyle w:val="Heading2"/>
        <w:spacing w:after="110" w:before="240"/>
      </w:pPr>
      <w:r>
        <w:rPr>
          <w:rFonts w:ascii="Calibri" w:cs="Calibri" w:eastAsia="Calibri" w:hAnsi="Calibri"/>
          <w:b/>
          <w:bCs/>
          <w:color w:val="1A1A1A"/>
          <w:sz w:val="23"/>
          <w:szCs w:val="23"/>
        </w:rPr>
        <w:t xml:space="preserve">4.4  Behaviour was preserved, and this was tested rather than assumed</w:t>
      </w:r>
    </w:p>
    <w:p>
      <w:pPr>
        <w:spacing w:after="120" w:before="0"/>
      </w:pPr>
      <w:r>
        <w:rPr>
          <w:rFonts w:ascii="Calibri" w:cs="Calibri" w:eastAsia="Calibri" w:hAnsi="Calibri"/>
          <w:sz w:val="20"/>
          <w:szCs w:val="20"/>
        </w:rPr>
        <w:t xml:space="preserve">Because separation moves code, a golden-file snapshot test was written and committed BEFORE any refactor, covering every affect vector, the calibration, the windowing and the valence/arousal mapping under fixed synthetic inputs. After the refactor it reproduces byte-for-byte.</w:t>
      </w:r>
    </w:p>
    <w:p>
      <w:pPr>
        <w:spacing w:after="50" w:before="50"/>
        <w:ind w:left="340"/>
      </w:pPr>
      <w:r>
        <w:rPr>
          <w:rFonts w:ascii="Consolas" w:cs="Consolas" w:eastAsia="Consolas" w:hAnsi="Consolas"/>
          <w:color w:val="333333"/>
          <w:sz w:val="16"/>
          <w:szCs w:val="16"/>
        </w:rPr>
        <w:t xml:space="preserve">golden SHA256  4f9c0f1786c18e8dbe5e3048b8b6b6e280cf6c434b9c53b119344746fc31bcff</w:t>
      </w:r>
    </w:p>
    <w:p>
      <w:pPr>
        <w:spacing w:after="120" w:before="0"/>
      </w:pPr>
      <w:r>
        <w:rPr>
          <w:rFonts w:ascii="Calibri" w:cs="Calibri" w:eastAsia="Calibri" w:hAnsi="Calibri"/>
          <w:sz w:val="20"/>
          <w:szCs w:val="20"/>
        </w:rPr>
        <w:t xml:space="preserve">No previously reported number is affected by this work.</w:t>
      </w:r>
    </w:p>
    <w:p>
      <w:pPr>
        <w:pStyle w:val="Heading2"/>
        <w:spacing w:after="110" w:before="240"/>
      </w:pPr>
      <w:r>
        <w:rPr>
          <w:rFonts w:ascii="Calibri" w:cs="Calibri" w:eastAsia="Calibri" w:hAnsi="Calibri"/>
          <w:b/>
          <w:bCs/>
          <w:color w:val="1A1A1A"/>
          <w:sz w:val="23"/>
          <w:szCs w:val="23"/>
        </w:rPr>
        <w:t xml:space="preserve">4.5  C_t — stated precisely</w:t>
      </w:r>
    </w:p>
    <w:p>
      <w:pPr>
        <w:spacing w:after="120" w:before="0"/>
      </w:pPr>
      <w:r>
        <w:rPr>
          <w:rFonts w:ascii="Calibri" w:cs="Calibri" w:eastAsia="Calibri" w:hAnsi="Calibri"/>
          <w:b/>
          <w:bCs/>
          <w:sz w:val="20"/>
          <w:szCs w:val="20"/>
        </w:rPr>
        <w:t xml:space="preserve">There is no context code in the repository at all, </w:t>
      </w:r>
      <w:r>
        <w:rPr>
          <w:rFonts w:ascii="Calibri" w:cs="Calibri" w:eastAsia="Calibri" w:hAnsi="Calibri"/>
          <w:sz w:val="20"/>
          <w:szCs w:val="20"/>
        </w:rPr>
        <w:t xml:space="preserve">verified by search rather than inferred from silence. I want to be precise that this is "nonexistent", not "checked and clean". When C_t is built, it is the most plausible route by which attention could reach the core, since C_t → E_t is permitted. The separation test will be extended to cover it before any context feature is used.</w:t>
      </w:r>
    </w:p>
    <w:p>
      <w:r>
        <w:br w:type="page"/>
      </w:r>
    </w:p>
    <w:p>
      <w:pPr>
        <w:pStyle w:val="Heading1"/>
        <w:spacing w:after="150" w:before="320"/>
      </w:pPr>
      <w:r>
        <w:rPr>
          <w:rFonts w:ascii="Calibri" w:cs="Calibri" w:eastAsia="Calibri" w:hAnsi="Calibri"/>
          <w:b/>
          <w:bCs/>
          <w:color w:val="1A1A1A"/>
          <w:sz w:val="29"/>
          <w:szCs w:val="29"/>
        </w:rPr>
        <w:t xml:space="preserve">5.  What this work uncovered</w:t>
      </w:r>
    </w:p>
    <w:p>
      <w:pPr>
        <w:spacing w:after="120" w:before="0"/>
      </w:pPr>
      <w:r>
        <w:rPr>
          <w:rFonts w:ascii="Calibri" w:cs="Calibri" w:eastAsia="Calibri" w:hAnsi="Calibri"/>
          <w:sz w:val="20"/>
          <w:szCs w:val="20"/>
        </w:rPr>
        <w:t xml:space="preserve">Four findings that were not the object of the work but emerged from it. I would rather surface all four than have them appear at your reproduction test.</w:t>
      </w:r>
    </w:p>
    <w:p>
      <w:pPr>
        <w:pStyle w:val="Heading2"/>
        <w:spacing w:after="110" w:before="240"/>
      </w:pPr>
      <w:r>
        <w:rPr>
          <w:rFonts w:ascii="Calibri" w:cs="Calibri" w:eastAsia="Calibri" w:hAnsi="Calibri"/>
          <w:b/>
          <w:bCs/>
          <w:color w:val="1A1A1A"/>
          <w:sz w:val="23"/>
          <w:szCs w:val="23"/>
        </w:rPr>
        <w:t xml:space="preserve">5.1  Three pipeline consumers exist and have diverged</w:t>
      </w:r>
    </w:p>
    <w:p>
      <w:pPr>
        <w:spacing w:after="120" w:before="0"/>
      </w:pPr>
      <w:r>
        <w:rPr>
          <w:rFonts w:ascii="Calibri" w:cs="Calibri" w:eastAsia="Calibri" w:hAnsi="Calibri"/>
          <w:sz w:val="20"/>
          <w:szCs w:val="20"/>
        </w:rPr>
        <w:t xml:space="preserve">The standalone vector module, the demo interface and the offline video analyser each run the processing loop differently — different experimental-signal logging, different attention windowing, and in the video path a calibration clock driven by video time rather than wall-clock time.</w:t>
      </w:r>
    </w:p>
    <w:p>
      <w:pPr>
        <w:spacing w:after="120" w:before="0"/>
      </w:pPr>
      <w:r>
        <w:rPr>
          <w:rFonts w:ascii="Calibri" w:cs="Calibri" w:eastAsia="Calibri" w:hAnsi="Calibri"/>
          <w:b/>
          <w:bCs/>
          <w:sz w:val="20"/>
          <w:szCs w:val="20"/>
        </w:rPr>
        <w:t xml:space="preserve">None of this affects feature-block separation and none of it was introduced by recent work. It matters for two reasons. </w:t>
      </w:r>
      <w:r>
        <w:rPr>
          <w:rFonts w:ascii="Calibri" w:cs="Calibri" w:eastAsia="Calibri" w:hAnsi="Calibri"/>
          <w:sz w:val="20"/>
          <w:szCs w:val="20"/>
        </w:rPr>
        <w:t xml:space="preserve">First, your clean-machine reproduction test re-runs an analysis path, and there are three of them. Second, I cannot presently state with certainty which path produced each historical log. Consolidating them is the substantive remaining work for D4.</w:t>
      </w:r>
    </w:p>
    <w:p>
      <w:pPr>
        <w:pStyle w:val="Heading2"/>
        <w:spacing w:after="110" w:before="240"/>
      </w:pPr>
      <w:r>
        <w:rPr>
          <w:rFonts w:ascii="Calibri" w:cs="Calibri" w:eastAsia="Calibri" w:hAnsi="Calibri"/>
          <w:b/>
          <w:bCs/>
          <w:color w:val="1A1A1A"/>
          <w:sz w:val="23"/>
          <w:szCs w:val="23"/>
        </w:rPr>
        <w:t xml:space="preserve">5.2  Stability evidence is 41 minutes, not multi-hour</w:t>
      </w:r>
    </w:p>
    <w:p>
      <w:pPr>
        <w:spacing w:after="120" w:before="0"/>
      </w:pPr>
      <w:r>
        <w:rPr>
          <w:rFonts w:ascii="Calibri" w:cs="Calibri" w:eastAsia="Calibri" w:hAnsi="Calibri"/>
          <w:sz w:val="20"/>
          <w:szCs w:val="20"/>
        </w:rPr>
        <w:t xml:space="preserve">Stated in §2. The 41-minute soak was clean — frame rate flat, memory bounded with no leak, no thread death and no exceptions — but it does not support the phrase I previously used.</w:t>
      </w:r>
    </w:p>
    <w:p>
      <w:pPr>
        <w:pStyle w:val="Heading2"/>
        <w:spacing w:after="110" w:before="240"/>
      </w:pPr>
      <w:r>
        <w:rPr>
          <w:rFonts w:ascii="Calibri" w:cs="Calibri" w:eastAsia="Calibri" w:hAnsi="Calibri"/>
          <w:b/>
          <w:bCs/>
          <w:color w:val="1A1A1A"/>
          <w:sz w:val="23"/>
          <w:szCs w:val="23"/>
        </w:rPr>
        <w:t xml:space="preserve">5.3  A compatibility layer creates a residual risk</w:t>
      </w:r>
    </w:p>
    <w:p>
      <w:pPr>
        <w:spacing w:after="120" w:before="0"/>
      </w:pPr>
      <w:r>
        <w:rPr>
          <w:rFonts w:ascii="Calibri" w:cs="Calibri" w:eastAsia="Calibri" w:hAnsi="Calibri"/>
          <w:sz w:val="20"/>
          <w:szCs w:val="20"/>
        </w:rPr>
        <w:t xml:space="preserve">The original module now re-exports symbols from all five blocks so that historical diagnostic scripts continue to run. That is a flattened namespace in which the block discipline does not apply. Separation holds today because no block module imports it, and the separation test guards against it. I am recording it because it is the most plausible route by which this guarantee could silently decay later.</w:t>
      </w:r>
    </w:p>
    <w:p>
      <w:pPr>
        <w:pStyle w:val="Heading2"/>
        <w:spacing w:after="110" w:before="240"/>
      </w:pPr>
      <w:r>
        <w:rPr>
          <w:rFonts w:ascii="Calibri" w:cs="Calibri" w:eastAsia="Calibri" w:hAnsi="Calibri"/>
          <w:b/>
          <w:bCs/>
          <w:color w:val="1A1A1A"/>
          <w:sz w:val="23"/>
          <w:szCs w:val="23"/>
        </w:rPr>
        <w:t xml:space="preserve">5.4  Attention pitch detection is structurally unreliable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30"/>
              <w:left w:type="dxa" w:w="170"/>
              <w:bottom w:type="dxa" w:w="130"/>
              <w:right w:type="dxa" w:w="170"/>
            </w:tcMar>
          </w:tcPr>
          <w:p>
            <w:pPr>
              <w:spacing w:after="120" w:before="0"/>
            </w:pPr>
            <w:r>
              <w:rPr>
                <w:rFonts w:ascii="Calibri" w:cs="Calibri" w:eastAsia="Calibri" w:hAnsi="Calibri"/>
                <w:sz w:val="20"/>
                <w:szCs w:val="20"/>
              </w:rPr>
              <w:t xml:space="preserve">This predates D0PA1 but bears directly on your §11, so it is restated here.</w:t>
            </w:r>
          </w:p>
          <w:p>
            <w:pPr>
              <w:spacing w:after="120" w:before="0"/>
            </w:pPr>
            <w:r>
              <w:rPr>
                <w:rFonts w:ascii="Calibri" w:cs="Calibri" w:eastAsia="Calibri" w:hAnsi="Calibri"/>
                <w:sz w:val="20"/>
                <w:szCs w:val="20"/>
              </w:rPr>
              <w:t xml:space="preserve">Directed testing established that horizontal head orientation (yaw) is detected reliably, but that pitch — looking up or down — is not. On a maximal, sustained, verified chin-to-chest look-down, measured pitch stayed at approximately 0.1° and the oriented-rate stayed at 1.0, indistinguishable from looking directly at the screen.</w:t>
            </w:r>
          </w:p>
          <w:p>
            <w:pPr>
              <w:spacing w:after="120" w:before="0"/>
            </w:pPr>
            <w:r>
              <w:rPr>
                <w:rFonts w:ascii="Calibri" w:cs="Calibri" w:eastAsia="Calibri" w:hAnsi="Calibri"/>
                <w:sz w:val="20"/>
                <w:szCs w:val="20"/>
              </w:rPr>
              <w:t xml:space="preserve">The cause is not a bug. The rotation decomposition is provably exact on synthetic rotations; the face foreshortens when looking down, degrading the landmark data pitch depends on. It is not fixable with a single webcam at this resolution.</w:t>
            </w:r>
          </w:p>
          <w:p>
            <w:pPr>
              <w:spacing w:after="0" w:before="0"/>
            </w:pPr>
            <w:r>
              <w:rPr>
                <w:rFonts w:ascii="Calibri" w:cs="Calibri" w:eastAsia="Calibri" w:hAnsi="Calibri"/>
                <w:b/>
                <w:bCs/>
                <w:sz w:val="20"/>
                <w:szCs w:val="20"/>
              </w:rPr>
              <w:t xml:space="preserve">The most common disengagement cue is looking down, and this signal cannot see it. I therefore expect an elevated risk that the D8 attention-validity criterion fails, and I have pre-declared that in the sign-off response rather than presenting it as a surprise afterwards.</w:t>
            </w:r>
          </w:p>
        </w:tc>
      </w:tr>
    </w:tbl>
    <w:p>
      <w:pPr>
        <w:pStyle w:val="Heading1"/>
        <w:spacing w:after="150" w:before="320"/>
      </w:pPr>
      <w:r>
        <w:rPr>
          <w:rFonts w:ascii="Calibri" w:cs="Calibri" w:eastAsia="Calibri" w:hAnsi="Calibri"/>
          <w:b/>
          <w:bCs/>
          <w:color w:val="1A1A1A"/>
          <w:sz w:val="29"/>
          <w:szCs w:val="29"/>
        </w:rPr>
        <w:t xml:space="preserve">6.  What is NOT built</w:t>
      </w:r>
    </w:p>
    <w:p>
      <w:pPr>
        <w:spacing w:after="120" w:before="0"/>
      </w:pPr>
      <w:r>
        <w:rPr>
          <w:rFonts w:ascii="Calibri" w:cs="Calibri" w:eastAsia="Calibri" w:hAnsi="Calibri"/>
          <w:sz w:val="20"/>
          <w:szCs w:val="20"/>
        </w:rPr>
        <w:t xml:space="preserve">Three lists, kept separate on purpose. What is built and exercised. What is built but has never touched real data. What is not built at all. Collapsing the middle list into the first is the most likely way this report could mislead, so it has its own heading.</w:t>
      </w:r>
    </w:p>
    <w:p>
      <w:pPr>
        <w:pStyle w:val="Heading2"/>
        <w:spacing w:after="110" w:before="240"/>
      </w:pPr>
      <w:r>
        <w:rPr>
          <w:rFonts w:ascii="Calibri" w:cs="Calibri" w:eastAsia="Calibri" w:hAnsi="Calibri"/>
          <w:b/>
          <w:bCs/>
          <w:color w:val="1A1A1A"/>
          <w:sz w:val="23"/>
          <w:szCs w:val="23"/>
        </w:rPr>
        <w:t xml:space="preserve">6.1  Built and exercised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Item</w:t>
            </w:r>
          </w:p>
        </w:tc>
        <w:tc>
          <w:tcPr>
            <w:tcW w:type="dxa" w:w="616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Evidence</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Feature-block separation (D1)</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Five block modules; import-graph, call-graph and monkeypatch tests; demonstrated failing on a deliberate violation</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Gate 0 provenance</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Experiment ID, git commit and dirty flag, config hash, plus a source hash over the validated path so a constant change cannot pass unnoticed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Canonical log schema</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Single validating writer; four invariants enforced in code and tested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Data manifest</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Committed CSV over the existing logs, with unrecoverable identifiers recorded as missing rather than guessed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Variant log</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Append-only by construction, proven by test; eight retrospective entries marked as such</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Precision simulation (D6)</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Three passes, versioned artefacts, non-IID generator, joint parameter grid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Negative control</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Wired into the analysis path; verified by calling it as an unaware caller would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Reproduction command (D4)</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Runs twice byte-identically; two real nondeterminism defects found and fixed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Signal completions</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MAD baseline with explicit zero-dispersion handling, missingness and confidence on all four core signals, FPS logged as a time series, coverage metric</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Stopping and exclusion rules</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Committed to the repository as a dated document</w:t>
            </w:r>
          </w:p>
        </w:tc>
      </w:tr>
    </w:tbl>
    <w:p>
      <w:pPr>
        <w:spacing w:after="120" w:before="0"/>
      </w:pPr>
      <w:r>
        <w:rPr>
          <w:rFonts w:ascii="Calibri" w:cs="Calibri" w:eastAsia="Calibri" w:hAnsi="Calibri"/>
          <w:sz w:val="20"/>
          <w:szCs w:val="20"/>
        </w:rPr>
        <w:t xml:space="preserve"/>
      </w:r>
    </w:p>
    <w:p>
      <w:pPr>
        <w:pStyle w:val="Heading2"/>
        <w:spacing w:after="110" w:before="240"/>
      </w:pPr>
      <w:r>
        <w:rPr>
          <w:rFonts w:ascii="Calibri" w:cs="Calibri" w:eastAsia="Calibri" w:hAnsi="Calibri"/>
          <w:b/>
          <w:bCs/>
          <w:color w:val="1A1A1A"/>
          <w:sz w:val="23"/>
          <w:szCs w:val="23"/>
        </w:rPr>
        <w:t xml:space="preserve">6.2  Built and tested, but never run against real data</w:t>
      </w:r>
    </w:p>
    <w:p>
      <w:pPr>
        <w:spacing w:after="120" w:before="0"/>
      </w:pPr>
      <w:r>
        <w:rPr>
          <w:rFonts w:ascii="Calibri" w:cs="Calibri" w:eastAsia="Calibri" w:hAnsi="Calibri"/>
          <w:sz w:val="20"/>
          <w:szCs w:val="20"/>
        </w:rPr>
        <w:t xml:space="preserve">This is the list I most want read carefully. Each of these is implemented and tested against synthetic input with known ground truth. None has been exercised on a real recording, because the data does not exist yet. None should be counted as evidence about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Item</w:t>
            </w:r>
          </w:p>
        </w:tc>
        <w:tc>
          <w:tcPr>
            <w:tcW w:type="dxa" w:w="616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What it still needs</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Null-input control</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A camera run: ten minutes, blank screen, person still. The camera loop is untested.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Positive blink control</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Real clips with manual frame-by-frame counts. Validated so far against synthetic streams through the real detector.</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Leakage controls</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Real trials. On synthetic data the expected direction cannot be established — though an injected leak is detected, which is what verifies the harness.</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Time-shuffle</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Real trials.</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Baseline representations (D7)</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Cross-session recordings. The temporal-rule leakage test is demonstrated, including proof it is not vacuous.</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Reliability measures (D3)</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The three reliability sessions. Machinery validated against known ground truth: SEM 0.1896 where 0.1826 is expected.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Synthetic latent recovery</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The real latent model. Current numbers characterise a placeholder pipeline only.</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Privacy retention</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The storage-location decision. Deletion routine implemented and defaults to dry-run.</w:t>
            </w:r>
          </w:p>
        </w:tc>
      </w:tr>
    </w:tbl>
    <w:p>
      <w:pPr>
        <w:spacing w:after="120" w:before="0"/>
      </w:pPr>
      <w:r>
        <w:rPr>
          <w:rFonts w:ascii="Calibri" w:cs="Calibri" w:eastAsia="Calibri" w:hAnsi="Calibri"/>
          <w:sz w:val="20"/>
          <w:szCs w:val="20"/>
        </w:rPr>
        <w:t xml:space="preserve"/>
      </w:r>
    </w:p>
    <w:p>
      <w:pPr>
        <w:pStyle w:val="Heading2"/>
        <w:spacing w:after="110" w:before="240"/>
      </w:pPr>
      <w:r>
        <w:rPr>
          <w:rFonts w:ascii="Calibri" w:cs="Calibri" w:eastAsia="Calibri" w:hAnsi="Calibri"/>
          <w:b/>
          <w:bCs/>
          <w:color w:val="1A1A1A"/>
          <w:sz w:val="23"/>
          <w:szCs w:val="23"/>
        </w:rPr>
        <w:t xml:space="preserve">6.3  Not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Item</w:t>
            </w:r>
          </w:p>
        </w:tc>
        <w:tc>
          <w:tcPr>
            <w:tcW w:type="dxa" w:w="616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Blocked by</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Attention / ROI features</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The harness acceptance check, which has not been performed</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Prediction target and model</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The same</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Audio module</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Your keep-or-remove decision. No microphone, capture path or clock synchronisation exists.</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Second-camera capture</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Hardware, and a frame-rate feasibility test before collection</w:t>
            </w:r>
          </w:p>
        </w:tc>
      </w:tr>
      <w:tr>
        <w:tc>
          <w:tcPr>
            <w:tcW w:type="dxa" w:w="3200"/>
            <w:tcMar>
              <w:top w:type="dxa" w:w="70"/>
              <w:left w:type="dxa" w:w="100"/>
              <w:bottom w:type="dxa" w:w="70"/>
              <w:right w:type="dxa" w:w="100"/>
            </w:tcMar>
          </w:tcPr>
          <w:p>
            <w:pPr>
              <w:spacing w:after="120" w:before="0"/>
            </w:pPr>
            <w:r>
              <w:rPr>
                <w:rFonts w:ascii="Calibri" w:cs="Calibri" w:eastAsia="Calibri" w:hAnsi="Calibri"/>
                <w:sz w:val="18"/>
                <w:szCs w:val="18"/>
              </w:rPr>
              <w:t xml:space="preserve">Attention-block signal quality</w:t>
            </w:r>
          </w:p>
        </w:tc>
        <w:tc>
          <w:tcPr>
            <w:tcW w:type="dxa" w:w="6160"/>
            <w:tcMar>
              <w:top w:type="dxa" w:w="70"/>
              <w:left w:type="dxa" w:w="100"/>
              <w:bottom w:type="dxa" w:w="70"/>
              <w:right w:type="dxa" w:w="100"/>
            </w:tcMar>
          </w:tcPr>
          <w:p>
            <w:pPr>
              <w:spacing w:after="120" w:before="0"/>
            </w:pPr>
            <w:r>
              <w:rPr>
                <w:rFonts w:ascii="Calibri" w:cs="Calibri" w:eastAsia="Calibri" w:hAnsi="Calibri"/>
                <w:sz w:val="18"/>
                <w:szCs w:val="18"/>
              </w:rPr>
              <w:t xml:space="preserve">A scope decision: confidence and missingness were extended to the four core signals, not to the pilot attention signals. Stated as a boundary, not an omission.</w:t>
            </w:r>
          </w:p>
        </w:tc>
      </w:tr>
    </w:tbl>
    <w:p>
      <w:r>
        <w:br w:type="page"/>
      </w:r>
    </w:p>
    <w:p>
      <w:pPr>
        <w:pStyle w:val="Heading1"/>
        <w:spacing w:after="150" w:before="320"/>
      </w:pPr>
      <w:r>
        <w:rPr>
          <w:rFonts w:ascii="Calibri" w:cs="Calibri" w:eastAsia="Calibri" w:hAnsi="Calibri"/>
          <w:b/>
          <w:bCs/>
          <w:color w:val="1A1A1A"/>
          <w:sz w:val="29"/>
          <w:szCs w:val="29"/>
        </w:rPr>
        <w:t xml:space="preserve">7.  Evidence index</w:t>
      </w:r>
    </w:p>
    <w:p>
      <w:pPr>
        <w:spacing w:after="120" w:before="0"/>
      </w:pPr>
      <w:r>
        <w:rPr>
          <w:rFonts w:ascii="Calibri" w:cs="Calibri" w:eastAsia="Calibri" w:hAnsi="Calibri"/>
          <w:sz w:val="20"/>
          <w:szCs w:val="20"/>
        </w:rPr>
        <w:t xml:space="preserve">Commits from this cycle. The repository holds the full audit, dependency map and privacy evidence documents referenced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Area</w:t>
            </w:r>
          </w:p>
        </w:tc>
        <w:tc>
          <w:tcPr>
            <w:tcW w:type="dxa" w:w="6760"/>
            <w:shd w:fill="D9D9D9" w:val="clear"/>
            <w:tcMar>
              <w:top w:type="dxa" w:w="70"/>
              <w:left w:type="dxa" w:w="100"/>
              <w:bottom w:type="dxa" w:w="70"/>
              <w:right w:type="dxa" w:w="100"/>
            </w:tcMar>
          </w:tcPr>
          <w:p>
            <w:pPr>
              <w:spacing w:after="120" w:before="0"/>
            </w:pPr>
            <w:r>
              <w:rPr>
                <w:rFonts w:ascii="Calibri" w:cs="Calibri" w:eastAsia="Calibri" w:hAnsi="Calibri"/>
                <w:b/>
                <w:bCs/>
                <w:sz w:val="18"/>
                <w:szCs w:val="18"/>
              </w:rPr>
              <w:t xml:space="preserve">What it contains</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Repository hygiene</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Media and secret guards committed before the first source file; provenance disclosure; hook verification recorded</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Baseline import</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Existing pipeline source under version control for the first time</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Repository audit</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docs/AUDIT_A_COLUMN.md — the eleven-item verification</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Behaviour preservation</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Golden-file snapshot committed before any refactor; re-verified after every subsequent change</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Feature separation</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features/ package, per-block manifests, separation test, dependency map</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Gate 0 provenance</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Experiment ID, config hash, source hash over the validated path, data manifest, variant log</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Canonical schema</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Schema document, validating writer, invariant tests</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Signal completions</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Robust baseline, signal quality, FPS logger, coverage</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Precision simulation</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Generator, models, precision, sweep drivers, three versioned artefacts</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Baselines and reliability</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analysis/ package with the D7 representations and the D3 measures</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Controls</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Null-input, negative control, leakage, time-shuffle, blink positive</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Reproducibility</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reproduce.py, Makefile target, PowerShell equivalent, comparison script</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Privacy and retention</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Retention configuration, deletion routine with dry-run default, deletion log</w:t>
            </w:r>
          </w:p>
        </w:tc>
      </w:tr>
      <w:tr>
        <w:tc>
          <w:tcPr>
            <w:tcW w:type="dxa" w:w="2600"/>
            <w:tcMar>
              <w:top w:type="dxa" w:w="70"/>
              <w:left w:type="dxa" w:w="100"/>
              <w:bottom w:type="dxa" w:w="70"/>
              <w:right w:type="dxa" w:w="100"/>
            </w:tcMar>
          </w:tcPr>
          <w:p>
            <w:pPr>
              <w:spacing w:after="120" w:before="0"/>
            </w:pPr>
            <w:r>
              <w:rPr>
                <w:rFonts w:ascii="Calibri" w:cs="Calibri" w:eastAsia="Calibri" w:hAnsi="Calibri"/>
                <w:sz w:val="18"/>
                <w:szCs w:val="18"/>
              </w:rPr>
              <w:t xml:space="preserve">Pre-registration</w:t>
            </w:r>
          </w:p>
        </w:tc>
        <w:tc>
          <w:tcPr>
            <w:tcW w:type="dxa" w:w="6760"/>
            <w:tcMar>
              <w:top w:type="dxa" w:w="70"/>
              <w:left w:type="dxa" w:w="100"/>
              <w:bottom w:type="dxa" w:w="70"/>
              <w:right w:type="dxa" w:w="100"/>
            </w:tcMar>
          </w:tcPr>
          <w:p>
            <w:pPr>
              <w:spacing w:after="120" w:before="0"/>
            </w:pPr>
            <w:r>
              <w:rPr>
                <w:rFonts w:ascii="Calibri" w:cs="Calibri" w:eastAsia="Calibri" w:hAnsi="Calibri"/>
                <w:sz w:val="18"/>
                <w:szCs w:val="18"/>
              </w:rPr>
              <w:t xml:space="preserve">The sign-off response and this report, committed unmodified</w:t>
            </w:r>
          </w:p>
        </w:tc>
      </w:tr>
    </w:tbl>
    <w:p>
      <w:pPr>
        <w:spacing w:after="100" w:before="0"/>
      </w:pPr>
      <w:r>
        <w:rPr>
          <w:rFonts w:ascii="Calibri" w:cs="Calibri" w:eastAsia="Calibri" w:hAnsi="Calibri"/>
          <w:sz w:val="20"/>
          <w:szCs w:val="20"/>
        </w:rPr>
        <w:t xml:space="preserve"/>
      </w:r>
    </w:p>
    <w:p>
      <w:pPr>
        <w:spacing w:after="120" w:before="0"/>
      </w:pPr>
      <w:r>
        <w:rPr>
          <w:rFonts w:ascii="Calibri" w:cs="Calibri" w:eastAsia="Calibri" w:hAnsi="Calibri"/>
          <w:sz w:val="20"/>
          <w:szCs w:val="20"/>
        </w:rPr>
        <w:t xml:space="preserve">Supporting documents in the repository: docs/AUDIT_A_COLUMN.md · docs/D1_DEPENDENCY_MAP.md · docs/PRIVACY_EVIDENCE.md · models/MODEL_MANIFEST.md (SHA256 and paired version for each model bundle) · PROVENANCE.md · requirements.txt (generated from a live pip freeze, with Python 3.12.10 and the OS build recorded) · features/manifests/</w:t>
      </w:r>
    </w:p>
    <w:p>
      <w:pPr>
        <w:pStyle w:val="Heading1"/>
        <w:spacing w:after="150" w:before="320"/>
      </w:pPr>
      <w:r>
        <w:rPr>
          <w:rFonts w:ascii="Calibri" w:cs="Calibri" w:eastAsia="Calibri" w:hAnsi="Calibri"/>
          <w:b/>
          <w:bCs/>
          <w:color w:val="1A1A1A"/>
          <w:sz w:val="29"/>
          <w:szCs w:val="29"/>
        </w:rPr>
        <w:t xml:space="preserve">8.  Where this leaves us</w:t>
      </w:r>
    </w:p>
    <w:p>
      <w:pPr>
        <w:spacing w:after="120" w:before="0"/>
      </w:pPr>
      <w:r>
        <w:rPr>
          <w:rFonts w:ascii="Calibri" w:cs="Calibri" w:eastAsia="Calibri" w:hAnsi="Calibri"/>
          <w:sz w:val="20"/>
          <w:szCs w:val="20"/>
        </w:rPr>
        <w:t xml:space="preserve">Twenty of the thirty matrix rows now have something in the repository behind them. Ten of those are exercised; eight are built but untested against real data and are marked as such; the remainder are definitions awaiting your sign-off.</w:t>
      </w:r>
    </w:p>
    <w:p>
      <w:pPr>
        <w:spacing w:after="120" w:before="0"/>
      </w:pPr>
      <w:r>
        <w:rPr>
          <w:rFonts w:ascii="Calibri" w:cs="Calibri" w:eastAsia="Calibri" w:hAnsi="Calibri"/>
          <w:b/>
          <w:bCs/>
          <w:sz w:val="20"/>
          <w:szCs w:val="20"/>
        </w:rPr>
        <w:t xml:space="preserve">The single blocking item is the harness acceptance check. </w:t>
      </w:r>
      <w:r>
        <w:rPr>
          <w:rFonts w:ascii="Calibri" w:cs="Calibri" w:eastAsia="Calibri" w:hAnsi="Calibri"/>
          <w:sz w:val="20"/>
          <w:szCs w:val="20"/>
        </w:rPr>
        <w:t xml:space="preserve">You asked me to exercise the acceptance right and said that silent acceptance of something my pipeline then could not consume would be the only problematic outcome. That check has not been performed. Until it is, the prediction target, the attention features and the ROI-dependent controls stay unverified, and I have marked them that way rather than assuming the harness conforms.</w:t>
      </w:r>
    </w:p>
    <w:p>
      <w:pPr>
        <w:spacing w:after="120" w:before="0"/>
      </w:pPr>
      <w:r>
        <w:rPr>
          <w:rFonts w:ascii="Calibri" w:cs="Calibri" w:eastAsia="Calibri" w:hAnsi="Calibri"/>
          <w:b/>
          <w:bCs/>
          <w:sz w:val="20"/>
          <w:szCs w:val="20"/>
        </w:rPr>
        <w:t xml:space="preserve">The other outstanding items are physical rather than technical: </w:t>
      </w:r>
      <w:r>
        <w:rPr>
          <w:rFonts w:ascii="Calibri" w:cs="Calibri" w:eastAsia="Calibri" w:hAnsi="Calibri"/>
          <w:sz w:val="20"/>
          <w:szCs w:val="20"/>
        </w:rPr>
        <w:t xml:space="preserve">a ten-minute null-input camera run, blink clips with manual counts, and an extended stability soak. Each closes a row that is currently built-but-unvalidated.</w:t>
      </w:r>
    </w:p>
    <w:p>
      <w:pPr>
        <w:spacing w:after="120" w:before="0"/>
      </w:pPr>
      <w:r>
        <w:rPr>
          <w:rFonts w:ascii="Calibri" w:cs="Calibri" w:eastAsia="Calibri" w:hAnsi="Calibri"/>
          <w:sz w:val="20"/>
          <w:szCs w:val="20"/>
        </w:rPr>
        <w:t xml:space="preserve">I deliberately built the infrastructure ahead of sign-off in only one respect: everything above is definition-independent. Nothing implemented here presumes a threshold, a metric or a decision rule that you have not yet signed. The one place where a definition changed — the primary metric — it changed because the precision simulation you asked me to run first showed the original choice was materially worse, and it changed before sign-off rather than after.</w:t>
      </w:r>
    </w:p>
    <w:p>
      <w:pPr>
        <w:pBdr>
          <w:bottom w:val="single" w:color="BBBBBB" w:sz="6"/>
        </w:pBdr>
        <w:spacing w:after="150" w:before="90"/>
      </w:pPr>
      <w:r>
        <w:rPr>
          <w:sz w:val="2"/>
          <w:szCs w:val="2"/>
        </w:rPr>
        <w:t xml:space="preserve"/>
      </w:r>
    </w:p>
    <w:p>
      <w:pPr>
        <w:spacing w:after="120" w:before="0"/>
      </w:pPr>
      <w:r>
        <w:rPr>
          <w:rFonts w:ascii="Calibri" w:cs="Calibri" w:eastAsia="Calibri" w:hAnsi="Calibri"/>
          <w:i/>
          <w:iCs/>
          <w:sz w:val="20"/>
          <w:szCs w:val="20"/>
        </w:rPr>
        <w:t xml:space="preserve">Prepared to accompany the §19 sign-off response. Every status in this document is stated against code and artefacts in the repository as of the date of writing.</w:t>
      </w:r>
    </w:p>
    <w:p>
      <w:pPr>
        <w:spacing w:after="120" w:before="180"/>
      </w:pPr>
      <w:r>
        <w:rPr>
          <w:rFonts w:ascii="Calibri" w:cs="Calibri" w:eastAsia="Calibri" w:hAnsi="Calibri"/>
          <w:i/>
          <w:iCs/>
          <w:color w:val="777777"/>
          <w:sz w:val="17"/>
          <w:szCs w:val="17"/>
        </w:rPr>
        <w:t xml:space="preserve">D0PA1 — Build Status Report · Companion to the Pre-Registration Sign-Off Response · Scope v0.5.1 (frozen) · Addendum v0.7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2026-09-04T16:07:19.341Z</dcterms:created>
  <dcterms:modified xsi:type="dcterms:W3CDTF">2026-09-04T16:07:19.341Z</dcterms:modified>
</cp:coreProperties>
</file>

<file path=docProps/custom.xml><?xml version="1.0" encoding="utf-8"?>
<Properties xmlns="http://schemas.openxmlformats.org/officeDocument/2006/custom-properties" xmlns:vt="http://schemas.openxmlformats.org/officeDocument/2006/docPropsVTypes"/>
</file>