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reStudyBody"/>
        <w:spacing w:line="360" w:lineRule="auto"/>
        <w:ind w:firstLine="0"/>
        <w:jc w:val="center"/>
      </w:pPr>
      <w:r>
        <w:rPr>
          <w:rFonts w:ascii="Times New Roman" w:hAnsi="Times New Roman"/>
          <w:b/>
          <w:i w:val="0"/>
          <w:u w:val="none"/>
        </w:rPr>
        <w:t>PATIENT/FAMILY CARE STUDY</w:t>
      </w:r>
    </w:p>
    <w:p>
      <w:pPr>
        <w:pStyle w:val="CareStudyBody"/>
        <w:spacing w:line="360" w:lineRule="auto"/>
        <w:ind w:firstLine="0"/>
        <w:jc w:val="center"/>
      </w:pPr>
      <w:r>
        <w:rPr>
          <w:rFonts w:ascii="Times New Roman" w:hAnsi="Times New Roman"/>
          <w:b w:val="0"/>
          <w:i w:val="0"/>
          <w:u w:val="none"/>
        </w:rPr>
        <w:t>ON</w:t>
      </w:r>
    </w:p>
    <w:p>
      <w:pPr>
        <w:pStyle w:val="CareStudyBody"/>
        <w:spacing w:line="360" w:lineRule="auto"/>
        <w:ind w:firstLine="0"/>
        <w:jc w:val="center"/>
      </w:pPr>
      <w:r>
        <w:rPr>
          <w:rFonts w:ascii="Times New Roman" w:hAnsi="Times New Roman"/>
          <w:b w:val="0"/>
          <w:i w:val="0"/>
          <w:u w:val="none"/>
        </w:rPr>
        <w:t>WITH</w:t>
      </w:r>
    </w:p>
    <w:p>
      <w:pPr>
        <w:pStyle w:val="CareStudyBody"/>
        <w:jc w:val="center"/>
      </w:pPr>
      <w:sdt>
        <w:sdtPr>
          <w:alias w:val="Diagnosis"/>
          <w:tag w:val="Diagnosis"/>
        </w:sdtPr>
        <w:sdtContent>
          <w:r>
            <w:rPr>
              <w:rFonts w:ascii="Times New Roman" w:hAnsi="Times New Roman" w:cs="Times New Roman"/>
              <w:b/>
              <w:sz w:val="28"/>
              <w:szCs w:val="28"/>
            </w:rPr>
            <w:t xml:space="preserve">GASTRITIS</w:t>
          </w:r>
        </w:sdtContent>
      </w:sdt>
    </w:p>
    <w:p>
      <w:pPr>
        <w:pStyle w:val="CareStudyBody"/>
        <w:spacing w:line="360" w:lineRule="auto"/>
        <w:ind w:firstLine="0"/>
        <w:jc w:val="center"/>
      </w:pPr>
      <w:r>
        <w:rPr>
          <w:rFonts w:ascii="Times New Roman" w:hAnsi="Times New Roman"/>
          <w:b w:val="0"/>
          <w:i w:val="0"/>
          <w:u w:val="none"/>
        </w:rPr>
        <w:t>PRESENTED BY</w:t>
      </w:r>
    </w:p>
    <w:p>
      <w:pPr>
        <w:pStyle w:val="CareStudyBody"/>
        <w:jc w:val="center"/>
      </w:pPr>
      <w:sdt>
        <w:sdtPr>
          <w:alias w:val="Student Name"/>
          <w:tag w:val="StudentName"/>
        </w:sdtPr>
        <w:sdtContent>
          <w:r>
            <w:rPr>
              <w:rFonts w:ascii="Times New Roman" w:hAnsi="Times New Roman" w:cs="Times New Roman"/>
            </w:rPr>
            <w:t xml:space="preserve">MY STUDENT</w:t>
          </w:r>
        </w:sdtContent>
      </w:sdt>
    </w:p>
    <w:p>
      <w:pPr>
        <w:pStyle w:val="CareStudyBody"/>
        <w:spacing w:line="360" w:lineRule="auto"/>
        <w:ind w:firstLine="0"/>
        <w:jc w:val="center"/>
      </w:pPr>
      <w:r>
        <w:rPr>
          <w:rFonts w:ascii="Times New Roman" w:hAnsi="Times New Roman"/>
          <w:b w:val="0"/>
          <w:i w:val="0"/>
          <w:u w:val="none"/>
        </w:rPr>
        <w:t>A FINAL YEAR STUDENT OF</w:t>
      </w:r>
    </w:p>
    <w:p>
      <w:pPr>
        <w:pStyle w:val="CareStudyBody"/>
        <w:jc w:val="center"/>
      </w:pPr>
      <w:sdt>
        <w:sdtPr>
          <w:alias w:val="College"/>
          <w:tag w:val="CollegeName"/>
        </w:sdtPr>
        <w:sdtContent>
          <w:r>
            <w:rPr>
              <w:rFonts w:ascii="Times New Roman" w:hAnsi="Times New Roman" w:cs="Times New Roman"/>
            </w:rPr>
            <w:t xml:space="preserve">NORTH TRAINING COLLEGE</w:t>
          </w:r>
        </w:sdtContent>
      </w:sdt>
    </w:p>
    <w:p>
      <w:pPr>
        <w:pStyle w:val="CareStudyBody"/>
        <w:spacing w:line="360" w:lineRule="auto"/>
        <w:ind w:firstLine="0"/>
        <w:jc w:val="center"/>
      </w:pPr>
      <w:r>
        <w:rPr>
          <w:rFonts w:ascii="Times New Roman" w:hAnsi="Times New Roman"/>
          <w:b w:val="0"/>
          <w:i w:val="0"/>
          <w:u w:val="none"/>
        </w:rPr>
        <w:t>A PATIENT AND FAMILY CARE STUDY SUBMITTED TO NURSING AND MIDWIFERY COUNCIL OF GHANA IN PARTIAL FULFILLMENT OF THE REQUIREMENT FOR THE AWARD OF LICENSE IN GENERAL NURSING</w:t>
      </w:r>
    </w:p>
    <w:p>
      <w:pPr>
        <w:pStyle w:val="CareStudyBody"/>
        <w:spacing w:before="480"/>
        <w:jc w:val="center"/>
      </w:pPr>
      <w:sdt>
        <w:sdtPr>
          <w:alias w:val="Year"/>
          <w:tag w:val="Year"/>
        </w:sdtPr>
        <w:sdtContent>
          <w:r>
            <w:rPr>
              <w:rFonts w:ascii="Times New Roman" w:hAnsi="Times New Roman" w:cs="Times New Roman"/>
            </w:rPr>
            <w:t xml:space="preserve">3</w:t>
          </w:r>
        </w:sdtContent>
      </w:sdt>
    </w:p>
    <w:p>
      <w:r>
        <w:br w:type="page"/>
      </w:r>
    </w:p>
    <w:p>
      <w:pPr>
        <w:pStyle w:val="CareStudyTOCTitle"/>
      </w:pPr>
      <w:r>
        <w:rPr>
          <w:rFonts w:ascii="Times New Roman" w:hAnsi="Times New Roman"/>
          <w:b w:val="0"/>
          <w:i w:val="0"/>
          <w:u w:val="none"/>
        </w:rPr>
        <w:t>TABLE OF CONTENTS</w:t>
      </w:r>
    </w:p>
    <w:p>
      <w:pPr>
        <w:pStyle w:val="CareStudyBody"/>
        <w:spacing w:after="40"/>
        <w:ind w:left="576"/>
      </w:pPr>
      <w:r>
        <w:fldChar w:fldCharType="begin" w:dirty="true"/>
      </w:r>
      <w:r>
        <w:instrText xml:space="preserve"> TOC \o "1-3" \h \z \u </w:instrText>
      </w:r>
      <w:r>
        <w:fldChar w:fldCharType="separate"/>
      </w:r>
      <w:r>
        <w:rPr>
          <w:rFonts w:ascii="Times New Roman" w:hAnsi="Times New Roman"/>
          <w:b w:val="0"/>
          <w:i w:val="0"/>
          <w:u w:val="none"/>
        </w:rPr>
      </w:r>
    </w:p>
    <w:p>
      <w:pPr>
        <w:pStyle w:val="CareStudyBody"/>
        <w:spacing w:after="40"/>
        <w:ind w:left="576"/>
      </w:pPr>
      <w:r>
        <w:rPr>
          <w:rFonts w:ascii="Times New Roman" w:hAnsi="Times New Roman"/>
          <w:b w:val="0"/>
          <w:i w:val="0"/>
          <w:u w:val="none"/>
        </w:rPr>
      </w:r>
    </w:p>
    <w:p>
      <w:pPr>
        <w:pStyle w:val="CareStudyBody"/>
        <w:spacing w:after="40"/>
        <w:ind w:left="576"/>
      </w:pPr>
      <w:r>
        <w:rPr>
          <w:rFonts w:ascii="Times New Roman" w:hAnsi="Times New Roman"/>
          <w:b w:val="0"/>
          <w:i w:val="0"/>
          <w:u w:val="none"/>
        </w:rPr>
      </w:r>
    </w:p>
    <w:p>
      <w:pPr>
        <w:pStyle w:val="CareStudyBody"/>
        <w:spacing w:before="160"/>
      </w:pPr>
      <w:r>
        <w:rPr>
          <w:rFonts w:ascii="Times New Roman" w:hAnsi="Times New Roman"/>
          <w:b/>
          <w:i w:val="0"/>
          <w:u w:val="none"/>
        </w:rPr>
        <w:t>CHAPTER ONE</w:t>
        <w:br/>
        <w:t>ASSESSMENT OF PATIENT AND FAMILY</w:t>
      </w:r>
    </w:p>
    <w:p>
      <w:pPr>
        <w:pStyle w:val="CareStudyBody"/>
        <w:spacing w:after="40"/>
        <w:ind w:left="576"/>
      </w:pPr>
      <w:r>
        <w:rPr>
          <w:rFonts w:ascii="Times New Roman" w:hAnsi="Times New Roman"/>
          <w:b w:val="0"/>
          <w:i w:val="0"/>
          <w:u w:val="none"/>
        </w:rPr>
        <w:t>1.1</w:t>
      </w:r>
    </w:p>
    <w:p>
      <w:pPr>
        <w:pStyle w:val="CareStudyBody"/>
        <w:spacing w:after="40"/>
        <w:ind w:left="576"/>
      </w:pPr>
      <w:r>
        <w:rPr>
          <w:rFonts w:ascii="Times New Roman" w:hAnsi="Times New Roman"/>
          <w:b w:val="0"/>
          <w:i w:val="0"/>
          <w:u w:val="none"/>
        </w:rPr>
        <w:t>1.2</w:t>
      </w:r>
    </w:p>
    <w:p>
      <w:pPr>
        <w:pStyle w:val="CareStudyBody"/>
        <w:spacing w:after="40"/>
        <w:ind w:left="576"/>
      </w:pPr>
      <w:r>
        <w:rPr>
          <w:rFonts w:ascii="Times New Roman" w:hAnsi="Times New Roman"/>
          <w:b w:val="0"/>
          <w:i w:val="0"/>
          <w:u w:val="none"/>
        </w:rPr>
        <w:t>1.3</w:t>
      </w:r>
    </w:p>
    <w:p>
      <w:pPr>
        <w:pStyle w:val="CareStudyBody"/>
        <w:spacing w:after="40"/>
        <w:ind w:left="576"/>
      </w:pPr>
      <w:r>
        <w:rPr>
          <w:rFonts w:ascii="Times New Roman" w:hAnsi="Times New Roman"/>
          <w:b w:val="0"/>
          <w:i w:val="0"/>
          <w:u w:val="none"/>
        </w:rPr>
        <w:t>1.4</w:t>
      </w:r>
    </w:p>
    <w:p>
      <w:pPr>
        <w:pStyle w:val="CareStudyBody"/>
        <w:spacing w:after="40"/>
        <w:ind w:left="576"/>
      </w:pPr>
      <w:r>
        <w:rPr>
          <w:rFonts w:ascii="Times New Roman" w:hAnsi="Times New Roman"/>
          <w:b w:val="0"/>
          <w:i w:val="0"/>
          <w:u w:val="none"/>
        </w:rPr>
        <w:t>1.5</w:t>
      </w:r>
    </w:p>
    <w:p>
      <w:pPr>
        <w:pStyle w:val="CareStudyBody"/>
        <w:spacing w:after="40"/>
        <w:ind w:left="576"/>
      </w:pPr>
      <w:r>
        <w:rPr>
          <w:rFonts w:ascii="Times New Roman" w:hAnsi="Times New Roman"/>
          <w:b w:val="0"/>
          <w:i w:val="0"/>
          <w:u w:val="none"/>
        </w:rPr>
        <w:t>1.6</w:t>
      </w:r>
    </w:p>
    <w:p>
      <w:pPr>
        <w:pStyle w:val="CareStudyBody"/>
        <w:spacing w:after="40"/>
        <w:ind w:left="576"/>
      </w:pPr>
      <w:r>
        <w:rPr>
          <w:rFonts w:ascii="Times New Roman" w:hAnsi="Times New Roman"/>
          <w:b w:val="0"/>
          <w:i w:val="0"/>
          <w:u w:val="none"/>
        </w:rPr>
        <w:t>1.7</w:t>
      </w:r>
    </w:p>
    <w:p>
      <w:pPr>
        <w:pStyle w:val="CareStudyBody"/>
        <w:spacing w:after="40"/>
        <w:ind w:left="576"/>
      </w:pPr>
      <w:r>
        <w:rPr>
          <w:rFonts w:ascii="Times New Roman" w:hAnsi="Times New Roman"/>
          <w:b w:val="0"/>
          <w:i w:val="0"/>
          <w:u w:val="none"/>
        </w:rPr>
        <w:t>1.8</w:t>
      </w:r>
    </w:p>
    <w:p>
      <w:pPr>
        <w:pStyle w:val="CareStudyBody"/>
        <w:spacing w:after="40"/>
        <w:ind w:left="576"/>
      </w:pPr>
      <w:r>
        <w:rPr>
          <w:rFonts w:ascii="Times New Roman" w:hAnsi="Times New Roman"/>
          <w:b w:val="0"/>
          <w:i w:val="0"/>
          <w:u w:val="none"/>
        </w:rPr>
        <w:t>1.9</w:t>
      </w:r>
    </w:p>
    <w:p>
      <w:pPr>
        <w:pStyle w:val="CareStudyBody"/>
        <w:spacing w:after="40"/>
        <w:ind w:left="576"/>
      </w:pPr>
      <w:r>
        <w:rPr>
          <w:rFonts w:ascii="Times New Roman" w:hAnsi="Times New Roman"/>
          <w:b w:val="0"/>
          <w:i w:val="0"/>
          <w:u w:val="none"/>
        </w:rPr>
        <w:t>1.10</w:t>
      </w:r>
    </w:p>
    <w:p>
      <w:pPr>
        <w:pStyle w:val="CareStudyBody"/>
        <w:spacing w:after="40"/>
        <w:ind w:left="576"/>
      </w:pPr>
      <w:r>
        <w:rPr>
          <w:rFonts w:ascii="Times New Roman" w:hAnsi="Times New Roman"/>
          <w:b w:val="0"/>
          <w:i w:val="0"/>
          <w:u w:val="none"/>
        </w:rPr>
        <w:t>1.11</w:t>
      </w:r>
    </w:p>
    <w:p>
      <w:pPr>
        <w:pStyle w:val="CareStudyBody"/>
        <w:spacing w:before="160"/>
      </w:pPr>
      <w:r>
        <w:rPr>
          <w:rFonts w:ascii="Times New Roman" w:hAnsi="Times New Roman"/>
          <w:b/>
          <w:i w:val="0"/>
          <w:u w:val="none"/>
        </w:rPr>
        <w:t>CHAPTER TWO</w:t>
        <w:br/>
        <w:t>ANALYSIS OF DATA</w:t>
      </w:r>
    </w:p>
    <w:p>
      <w:pPr>
        <w:pStyle w:val="CareStudyBody"/>
        <w:spacing w:after="40"/>
        <w:ind w:left="576"/>
      </w:pPr>
      <w:r>
        <w:rPr>
          <w:rFonts w:ascii="Times New Roman" w:hAnsi="Times New Roman"/>
          <w:b w:val="0"/>
          <w:i w:val="0"/>
          <w:u w:val="none"/>
        </w:rPr>
        <w:t>2.1</w:t>
      </w:r>
    </w:p>
    <w:p>
      <w:pPr>
        <w:pStyle w:val="CareStudyBody"/>
        <w:spacing w:after="40"/>
        <w:ind w:left="576"/>
      </w:pPr>
      <w:r>
        <w:rPr>
          <w:rFonts w:ascii="Times New Roman" w:hAnsi="Times New Roman"/>
          <w:b w:val="0"/>
          <w:i w:val="0"/>
          <w:u w:val="none"/>
        </w:rPr>
        <w:t>2.2</w:t>
      </w:r>
    </w:p>
    <w:p>
      <w:pPr>
        <w:pStyle w:val="CareStudyBody"/>
        <w:spacing w:after="40"/>
        <w:ind w:left="576"/>
      </w:pPr>
      <w:r>
        <w:rPr>
          <w:rFonts w:ascii="Times New Roman" w:hAnsi="Times New Roman"/>
          <w:b w:val="0"/>
          <w:i w:val="0"/>
          <w:u w:val="none"/>
        </w:rPr>
        <w:t>2.3</w:t>
      </w:r>
    </w:p>
    <w:p>
      <w:pPr>
        <w:pStyle w:val="CareStudyBody"/>
        <w:spacing w:after="40"/>
        <w:ind w:left="576"/>
      </w:pPr>
      <w:r>
        <w:rPr>
          <w:rFonts w:ascii="Times New Roman" w:hAnsi="Times New Roman"/>
          <w:b w:val="0"/>
          <w:i w:val="0"/>
          <w:u w:val="none"/>
        </w:rPr>
        <w:t>2.4</w:t>
      </w:r>
    </w:p>
    <w:p>
      <w:pPr>
        <w:pStyle w:val="CareStudyBody"/>
        <w:spacing w:after="40"/>
        <w:ind w:left="576"/>
      </w:pPr>
      <w:r>
        <w:rPr>
          <w:rFonts w:ascii="Times New Roman" w:hAnsi="Times New Roman"/>
          <w:b w:val="0"/>
          <w:i w:val="0"/>
          <w:u w:val="none"/>
        </w:rPr>
        <w:t>2.5</w:t>
      </w:r>
    </w:p>
    <w:p>
      <w:pPr>
        <w:pStyle w:val="CareStudyBody"/>
        <w:spacing w:before="160"/>
      </w:pPr>
      <w:r>
        <w:rPr>
          <w:rFonts w:ascii="Times New Roman" w:hAnsi="Times New Roman"/>
          <w:b/>
          <w:i w:val="0"/>
          <w:u w:val="none"/>
        </w:rPr>
        <w:t>CHAPTER THREE</w:t>
        <w:br/>
        <w:t>PLANNING FOR PATIENT AND FAMILY CARE</w:t>
      </w:r>
    </w:p>
    <w:p>
      <w:pPr>
        <w:pStyle w:val="CareStudyBody"/>
        <w:spacing w:after="40"/>
        <w:ind w:left="576"/>
      </w:pPr>
      <w:r>
        <w:rPr>
          <w:rFonts w:ascii="Times New Roman" w:hAnsi="Times New Roman"/>
          <w:b w:val="0"/>
          <w:i w:val="0"/>
          <w:u w:val="none"/>
        </w:rPr>
        <w:t>3.1</w:t>
      </w:r>
    </w:p>
    <w:p>
      <w:pPr>
        <w:pStyle w:val="CareStudyBody"/>
        <w:spacing w:after="40"/>
        <w:ind w:left="576"/>
      </w:pPr>
      <w:r>
        <w:rPr>
          <w:rFonts w:ascii="Times New Roman" w:hAnsi="Times New Roman"/>
          <w:b w:val="0"/>
          <w:i w:val="0"/>
          <w:u w:val="none"/>
        </w:rPr>
        <w:t>3.2</w:t>
      </w:r>
    </w:p>
    <w:p>
      <w:pPr>
        <w:pStyle w:val="CareStudyBody"/>
        <w:spacing w:before="160"/>
      </w:pPr>
      <w:r>
        <w:rPr>
          <w:rFonts w:ascii="Times New Roman" w:hAnsi="Times New Roman"/>
          <w:b/>
          <w:i w:val="0"/>
          <w:u w:val="none"/>
        </w:rPr>
        <w:t>CHAPTER FOUR</w:t>
        <w:br/>
        <w:t>IMPLEMENTATION OF PATIENT/FAMILY CARE</w:t>
      </w:r>
    </w:p>
    <w:p>
      <w:pPr>
        <w:pStyle w:val="CareStudyBody"/>
        <w:spacing w:after="40"/>
        <w:ind w:left="576"/>
      </w:pPr>
      <w:r>
        <w:rPr>
          <w:rFonts w:ascii="Times New Roman" w:hAnsi="Times New Roman"/>
          <w:b w:val="0"/>
          <w:i w:val="0"/>
          <w:u w:val="none"/>
        </w:rPr>
        <w:t>4.1</w:t>
      </w:r>
    </w:p>
    <w:p>
      <w:pPr>
        <w:pStyle w:val="CareStudyBody"/>
        <w:spacing w:after="40"/>
        <w:ind w:left="576"/>
      </w:pPr>
      <w:r>
        <w:rPr>
          <w:rFonts w:ascii="Times New Roman" w:hAnsi="Times New Roman"/>
          <w:b w:val="0"/>
          <w:i w:val="0"/>
          <w:u w:val="none"/>
        </w:rPr>
        <w:t>4.2</w:t>
      </w:r>
    </w:p>
    <w:p>
      <w:pPr>
        <w:pStyle w:val="CareStudyBody"/>
        <w:spacing w:after="40"/>
        <w:ind w:left="576"/>
      </w:pPr>
      <w:r>
        <w:rPr>
          <w:rFonts w:ascii="Times New Roman" w:hAnsi="Times New Roman"/>
          <w:b w:val="0"/>
          <w:i w:val="0"/>
          <w:u w:val="none"/>
        </w:rPr>
        <w:t>4.3</w:t>
      </w:r>
    </w:p>
    <w:p>
      <w:pPr>
        <w:pStyle w:val="CareStudyBody"/>
        <w:spacing w:before="160"/>
      </w:pPr>
      <w:r>
        <w:rPr>
          <w:rFonts w:ascii="Times New Roman" w:hAnsi="Times New Roman"/>
          <w:b/>
          <w:i w:val="0"/>
          <w:u w:val="none"/>
        </w:rPr>
        <w:t>CHAPTER FIVE</w:t>
        <w:br/>
        <w:t>EVALUATION OF CARE RENDERED TO PATIENT AND FAMILY</w:t>
      </w:r>
    </w:p>
    <w:p>
      <w:pPr>
        <w:pStyle w:val="CareStudyBody"/>
        <w:spacing w:after="40"/>
        <w:ind w:left="576"/>
      </w:pPr>
      <w:r>
        <w:rPr>
          <w:rFonts w:ascii="Times New Roman" w:hAnsi="Times New Roman"/>
          <w:b w:val="0"/>
          <w:i w:val="0"/>
          <w:u w:val="none"/>
        </w:rPr>
        <w:t>5.1</w:t>
      </w:r>
    </w:p>
    <w:p>
      <w:pPr>
        <w:pStyle w:val="CareStudyBody"/>
        <w:spacing w:after="40"/>
        <w:ind w:left="576"/>
      </w:pPr>
      <w:r>
        <w:rPr>
          <w:rFonts w:ascii="Times New Roman" w:hAnsi="Times New Roman"/>
          <w:b w:val="0"/>
          <w:i w:val="0"/>
          <w:u w:val="none"/>
        </w:rPr>
        <w:t>5.2</w:t>
      </w:r>
    </w:p>
    <w:p>
      <w:pPr>
        <w:pStyle w:val="CareStudyBody"/>
        <w:spacing w:after="40"/>
        <w:ind w:left="576"/>
      </w:pPr>
      <w:r>
        <w:rPr>
          <w:rFonts w:ascii="Times New Roman" w:hAnsi="Times New Roman"/>
          <w:b w:val="0"/>
          <w:i w:val="0"/>
          <w:u w:val="none"/>
        </w:rPr>
        <w:t>5.3</w:t>
      </w:r>
    </w:p>
    <w:p>
      <w:pPr>
        <w:pStyle w:val="CareStudyBody"/>
        <w:spacing w:before="160"/>
      </w:pPr>
      <w:r>
        <w:rPr>
          <w:rFonts w:ascii="Times New Roman" w:hAnsi="Times New Roman"/>
          <w:b/>
          <w:i w:val="0"/>
          <w:u w:val="none"/>
        </w:rPr>
        <w:t>CHAPTER SIX</w:t>
        <w:br/>
        <w:t>SUMMARY AND CONCLUSION</w:t>
      </w:r>
    </w:p>
    <w:p>
      <w:pPr>
        <w:pStyle w:val="CareStudyBody"/>
        <w:spacing w:after="40"/>
        <w:ind w:left="576"/>
      </w:pPr>
      <w:r>
        <w:rPr>
          <w:rFonts w:ascii="Times New Roman" w:hAnsi="Times New Roman"/>
          <w:b w:val="0"/>
          <w:i w:val="0"/>
          <w:u w:val="none"/>
        </w:rPr>
        <w:t>6.1</w:t>
      </w:r>
    </w:p>
    <w:p>
      <w:pPr>
        <w:pStyle w:val="CareStudyBody"/>
        <w:spacing w:after="40"/>
        <w:ind w:left="576"/>
      </w:pPr>
      <w:r>
        <w:rPr>
          <w:rFonts w:ascii="Times New Roman" w:hAnsi="Times New Roman"/>
          <w:b w:val="0"/>
          <w:i w:val="0"/>
          <w:u w:val="none"/>
        </w:rPr>
        <w:t>6.2</w:t>
      </w:r>
    </w:p>
    <w:p>
      <w:pPr>
        <w:pStyle w:val="CareStudyBody"/>
        <w:spacing w:after="40"/>
        <w:ind w:left="576"/>
      </w:pPr>
      <w:r>
        <w:rPr>
          <w:rFonts w:ascii="Times New Roman" w:hAnsi="Times New Roman"/>
          <w:b w:val="0"/>
          <w:i w:val="0"/>
          <w:u w:val="none"/>
        </w:rPr>
        <w:t>6.3</w:t>
      </w:r>
      <w:r>
        <w:fldChar w:fldCharType="end"/>
      </w:r>
    </w:p>
    <w:p>
      <w:r>
        <w:br w:type="page"/>
      </w:r>
    </w:p>
    <w:p>
      <w:pPr>
        <w:pStyle w:val="CareStudyTOCTitle"/>
      </w:pPr>
      <w:r>
        <w:rPr>
          <w:rFonts w:ascii="Times New Roman" w:hAnsi="Times New Roman"/>
          <w:b w:val="0"/>
          <w:i w:val="0"/>
          <w:u w:val="none"/>
        </w:rPr>
        <w:t>LIST OF TABLES</w:t>
      </w:r>
    </w:p>
    <w:p>
      <w:pPr>
        <w:pStyle w:val="CareStudyBody"/>
        <w:ind w:left="432"/>
      </w:pPr>
      <w:r>
        <w:rPr>
          <w:rFonts w:ascii="Times New Roman" w:hAnsi="Times New Roman"/>
          <w:b w:val="0"/>
          <w:i w:val="0"/>
          <w:u w:val="none"/>
        </w:rPr>
        <w:t>Table 1. 2.1</w:t>
      </w:r>
    </w:p>
    <w:p>
      <w:pPr>
        <w:pStyle w:val="CareStudyBody"/>
        <w:ind w:left="432"/>
      </w:pPr>
      <w:r>
        <w:rPr>
          <w:rFonts w:ascii="Times New Roman" w:hAnsi="Times New Roman"/>
          <w:b w:val="0"/>
          <w:i w:val="0"/>
          <w:u w:val="none"/>
        </w:rPr>
        <w:t>Table 2. 2.2</w:t>
      </w:r>
    </w:p>
    <w:p>
      <w:pPr>
        <w:pStyle w:val="CareStudyBody"/>
        <w:ind w:left="432"/>
      </w:pPr>
      <w:r>
        <w:rPr>
          <w:rFonts w:ascii="Times New Roman" w:hAnsi="Times New Roman"/>
          <w:b w:val="0"/>
          <w:i w:val="0"/>
          <w:u w:val="none"/>
        </w:rPr>
        <w:t>Table 3. 3.2</w:t>
      </w:r>
    </w:p>
    <w:p>
      <w:pPr>
        <w:pStyle w:val="CareStudyBody"/>
        <w:ind w:left="432"/>
      </w:pPr>
      <w:r>
        <w:rPr>
          <w:rFonts w:ascii="Times New Roman" w:hAnsi="Times New Roman"/>
          <w:b w:val="0"/>
          <w:i w:val="0"/>
          <w:u w:val="none"/>
        </w:rPr>
        <w:t>Table 4. 6.3</w:t>
      </w:r>
    </w:p>
    <w:p>
      <w:r>
        <w:br w:type="page"/>
      </w:r>
    </w:p>
    <w:p>
      <w:pPr>
        <w:pStyle w:val="CareStudyTOCTitle"/>
      </w:pPr>
      <w:r>
        <w:rPr>
          <w:rFonts w:ascii="Times New Roman" w:hAnsi="Times New Roman"/>
          <w:b w:val="0"/>
          <w:i w:val="0"/>
          <w:u w:val="none"/>
        </w:rPr>
      </w:r>
    </w:p>
    <w:p>
      <w:pPr>
        <w:pStyle w:val="CareStudyBody"/>
        <w:spacing w:line="360" w:lineRule="auto"/>
        <w:ind w:firstLine="0"/>
        <w:jc w:val="both"/>
      </w:pPr>
      <w:r>
        <w:rPr>
          <w:rFonts w:ascii="Times New Roman" w:hAnsi="Times New Roman"/>
          <w:b w:val="0"/>
          <w:i w:val="0"/>
          <w:u w:val="none"/>
        </w:rPr>
        <w:t>I carried out this care study to fulfil the requirements of the nursing programme and to translate classroom theory into the delivery of individualised patient and family care. The study was necessary to organise comprehensive care for Mr KT, who was admitted with malaria, guiding the nursing process from initial assessment through to discharge evaluation and follow‑up. By engaging in this structured approach, I was able to systematically collect data, formulate nursing diagnoses, plan appropriate interventions, implement care, and evaluate outcomes, thereby ensuring that all aspects of the patient’s health were addressed in a coordinated manner. The experience is expected to strengthen my skills in assessment, nursing diagnosis, planning, implementation, evaluation, documentation, and communication with both the patient and family members. Through direct interaction with Mr KT and his relatives, I will develop a deeper understanding of holistic care practices, improve my ability to collaborate with the interdisciplinary health team, and gain confidence in applying evidence‑based nursing principles to real‑world clinical situations. Ultimately, this care study serves as a bridge between academic learning and professional practice, preparing me for competent and compassionate nursing care.</w:t>
      </w:r>
    </w:p>
    <w:p>
      <w:r>
        <w:br w:type="page"/>
      </w:r>
    </w:p>
    <w:p>
      <w:pPr>
        <w:pStyle w:val="CareStudyTOCTitle"/>
      </w:pPr>
      <w:r>
        <w:rPr>
          <w:rFonts w:ascii="Times New Roman" w:hAnsi="Times New Roman"/>
          <w:b w:val="0"/>
          <w:i w:val="0"/>
          <w:u w:val="none"/>
        </w:rPr>
      </w:r>
    </w:p>
    <w:p>
      <w:pPr>
        <w:pStyle w:val="CareStudyBody"/>
        <w:spacing w:line="360" w:lineRule="auto"/>
        <w:ind w:firstLine="0"/>
        <w:jc w:val="both"/>
      </w:pPr>
      <w:r>
        <w:rPr>
          <w:rFonts w:ascii="Times New Roman" w:hAnsi="Times New Roman"/>
          <w:b w:val="0"/>
          <w:i w:val="0"/>
          <w:u w:val="none"/>
        </w:rPr>
        <w:t>I wish to express my sincere gratitude to MR KT and the family for their cooperation and for the valuable information they provided throughout the care study. Their willingness to share insights and participate actively made it possible to gather the necessary data and to understand the patient’s context fully. I am also deeply thankful to Mad. Hellen Lartey, my tutor, whose guidance, feedback, and encouragement helped shape the direction of this work and ensured that academic standards were met. Her support during planning and implementation phases was instrumental in keeping the study on track. Furthermore, I extend my appreciation to Sis. Ellen and the entire ward staff for their assistance, for creating a conducive environment on the ward, and for facilitating access to the patient and relevant resources. Their collaborative spirit and readiness to help contributed significantly to the smooth execution of nursing interventions and data collection. The combined efforts of the patient’s family, my tutor, and the ward personnel were essential to the successful completion of this patient/family care study, and I am grateful for their respective contributions.</w:t>
      </w:r>
    </w:p>
    <w:p>
      <w:r>
        <w:br w:type="page"/>
      </w:r>
    </w:p>
    <w:p>
      <w:pPr>
        <w:pStyle w:val="CareStudyTOCTitle"/>
      </w:pPr>
      <w:r>
        <w:rPr>
          <w:rFonts w:ascii="Times New Roman" w:hAnsi="Times New Roman"/>
          <w:b w:val="0"/>
          <w:i w:val="0"/>
          <w:u w:val="none"/>
        </w:rPr>
      </w:r>
    </w:p>
    <w:p>
      <w:pPr>
        <w:pStyle w:val="CareStudyBody"/>
        <w:spacing w:line="360" w:lineRule="auto"/>
        <w:ind w:firstLine="0"/>
        <w:jc w:val="both"/>
      </w:pPr>
      <w:r>
        <w:rPr>
          <w:rFonts w:ascii="Times New Roman" w:hAnsi="Times New Roman"/>
          <w:b w:val="0"/>
          <w:i w:val="0"/>
          <w:u w:val="none"/>
        </w:rPr>
        <w:t>The patient, referred to as MR KT, was first encountered on 1</w:t>
      </w:r>
      <w:r>
        <w:rPr>
          <w:rFonts w:ascii="Times New Roman" w:hAnsi="Times New Roman"/>
          <w:b w:val="0"/>
          <w:i w:val="0"/>
          <w:u w:val="none"/>
          <w:vertAlign w:val="superscript"/>
        </w:rPr>
        <w:t>st</w:t>
      </w:r>
      <w:r>
        <w:rPr>
          <w:rFonts w:ascii="Times New Roman" w:hAnsi="Times New Roman"/>
          <w:b w:val="0"/>
          <w:i w:val="0"/>
          <w:u w:val="none"/>
        </w:rPr>
        <w:t xml:space="preserve"> June 2026 at 10:00 during the provision of care and the interaction continued throughout the documented care period. Upon admission, MR KT presented with fever, headache, abdominal pain, dizziness, loss of appetite, and general body weakness, which also constituted the history of the chief complaint. Throughout the hospital stay, nursing care focused on addressing these symptoms through assessment, analysis of data, planning, implementation, and evaluation. By the time of discharge, the patient’s condition had improved, indicating a positive response to the interventions provided. This care study encompasses the full nursing process as applied to MR KT, covering assessment, analysis of data, planning, implementation, evaluation, summary, conclusion, and recommendations for both the patient and family. The subsequent sections detail the data collected, the clinical reasoning employed, the care plan developed, the actions carried out, and the outcomes observed, followed by a synthesis of findings and guidance for ongoing care.</w:t>
      </w:r>
    </w:p>
    <w:p>
      <w:r>
        <w:br w:type="page"/>
      </w:r>
    </w:p>
    <w:p>
      <w:pPr>
        <w:pStyle w:val="CareStudyHeading1"/>
        <w:jc w:val="center"/>
      </w:pPr>
      <w:r>
        <w:rPr>
          <w:rFonts w:ascii="Times New Roman" w:hAnsi="Times New Roman"/>
          <w:b w:val="0"/>
          <w:i w:val="0"/>
          <w:u w:val="none"/>
        </w:rPr>
        <w:t>CHAPTER ONE</w:t>
        <w:br/>
        <w:t>ASSESSMENT OF PATIENT AND FAMILY</w:t>
      </w:r>
    </w:p>
    <w:p>
      <w:pPr>
        <w:pStyle w:val="CareStudyBody"/>
        <w:spacing w:line="360" w:lineRule="auto"/>
        <w:ind w:firstLine="0"/>
        <w:jc w:val="both"/>
      </w:pPr>
      <w:r>
        <w:rPr>
          <w:rFonts w:ascii="Times New Roman" w:hAnsi="Times New Roman"/>
          <w:b w:val="0"/>
          <w:i w:val="0"/>
          <w:u w:val="none"/>
        </w:rPr>
        <w:t>Assessment is the first step of the nursing process, involving systematic collection of subjective and objective data to identify client needs and formulate nursing diagnoses (Open RN, 2024). This chapter presents a comprehensive overview of the patient and family's biographical, medical, socio‑economic, developmental, lifestyle, and illness histories, as well as the present illness and admission details. By organizing these data, the study establishes a factual foundation for subsequent analysis, care planning, and evaluation. The thorough assessment also enables validation of information against reliable sources, ensuring the credibility of the care study.</w:t>
      </w:r>
    </w:p>
    <w:p>
      <w:pPr>
        <w:pStyle w:val="CareStudyHeading2"/>
      </w:pPr>
      <w:r>
        <w:rPr>
          <w:rFonts w:ascii="Times New Roman" w:hAnsi="Times New Roman"/>
          <w:b w:val="0"/>
          <w:i w:val="0"/>
          <w:u w:val="none"/>
        </w:rPr>
        <w:t>1.1</w:t>
      </w:r>
    </w:p>
    <w:p>
      <w:pPr>
        <w:pStyle w:val="CareStudyBody"/>
        <w:spacing w:line="360" w:lineRule="auto"/>
        <w:ind w:firstLine="0"/>
        <w:jc w:val="both"/>
      </w:pPr>
      <w:r>
        <w:rPr>
          <w:rFonts w:ascii="Times New Roman" w:hAnsi="Times New Roman"/>
          <w:b w:val="0"/>
          <w:i w:val="0"/>
          <w:u w:val="none"/>
        </w:rPr>
        <w:t>Patient particulars constitute the biographical and demographic information that establishes the identity and baseline status of the individual (Jarvis, 2020). The patient, identified by the initials MR KT, is a male born on the 5</w:t>
      </w:r>
      <w:r>
        <w:rPr>
          <w:rFonts w:ascii="Times New Roman" w:hAnsi="Times New Roman"/>
          <w:b w:val="0"/>
          <w:i w:val="0"/>
          <w:u w:val="none"/>
          <w:vertAlign w:val="superscript"/>
        </w:rPr>
        <w:t>th</w:t>
      </w:r>
      <w:r>
        <w:rPr>
          <w:rFonts w:ascii="Times New Roman" w:hAnsi="Times New Roman"/>
          <w:b w:val="0"/>
          <w:i w:val="0"/>
          <w:u w:val="none"/>
        </w:rPr>
        <w:t xml:space="preserve"> day of May, 2000. He is a Christian of the Gonja tribe, single, and works as a mason. He resides in Yawhima, Sunyani, and was admitted to the males' ward at Ayaa Alpha Clinic on the 1</w:t>
      </w:r>
      <w:r>
        <w:rPr>
          <w:rFonts w:ascii="Times New Roman" w:hAnsi="Times New Roman"/>
          <w:b w:val="0"/>
          <w:i w:val="0"/>
          <w:u w:val="none"/>
          <w:vertAlign w:val="superscript"/>
        </w:rPr>
        <w:t>st</w:t>
      </w:r>
      <w:r>
        <w:rPr>
          <w:rFonts w:ascii="Times New Roman" w:hAnsi="Times New Roman"/>
          <w:b w:val="0"/>
          <w:i w:val="0"/>
          <w:u w:val="none"/>
        </w:rPr>
        <w:t xml:space="preserve"> day of June, 2026, at 10:00. The admission diagnosis was malaria, and the informant for the history was the patient himself.</w:t>
      </w:r>
    </w:p>
    <w:p>
      <w:pPr>
        <w:pStyle w:val="CareStudyHeading2"/>
      </w:pPr>
      <w:r>
        <w:rPr>
          <w:rFonts w:ascii="Times New Roman" w:hAnsi="Times New Roman"/>
          <w:b w:val="0"/>
          <w:i w:val="0"/>
          <w:u w:val="none"/>
        </w:rPr>
        <w:t>1.2</w:t>
      </w:r>
    </w:p>
    <w:p>
      <w:pPr>
        <w:pStyle w:val="CareStudyBody"/>
        <w:spacing w:line="360" w:lineRule="auto"/>
        <w:ind w:firstLine="0"/>
        <w:jc w:val="both"/>
      </w:pPr>
      <w:r>
        <w:rPr>
          <w:rFonts w:ascii="Times New Roman" w:hAnsi="Times New Roman"/>
          <w:b w:val="0"/>
          <w:i w:val="0"/>
          <w:u w:val="none"/>
        </w:rPr>
        <w:t>The family's medical and surgical history provides insight into potential genetic and environmental risk factors that may influence the patient's health status (Open RN, 2024). The patient reports no known hereditary or chronic diseases in the family. The mother has a history of peptic ulcer disease (PUD). There is no significant family surgical history reported.</w:t>
      </w:r>
    </w:p>
    <w:p>
      <w:pPr>
        <w:pStyle w:val="CareStudyHeading2"/>
      </w:pPr>
      <w:r>
        <w:rPr>
          <w:rFonts w:ascii="Times New Roman" w:hAnsi="Times New Roman"/>
          <w:b w:val="0"/>
          <w:i w:val="0"/>
          <w:u w:val="none"/>
        </w:rPr>
        <w:t>1.3</w:t>
      </w:r>
    </w:p>
    <w:p>
      <w:pPr>
        <w:pStyle w:val="CareStudyBody"/>
        <w:spacing w:line="360" w:lineRule="auto"/>
        <w:ind w:firstLine="0"/>
        <w:jc w:val="both"/>
      </w:pPr>
      <w:r>
        <w:rPr>
          <w:rFonts w:ascii="Times New Roman" w:hAnsi="Times New Roman"/>
          <w:b w:val="0"/>
          <w:i w:val="0"/>
          <w:u w:val="none"/>
        </w:rPr>
        <w:t>The socio-economic history of a patient involves assessing their financial resources, living conditions, and family structure to provide holistic nursing care (Open RN, 2024).</w:t>
      </w:r>
    </w:p>
    <w:p>
      <w:pPr>
        <w:pStyle w:val="CareStudyBody"/>
        <w:spacing w:line="360" w:lineRule="auto"/>
        <w:ind w:firstLine="0"/>
        <w:jc w:val="both"/>
      </w:pPr>
      <w:r>
        <w:rPr>
          <w:rFonts w:ascii="Times New Roman" w:hAnsi="Times New Roman"/>
          <w:b w:val="0"/>
          <w:i w:val="0"/>
          <w:u w:val="none"/>
        </w:rPr>
        <w:t>The patient belongs to a nuclear family and has no children or dependents. The patient's father works as a taxi driver, while the mother is a trader. The family's estimated monthly income is 5000.</w:t>
      </w:r>
    </w:p>
    <w:p>
      <w:pPr>
        <w:pStyle w:val="CareStudyBody"/>
        <w:spacing w:line="360" w:lineRule="auto"/>
        <w:ind w:firstLine="0"/>
        <w:jc w:val="both"/>
      </w:pPr>
      <w:r>
        <w:rPr>
          <w:rFonts w:ascii="Times New Roman" w:hAnsi="Times New Roman"/>
          <w:b w:val="0"/>
          <w:i w:val="0"/>
          <w:u w:val="none"/>
        </w:rPr>
        <w:t>Regarding their living conditions, the family resides in a house with three bedrooms, each equipped with its own toilet and bath. Their water source is pipe borne, and they utilize a KVIP for sanitation facilities. The patient stated that their socio-economic status has had no effect on their care.</w:t>
      </w:r>
    </w:p>
    <w:p>
      <w:pPr>
        <w:pStyle w:val="CareStudyHeading2"/>
      </w:pPr>
      <w:r>
        <w:rPr>
          <w:rFonts w:ascii="Times New Roman" w:hAnsi="Times New Roman"/>
          <w:b w:val="0"/>
          <w:i w:val="0"/>
          <w:u w:val="none"/>
        </w:rPr>
        <w:t>1.4</w:t>
      </w:r>
    </w:p>
    <w:p>
      <w:pPr>
        <w:pStyle w:val="CareStudyBody"/>
        <w:spacing w:line="360" w:lineRule="auto"/>
        <w:ind w:firstLine="0"/>
        <w:jc w:val="both"/>
      </w:pPr>
      <w:r>
        <w:rPr>
          <w:rFonts w:ascii="Times New Roman" w:hAnsi="Times New Roman"/>
          <w:b/>
          <w:i w:val="0"/>
          <w:u w:val="none"/>
        </w:rPr>
        <w:t>Growth and development</w:t>
      </w:r>
    </w:p>
    <w:p>
      <w:pPr>
        <w:pStyle w:val="CareStudyBody"/>
        <w:spacing w:line="360" w:lineRule="auto"/>
        <w:ind w:firstLine="0"/>
        <w:jc w:val="both"/>
      </w:pPr>
      <w:r>
        <w:rPr>
          <w:rFonts w:ascii="Times New Roman" w:hAnsi="Times New Roman"/>
          <w:b w:val="0"/>
          <w:i w:val="0"/>
          <w:u w:val="none"/>
        </w:rPr>
        <w:t>Human growth is the progressive development of a living thing, especially the process by which the body reaches its point of complete physical development (Santrock, 2022). Human development encompasses the continuous and gradual process of growth and differentiation that includes cognitive, psychosexual, and psychosocial domains (Santrock, 2022). Maturation is described as the ripening or developing process that underlies these changes (Open RN, 2024).</w:t>
      </w:r>
    </w:p>
    <w:p>
      <w:pPr>
        <w:pStyle w:val="CareStudyBody"/>
        <w:spacing w:line="360" w:lineRule="auto"/>
        <w:ind w:firstLine="0"/>
        <w:jc w:val="both"/>
      </w:pPr>
      <w:r>
        <w:rPr>
          <w:rFonts w:ascii="Times New Roman" w:hAnsi="Times New Roman"/>
          <w:b/>
          <w:i w:val="0"/>
          <w:u w:val="none"/>
        </w:rPr>
        <w:t>Developmental milestones</w:t>
      </w:r>
    </w:p>
    <w:p>
      <w:pPr>
        <w:pStyle w:val="CareStudyBody"/>
        <w:spacing w:line="360" w:lineRule="auto"/>
        <w:ind w:firstLine="0"/>
        <w:jc w:val="both"/>
      </w:pPr>
      <w:r>
        <w:rPr>
          <w:rFonts w:ascii="Times New Roman" w:hAnsi="Times New Roman"/>
          <w:b w:val="0"/>
          <w:i w:val="0"/>
          <w:u w:val="none"/>
        </w:rPr>
        <w:t>The patient's documented developmental history includes the following milestones: spontaneous vaginal delivery with no complications during pregnancy, labor, and delivery; normal progression through sitting by four months, tooth eruption at six months, crawling by nine months, standing up by one year, and walking and talking by one and a half years (with early vocalizations such as "mama" and "dada" as early as six months). The patient began complementary feeding at five months, was not exclusively breastfed, and achieved independence in personal hygiene activities such as bathing, tooth brushing, and dressing under little or no supervision by age five. Pubertal developments included menarche, breast enlargement, and pubic hair appearance at age sixteen. Educational milestones included starting preschool at age five and completing primary education by dropping out of JHS3 at age sixteen. The patient experienced her first pregnancy at age nineteen and became a mother at that time.</w:t>
      </w:r>
    </w:p>
    <w:p>
      <w:pPr>
        <w:pStyle w:val="CareStudyBody"/>
        <w:spacing w:line="360" w:lineRule="auto"/>
        <w:ind w:firstLine="0"/>
        <w:jc w:val="both"/>
      </w:pPr>
      <w:r>
        <w:rPr>
          <w:rFonts w:ascii="Times New Roman" w:hAnsi="Times New Roman"/>
          <w:b/>
          <w:i w:val="0"/>
          <w:u w:val="none"/>
        </w:rPr>
        <w:t>Developmental theory comparison</w:t>
      </w:r>
    </w:p>
    <w:p>
      <w:pPr>
        <w:pStyle w:val="CareStudyBody"/>
        <w:spacing w:line="360" w:lineRule="auto"/>
        <w:ind w:firstLine="0"/>
        <w:jc w:val="both"/>
      </w:pPr>
      <w:r>
        <w:rPr>
          <w:rFonts w:ascii="Times New Roman" w:hAnsi="Times New Roman"/>
          <w:b w:val="0"/>
          <w:i w:val="0"/>
          <w:u w:val="none"/>
        </w:rPr>
        <w:t>At age twenty-two, the patient falls within the Intimacy versus isolation stage of Erik Erikson's psychosocial development (Erikson, 1963), which spans ages eighteen to forty. Successful resolution of this stage involves forming intimate relationships characterized by trust, connection, and mutual understanding, whereas failure can lead to feelings of isolation and loneliness. The patient's documented milestones—including the achievement of independent self-care, academic progress, and social integration—indicate successful navigation of this developmental stage. The patient demonstrated autonomy in personal care and responsibility for household tasks by age five, engaged in school-based learning through preschool and primary education, and maintained social connections through family relationships. These accomplishments suggest the patient resolved the Intimacy versus isolation conflict positively, aligning with Erikson's description of this stage requiring the establishment of meaningful interpersonal bonds and a sense of belonging (Erikson, 1963).</w:t>
      </w:r>
    </w:p>
    <w:p>
      <w:pPr>
        <w:pStyle w:val="CareStudyBody"/>
        <w:spacing w:line="360" w:lineRule="auto"/>
        <w:ind w:firstLine="0"/>
        <w:jc w:val="both"/>
      </w:pPr>
      <w:r>
        <w:rPr>
          <w:rFonts w:ascii="Times New Roman" w:hAnsi="Times New Roman"/>
          <w:b w:val="0"/>
          <w:i w:val="0"/>
          <w:u w:val="none"/>
        </w:rPr>
        <w:t>---</w:t>
      </w:r>
    </w:p>
    <w:p>
      <w:pPr>
        <w:pStyle w:val="CareStudyBody"/>
        <w:spacing w:line="360" w:lineRule="auto"/>
        <w:ind w:firstLine="0"/>
        <w:jc w:val="both"/>
      </w:pPr>
      <w:r>
        <w:rPr>
          <w:rFonts w:ascii="Times New Roman" w:hAnsi="Times New Roman"/>
          <w:b/>
          <w:i w:val="0"/>
          <w:u w:val="none"/>
        </w:rPr>
        <w:t>References</w:t>
      </w:r>
    </w:p>
    <w:p>
      <w:pPr>
        <w:pStyle w:val="CareStudyBody"/>
        <w:spacing w:line="360" w:lineRule="auto"/>
        <w:ind w:firstLine="0"/>
        <w:jc w:val="both"/>
      </w:pPr>
      <w:r>
        <w:rPr>
          <w:rFonts w:ascii="Times New Roman" w:hAnsi="Times New Roman"/>
          <w:b w:val="0"/>
          <w:i w:val="0"/>
          <w:u w:val="none"/>
        </w:rPr>
        <w:t xml:space="preserve">Erikson, E. H. (1963). </w:t>
      </w:r>
      <w:r>
        <w:rPr>
          <w:rFonts w:ascii="Times New Roman" w:hAnsi="Times New Roman"/>
          <w:b w:val="0"/>
          <w:i/>
          <w:u w:val="none"/>
        </w:rPr>
        <w:t>Identity: Youth and crisis</w:t>
      </w:r>
      <w:r>
        <w:rPr>
          <w:rFonts w:ascii="Times New Roman" w:hAnsi="Times New Roman"/>
          <w:b w:val="0"/>
          <w:i w:val="0"/>
          <w:u w:val="none"/>
        </w:rPr>
        <w:t>. Norton.</w:t>
      </w:r>
    </w:p>
    <w:p>
      <w:pPr>
        <w:pStyle w:val="CareStudyBody"/>
        <w:spacing w:line="360" w:lineRule="auto"/>
        <w:ind w:firstLine="0"/>
        <w:jc w:val="both"/>
      </w:pPr>
      <w:r>
        <w:rPr>
          <w:rFonts w:ascii="Times New Roman" w:hAnsi="Times New Roman"/>
          <w:b w:val="0"/>
          <w:i w:val="0"/>
          <w:u w:val="none"/>
        </w:rPr>
        <w:t xml:space="preserve">Open RN. (2024). </w:t>
      </w:r>
      <w:r>
        <w:rPr>
          <w:rFonts w:ascii="Times New Roman" w:hAnsi="Times New Roman"/>
          <w:b w:val="0"/>
          <w:i/>
          <w:u w:val="none"/>
        </w:rPr>
        <w:t>Nutrition — Nursing Fundamentals</w:t>
      </w:r>
      <w:r>
        <w:rPr>
          <w:rFonts w:ascii="Times New Roman" w:hAnsi="Times New Roman"/>
          <w:b w:val="0"/>
          <w:i w:val="0"/>
          <w:u w:val="none"/>
        </w:rPr>
        <w:t>. Nursing Fundamentals (2nd ed.). WisTech Open. Retrieved from https://wtcs.pressbooks.pub/nursingfundamentals/</w:t>
      </w:r>
    </w:p>
    <w:p>
      <w:pPr>
        <w:pStyle w:val="CareStudyBody"/>
        <w:spacing w:line="360" w:lineRule="auto"/>
        <w:ind w:firstLine="0"/>
        <w:jc w:val="both"/>
      </w:pPr>
      <w:r>
        <w:rPr>
          <w:rFonts w:ascii="Times New Roman" w:hAnsi="Times New Roman"/>
          <w:b w:val="0"/>
          <w:i w:val="0"/>
          <w:u w:val="none"/>
        </w:rPr>
        <w:t xml:space="preserve">Santrock, B. (2022). </w:t>
      </w:r>
      <w:r>
        <w:rPr>
          <w:rFonts w:ascii="Times New Roman" w:hAnsi="Times New Roman"/>
          <w:b w:val="0"/>
          <w:i/>
          <w:u w:val="none"/>
        </w:rPr>
        <w:t>Human growth and development</w:t>
      </w:r>
      <w:r>
        <w:rPr>
          <w:rFonts w:ascii="Times New Roman" w:hAnsi="Times New Roman"/>
          <w:b w:val="0"/>
          <w:i w:val="0"/>
          <w:u w:val="none"/>
        </w:rPr>
        <w:t xml:space="preserve"> (2nd ed.). Academic Press.</w:t>
      </w:r>
    </w:p>
    <w:p>
      <w:pPr>
        <w:pStyle w:val="CareStudyHeading2"/>
      </w:pPr>
      <w:r>
        <w:rPr>
          <w:rFonts w:ascii="Times New Roman" w:hAnsi="Times New Roman"/>
          <w:b w:val="0"/>
          <w:i w:val="0"/>
          <w:u w:val="none"/>
        </w:rPr>
        <w:t>1.5</w:t>
      </w:r>
    </w:p>
    <w:p>
      <w:pPr>
        <w:pStyle w:val="CareStudyBody"/>
        <w:spacing w:line="360" w:lineRule="auto"/>
        <w:ind w:firstLine="0"/>
        <w:jc w:val="both"/>
      </w:pPr>
      <w:r>
        <w:rPr>
          <w:rFonts w:ascii="Times New Roman" w:hAnsi="Times New Roman"/>
          <w:b w:val="0"/>
          <w:i w:val="0"/>
          <w:u w:val="none"/>
        </w:rPr>
        <w:t>The patient follows a consistent daily routine that begins at 5:30am. Each morning he dedicates roughly thirty minutes to prayer, followed by personal hygiene and other morning activities before leaving for work. He returns home in the late afternoon, after 5 pm. Regarding nutrition, he reports consuming three meals each day and indicates a clear preference for plain rice served with palava sauce. His sleep schedule reflects a regular pattern: he goes to bed at 9:30pm and awakens between 5:30am and 6:00am. Physical activity is irregular; he attends the gym on a random basis rather than following a set schedule. He reports a complete absence of tobacco, alcohol, or any illicit drug use.</w:t>
      </w:r>
    </w:p>
    <w:p>
      <w:pPr>
        <w:pStyle w:val="CareStudyBody"/>
        <w:spacing w:line="360" w:lineRule="auto"/>
        <w:ind w:firstLine="0"/>
        <w:jc w:val="both"/>
      </w:pPr>
      <w:r>
        <w:rPr>
          <w:rFonts w:ascii="Times New Roman" w:hAnsi="Times New Roman"/>
          <w:b w:val="0"/>
          <w:i w:val="0"/>
          <w:u w:val="none"/>
        </w:rPr>
        <w:t>In terms of leisure activities, his hobbies center on football. He enjoys both playing the sport and watching football matches.</w:t>
      </w:r>
    </w:p>
    <w:p>
      <w:pPr>
        <w:pStyle w:val="CareStudyHeading2"/>
      </w:pPr>
      <w:r>
        <w:rPr>
          <w:rFonts w:ascii="Times New Roman" w:hAnsi="Times New Roman"/>
          <w:b w:val="0"/>
          <w:i w:val="0"/>
          <w:u w:val="none"/>
        </w:rPr>
        <w:t>1.6</w:t>
      </w:r>
    </w:p>
    <w:p>
      <w:pPr>
        <w:pStyle w:val="CareStudyBody"/>
        <w:spacing w:line="360" w:lineRule="auto"/>
        <w:ind w:firstLine="0"/>
        <w:jc w:val="both"/>
      </w:pPr>
      <w:r>
        <w:rPr>
          <w:rFonts w:ascii="Times New Roman" w:hAnsi="Times New Roman"/>
          <w:b w:val="0"/>
          <w:i w:val="0"/>
          <w:u w:val="none"/>
        </w:rPr>
        <w:t>This section presents the patient's past medical, surgical, and obstetric history. The patient reports no childhood illnesses. He recalls a single admission for malaria at approximately six years of age; no other hospital admissions or surgical procedures are documented. He has never received a blood transfusion. His allergy status is unknown, and he is not taking any regular medications.</w:t>
      </w:r>
    </w:p>
    <w:p>
      <w:pPr>
        <w:pStyle w:val="CareStudyHeading2"/>
      </w:pPr>
      <w:r>
        <w:rPr>
          <w:rFonts w:ascii="Times New Roman" w:hAnsi="Times New Roman"/>
          <w:b w:val="0"/>
          <w:i w:val="0"/>
          <w:u w:val="none"/>
        </w:rPr>
        <w:t>1.7</w:t>
      </w:r>
    </w:p>
    <w:p>
      <w:pPr>
        <w:pStyle w:val="CareStudyBody"/>
        <w:spacing w:line="360" w:lineRule="auto"/>
        <w:ind w:firstLine="0"/>
        <w:jc w:val="both"/>
      </w:pPr>
      <w:r>
        <w:rPr>
          <w:rFonts w:ascii="Times New Roman" w:hAnsi="Times New Roman"/>
          <w:b w:val="0"/>
          <w:i w:val="0"/>
          <w:u w:val="none"/>
        </w:rPr>
        <w:t>This section outlines the patient's present medical and surgical history, including the onset of symptoms, current complaints, vital signs, physical assessment findings, and investigations ordered.</w:t>
      </w:r>
    </w:p>
    <w:p>
      <w:pPr>
        <w:pStyle w:val="CareStudyBody"/>
        <w:spacing w:line="360" w:lineRule="auto"/>
        <w:ind w:firstLine="0"/>
        <w:jc w:val="both"/>
      </w:pPr>
      <w:r>
        <w:rPr>
          <w:rFonts w:ascii="Times New Roman" w:hAnsi="Times New Roman"/>
          <w:b w:val="0"/>
          <w:i w:val="0"/>
          <w:u w:val="none"/>
        </w:rPr>
        <w:t>The patient reported that his headache began the night before attending the facility. On presentation he complained of fever, headache, abdominal pains, dizziness, loss of appetite, and general body weakness. Vital signs recorded were a temperature of 38.8 °C, pulse rate of 130 beats per minute, respiratory rate of 26 breaths per minute, blood pressure of 123/78 mm Hg, and oxygen saturation of 99 %. He weighed 76 kg and appeared generally weak on physical assessment.</w:t>
      </w:r>
    </w:p>
    <w:p>
      <w:pPr>
        <w:pStyle w:val="CareStudyBody"/>
        <w:spacing w:line="360" w:lineRule="auto"/>
        <w:ind w:firstLine="0"/>
        <w:jc w:val="both"/>
      </w:pPr>
      <w:r>
        <w:rPr>
          <w:rFonts w:ascii="Times New Roman" w:hAnsi="Times New Roman"/>
          <w:b w:val="0"/>
          <w:i w:val="0"/>
          <w:u w:val="none"/>
        </w:rPr>
        <w:t>Investigations ordered included a full blood count, blood film for malaria parasite, Widal test, and Helicobacter pylori test.</w:t>
      </w:r>
    </w:p>
    <w:p>
      <w:pPr>
        <w:pStyle w:val="CareStudyHeading2"/>
      </w:pPr>
      <w:r>
        <w:rPr>
          <w:rFonts w:ascii="Times New Roman" w:hAnsi="Times New Roman"/>
          <w:b w:val="0"/>
          <w:i w:val="0"/>
          <w:u w:val="none"/>
        </w:rPr>
        <w:t>1.8</w:t>
      </w:r>
    </w:p>
    <w:p>
      <w:pPr>
        <w:pStyle w:val="CareStudyBody"/>
        <w:spacing w:line="360" w:lineRule="auto"/>
        <w:ind w:firstLine="0"/>
        <w:jc w:val="both"/>
      </w:pPr>
      <w:r>
        <w:rPr>
          <w:rFonts w:ascii="Times New Roman" w:hAnsi="Times New Roman"/>
          <w:b w:val="0"/>
          <w:i w:val="0"/>
          <w:u w:val="none"/>
        </w:rPr>
        <w:t>The admission of the patient section documents the circumstances surrounding the patient’s entry into the healthcare facility, including the date and time of admission, route of admission, admitting diagnosis, and initial clinical presentation. This information provides a baseline for subsequent nursing and medical care (WHO, 2025).</w:t>
      </w:r>
    </w:p>
    <w:p>
      <w:pPr>
        <w:pStyle w:val="CareStudyBody"/>
        <w:spacing w:line="360" w:lineRule="auto"/>
        <w:ind w:firstLine="0"/>
        <w:jc w:val="both"/>
      </w:pPr>
      <w:r>
        <w:rPr>
          <w:rFonts w:ascii="Times New Roman" w:hAnsi="Times New Roman"/>
          <w:b/>
          <w:i w:val="0"/>
          <w:u w:val="none"/>
        </w:rPr>
        <w:t>Admission details</w:t>
      </w:r>
    </w:p>
    <w:p>
      <w:pPr>
        <w:pStyle w:val="CareStudyBody"/>
        <w:spacing w:line="360" w:lineRule="auto"/>
        <w:ind w:firstLine="0"/>
        <w:jc w:val="both"/>
      </w:pPr>
      <w:r>
        <w:rPr>
          <w:rFonts w:ascii="Times New Roman" w:hAnsi="Times New Roman"/>
          <w:b w:val="0"/>
          <w:i w:val="0"/>
          <w:u w:val="none"/>
        </w:rPr>
        <w:t>The patient was admitted on 1</w:t>
      </w:r>
      <w:r>
        <w:rPr>
          <w:rFonts w:ascii="Times New Roman" w:hAnsi="Times New Roman"/>
          <w:b w:val="0"/>
          <w:i w:val="0"/>
          <w:u w:val="none"/>
          <w:vertAlign w:val="superscript"/>
        </w:rPr>
        <w:t>st</w:t>
      </w:r>
      <w:r>
        <w:rPr>
          <w:rFonts w:ascii="Times New Roman" w:hAnsi="Times New Roman"/>
          <w:b w:val="0"/>
          <w:i w:val="0"/>
          <w:u w:val="none"/>
        </w:rPr>
        <w:t xml:space="preserve"> June 2025 at 10:00 through the Out Patient Department (OPD) with an admitting diagnosis of malaria.</w:t>
      </w:r>
    </w:p>
    <w:p>
      <w:pPr>
        <w:pStyle w:val="CareStudyBody"/>
        <w:spacing w:line="360" w:lineRule="auto"/>
        <w:ind w:firstLine="0"/>
        <w:jc w:val="both"/>
      </w:pPr>
      <w:r>
        <w:rPr>
          <w:rFonts w:ascii="Times New Roman" w:hAnsi="Times New Roman"/>
          <w:b/>
          <w:i w:val="0"/>
          <w:u w:val="none"/>
        </w:rPr>
        <w:t>Vital signs</w:t>
      </w:r>
    </w:p>
    <w:p>
      <w:pPr>
        <w:pStyle w:val="ListBullet"/>
        <w:numPr>
          <w:ilvl w:val="0"/>
          <w:numId w:val="10"/>
        </w:numPr>
        <w:spacing w:line="360" w:lineRule="auto"/>
        <w:ind w:left="720" w:hanging="360"/>
        <w:jc w:val="both"/>
      </w:pPr>
      <w:r>
        <w:rPr>
          <w:rFonts w:ascii="Times New Roman" w:hAnsi="Times New Roman"/>
          <w:b w:val="0"/>
          <w:i w:val="0"/>
          <w:u w:val="none"/>
        </w:rPr>
        <w:t>Temperature: 38.8 °C</w:t>
      </w:r>
    </w:p>
    <w:p>
      <w:pPr>
        <w:pStyle w:val="ListBullet"/>
        <w:numPr>
          <w:ilvl w:val="0"/>
          <w:numId w:val="10"/>
        </w:numPr>
        <w:spacing w:line="360" w:lineRule="auto"/>
        <w:ind w:left="720" w:hanging="360"/>
        <w:jc w:val="both"/>
      </w:pPr>
      <w:r>
        <w:rPr>
          <w:rFonts w:ascii="Times New Roman" w:hAnsi="Times New Roman"/>
          <w:b w:val="0"/>
          <w:i w:val="0"/>
          <w:u w:val="none"/>
        </w:rPr>
        <w:t>Pulse: 130 bpm</w:t>
      </w:r>
    </w:p>
    <w:p>
      <w:pPr>
        <w:pStyle w:val="ListBullet"/>
        <w:numPr>
          <w:ilvl w:val="0"/>
          <w:numId w:val="10"/>
        </w:numPr>
        <w:spacing w:line="360" w:lineRule="auto"/>
        <w:ind w:left="720" w:hanging="360"/>
        <w:jc w:val="both"/>
      </w:pPr>
      <w:r>
        <w:rPr>
          <w:rFonts w:ascii="Times New Roman" w:hAnsi="Times New Roman"/>
          <w:b w:val="0"/>
          <w:i w:val="0"/>
          <w:u w:val="none"/>
        </w:rPr>
        <w:t>Respiration: 26 cpm</w:t>
      </w:r>
    </w:p>
    <w:p>
      <w:pPr>
        <w:pStyle w:val="ListBullet"/>
        <w:numPr>
          <w:ilvl w:val="0"/>
          <w:numId w:val="10"/>
        </w:numPr>
        <w:spacing w:line="360" w:lineRule="auto"/>
        <w:ind w:left="720" w:hanging="360"/>
        <w:jc w:val="both"/>
      </w:pPr>
      <w:r>
        <w:rPr>
          <w:rFonts w:ascii="Times New Roman" w:hAnsi="Times New Roman"/>
          <w:b w:val="0"/>
          <w:i w:val="0"/>
          <w:u w:val="none"/>
        </w:rPr>
        <w:t>Blood pressure: 123/78 mmHg</w:t>
      </w:r>
    </w:p>
    <w:p>
      <w:pPr>
        <w:pStyle w:val="ListBullet"/>
        <w:numPr>
          <w:ilvl w:val="0"/>
          <w:numId w:val="10"/>
        </w:numPr>
        <w:spacing w:line="360" w:lineRule="auto"/>
        <w:ind w:left="720" w:hanging="360"/>
        <w:jc w:val="both"/>
      </w:pPr>
      <w:r>
        <w:rPr>
          <w:rFonts w:ascii="Times New Roman" w:hAnsi="Times New Roman"/>
          <w:b w:val="0"/>
          <w:i w:val="0"/>
          <w:u w:val="none"/>
        </w:rPr>
        <w:t>SpO₂: 99 %</w:t>
      </w:r>
    </w:p>
    <w:p>
      <w:pPr>
        <w:pStyle w:val="ListBullet"/>
        <w:numPr>
          <w:ilvl w:val="0"/>
          <w:numId w:val="10"/>
        </w:numPr>
        <w:spacing w:line="360" w:lineRule="auto"/>
        <w:ind w:left="720" w:hanging="360"/>
        <w:jc w:val="both"/>
      </w:pPr>
      <w:r>
        <w:rPr>
          <w:rFonts w:ascii="Times New Roman" w:hAnsi="Times New Roman"/>
          <w:b w:val="0"/>
          <w:i w:val="0"/>
          <w:u w:val="none"/>
        </w:rPr>
        <w:t>Weight: 76 kg</w:t>
      </w:r>
    </w:p>
    <w:p>
      <w:pPr>
        <w:pStyle w:val="CareStudyBody"/>
        <w:spacing w:line="360" w:lineRule="auto"/>
        <w:ind w:firstLine="0"/>
        <w:jc w:val="both"/>
      </w:pPr>
      <w:r>
        <w:rPr>
          <w:rFonts w:ascii="Times New Roman" w:hAnsi="Times New Roman"/>
          <w:b/>
          <w:i w:val="0"/>
          <w:u w:val="none"/>
        </w:rPr>
        <w:t>Investigations requested</w:t>
      </w:r>
    </w:p>
    <w:p>
      <w:pPr>
        <w:pStyle w:val="ListBullet"/>
        <w:numPr>
          <w:ilvl w:val="0"/>
          <w:numId w:val="10"/>
        </w:numPr>
        <w:spacing w:line="360" w:lineRule="auto"/>
        <w:ind w:left="720" w:hanging="360"/>
        <w:jc w:val="both"/>
      </w:pPr>
      <w:r>
        <w:rPr>
          <w:rFonts w:ascii="Times New Roman" w:hAnsi="Times New Roman"/>
          <w:b w:val="0"/>
          <w:i w:val="0"/>
          <w:u w:val="none"/>
        </w:rPr>
        <w:t>Full Blood Count (FBC)</w:t>
      </w:r>
    </w:p>
    <w:p>
      <w:pPr>
        <w:pStyle w:val="ListBullet"/>
        <w:numPr>
          <w:ilvl w:val="0"/>
          <w:numId w:val="10"/>
        </w:numPr>
        <w:spacing w:line="360" w:lineRule="auto"/>
        <w:ind w:left="720" w:hanging="360"/>
        <w:jc w:val="both"/>
      </w:pPr>
      <w:r>
        <w:rPr>
          <w:rFonts w:ascii="Times New Roman" w:hAnsi="Times New Roman"/>
          <w:b w:val="0"/>
          <w:i w:val="0"/>
          <w:u w:val="none"/>
        </w:rPr>
        <w:t>Blood film for malaria parasite</w:t>
      </w:r>
    </w:p>
    <w:p>
      <w:pPr>
        <w:pStyle w:val="ListBullet"/>
        <w:numPr>
          <w:ilvl w:val="0"/>
          <w:numId w:val="10"/>
        </w:numPr>
        <w:spacing w:line="360" w:lineRule="auto"/>
        <w:ind w:left="720" w:hanging="360"/>
        <w:jc w:val="both"/>
      </w:pPr>
      <w:r>
        <w:rPr>
          <w:rFonts w:ascii="Times New Roman" w:hAnsi="Times New Roman"/>
          <w:b w:val="0"/>
          <w:i w:val="0"/>
          <w:u w:val="none"/>
        </w:rPr>
        <w:t>Widal test</w:t>
      </w:r>
    </w:p>
    <w:p>
      <w:pPr>
        <w:pStyle w:val="ListBullet"/>
        <w:numPr>
          <w:ilvl w:val="0"/>
          <w:numId w:val="10"/>
        </w:numPr>
        <w:spacing w:line="360" w:lineRule="auto"/>
        <w:ind w:left="720" w:hanging="360"/>
        <w:jc w:val="both"/>
      </w:pPr>
      <w:r>
        <w:rPr>
          <w:rFonts w:ascii="Times New Roman" w:hAnsi="Times New Roman"/>
          <w:b w:val="0"/>
          <w:i w:val="0"/>
          <w:u w:val="none"/>
        </w:rPr>
        <w:t>H‑pylori test</w:t>
      </w:r>
    </w:p>
    <w:p>
      <w:pPr>
        <w:pStyle w:val="CareStudyBody"/>
        <w:spacing w:line="360" w:lineRule="auto"/>
        <w:ind w:firstLine="0"/>
        <w:jc w:val="both"/>
      </w:pPr>
      <w:r>
        <w:rPr>
          <w:rFonts w:ascii="Times New Roman" w:hAnsi="Times New Roman"/>
          <w:b/>
          <w:i w:val="0"/>
          <w:u w:val="none"/>
        </w:rPr>
        <w:t>Treatment started</w:t>
      </w:r>
    </w:p>
    <w:p>
      <w:pPr>
        <w:pStyle w:val="ListBullet"/>
        <w:numPr>
          <w:ilvl w:val="0"/>
          <w:numId w:val="10"/>
        </w:numPr>
        <w:spacing w:line="360" w:lineRule="auto"/>
        <w:ind w:left="720" w:hanging="360"/>
        <w:jc w:val="both"/>
      </w:pPr>
      <w:r>
        <w:rPr>
          <w:rFonts w:ascii="Times New Roman" w:hAnsi="Times New Roman"/>
          <w:b w:val="0"/>
          <w:i w:val="0"/>
          <w:u w:val="none"/>
        </w:rPr>
        <w:t>IM diclofenac 75 mg stat</w:t>
      </w:r>
    </w:p>
    <w:p>
      <w:pPr>
        <w:pStyle w:val="ListBullet"/>
        <w:numPr>
          <w:ilvl w:val="0"/>
          <w:numId w:val="10"/>
        </w:numPr>
        <w:spacing w:line="360" w:lineRule="auto"/>
        <w:ind w:left="720" w:hanging="360"/>
        <w:jc w:val="both"/>
      </w:pPr>
      <w:r>
        <w:rPr>
          <w:rFonts w:ascii="Times New Roman" w:hAnsi="Times New Roman"/>
          <w:b w:val="0"/>
          <w:i w:val="0"/>
          <w:u w:val="none"/>
        </w:rPr>
        <w:t>IV Artesunate‑Amodiaquine 182.4 mg every 12 hours</w:t>
      </w:r>
    </w:p>
    <w:p>
      <w:pPr>
        <w:pStyle w:val="ListBullet"/>
        <w:numPr>
          <w:ilvl w:val="0"/>
          <w:numId w:val="10"/>
        </w:numPr>
        <w:spacing w:line="360" w:lineRule="auto"/>
        <w:ind w:left="720" w:hanging="360"/>
        <w:jc w:val="both"/>
      </w:pPr>
      <w:r>
        <w:rPr>
          <w:rFonts w:ascii="Times New Roman" w:hAnsi="Times New Roman"/>
          <w:b w:val="0"/>
          <w:i w:val="0"/>
          <w:u w:val="none"/>
        </w:rPr>
        <w:t>IV Sodium Chloride infusion 500 mL stat</w:t>
      </w:r>
    </w:p>
    <w:p>
      <w:pPr>
        <w:pStyle w:val="CareStudyBody"/>
        <w:spacing w:line="360" w:lineRule="auto"/>
        <w:ind w:firstLine="0"/>
        <w:jc w:val="both"/>
      </w:pPr>
      <w:r>
        <w:rPr>
          <w:rFonts w:ascii="Times New Roman" w:hAnsi="Times New Roman"/>
          <w:b/>
          <w:i w:val="0"/>
          <w:u w:val="none"/>
        </w:rPr>
        <w:t>Immediate nursing care</w:t>
      </w:r>
    </w:p>
    <w:p>
      <w:pPr>
        <w:pStyle w:val="ListBullet"/>
        <w:numPr>
          <w:ilvl w:val="0"/>
          <w:numId w:val="10"/>
        </w:numPr>
        <w:spacing w:line="360" w:lineRule="auto"/>
        <w:ind w:left="720" w:hanging="360"/>
        <w:jc w:val="both"/>
      </w:pPr>
      <w:r>
        <w:rPr>
          <w:rFonts w:ascii="Times New Roman" w:hAnsi="Times New Roman"/>
          <w:b w:val="0"/>
          <w:i w:val="0"/>
          <w:u w:val="none"/>
        </w:rPr>
        <w:t>Warm reception to ward</w:t>
      </w:r>
    </w:p>
    <w:p>
      <w:pPr>
        <w:pStyle w:val="ListBullet"/>
        <w:numPr>
          <w:ilvl w:val="0"/>
          <w:numId w:val="10"/>
        </w:numPr>
        <w:spacing w:line="360" w:lineRule="auto"/>
        <w:ind w:left="720" w:hanging="360"/>
        <w:jc w:val="both"/>
      </w:pPr>
      <w:r>
        <w:rPr>
          <w:rFonts w:ascii="Times New Roman" w:hAnsi="Times New Roman"/>
          <w:b w:val="0"/>
          <w:i w:val="0"/>
          <w:u w:val="none"/>
        </w:rPr>
        <w:t>Reassurance</w:t>
      </w:r>
    </w:p>
    <w:p>
      <w:pPr>
        <w:pStyle w:val="ListBullet"/>
        <w:numPr>
          <w:ilvl w:val="0"/>
          <w:numId w:val="10"/>
        </w:numPr>
        <w:spacing w:line="360" w:lineRule="auto"/>
        <w:ind w:left="720" w:hanging="360"/>
        <w:jc w:val="both"/>
      </w:pPr>
      <w:r>
        <w:rPr>
          <w:rFonts w:ascii="Times New Roman" w:hAnsi="Times New Roman"/>
          <w:b w:val="0"/>
          <w:i w:val="0"/>
          <w:u w:val="none"/>
        </w:rPr>
        <w:t>Orientation to ward and annexes</w:t>
      </w:r>
    </w:p>
    <w:p>
      <w:pPr>
        <w:pStyle w:val="ListBullet"/>
        <w:numPr>
          <w:ilvl w:val="0"/>
          <w:numId w:val="10"/>
        </w:numPr>
        <w:spacing w:line="360" w:lineRule="auto"/>
        <w:ind w:left="720" w:hanging="360"/>
        <w:jc w:val="both"/>
      </w:pPr>
      <w:r>
        <w:rPr>
          <w:rFonts w:ascii="Times New Roman" w:hAnsi="Times New Roman"/>
          <w:b w:val="0"/>
          <w:i w:val="0"/>
          <w:u w:val="none"/>
        </w:rPr>
        <w:t>Admission bed prepared and provided</w:t>
      </w:r>
    </w:p>
    <w:p>
      <w:pPr>
        <w:pStyle w:val="ListBullet"/>
        <w:numPr>
          <w:ilvl w:val="0"/>
          <w:numId w:val="10"/>
        </w:numPr>
        <w:spacing w:line="360" w:lineRule="auto"/>
        <w:ind w:left="720" w:hanging="360"/>
        <w:jc w:val="both"/>
      </w:pPr>
      <w:r>
        <w:rPr>
          <w:rFonts w:ascii="Times New Roman" w:hAnsi="Times New Roman"/>
          <w:b w:val="0"/>
          <w:i w:val="0"/>
          <w:u w:val="none"/>
        </w:rPr>
        <w:t>Vital signs checked and recorded</w:t>
      </w:r>
    </w:p>
    <w:p>
      <w:pPr>
        <w:pStyle w:val="ListBullet"/>
        <w:numPr>
          <w:ilvl w:val="0"/>
          <w:numId w:val="10"/>
        </w:numPr>
        <w:spacing w:line="360" w:lineRule="auto"/>
        <w:ind w:left="720" w:hanging="360"/>
        <w:jc w:val="both"/>
      </w:pPr>
      <w:r>
        <w:rPr>
          <w:rFonts w:ascii="Times New Roman" w:hAnsi="Times New Roman"/>
          <w:b w:val="0"/>
          <w:i w:val="0"/>
          <w:u w:val="none"/>
        </w:rPr>
        <w:t>Medications administered</w:t>
      </w:r>
    </w:p>
    <w:p>
      <w:pPr>
        <w:pStyle w:val="CareStudyBody"/>
        <w:spacing w:line="360" w:lineRule="auto"/>
        <w:ind w:firstLine="0"/>
        <w:jc w:val="both"/>
      </w:pPr>
      <w:r>
        <w:rPr>
          <w:rFonts w:ascii="Times New Roman" w:hAnsi="Times New Roman"/>
          <w:b/>
          <w:i w:val="0"/>
          <w:u w:val="none"/>
        </w:rPr>
        <w:t>Date of discharge</w:t>
      </w:r>
    </w:p>
    <w:p>
      <w:pPr>
        <w:pStyle w:val="CareStudyBody"/>
        <w:spacing w:line="360" w:lineRule="auto"/>
        <w:ind w:firstLine="0"/>
        <w:jc w:val="both"/>
      </w:pPr>
      <w:r>
        <w:rPr>
          <w:rFonts w:ascii="Times New Roman" w:hAnsi="Times New Roman"/>
          <w:b w:val="0"/>
          <w:i w:val="0"/>
          <w:u w:val="none"/>
        </w:rPr>
        <w:t>The patient was discharged on 6</w:t>
      </w:r>
      <w:r>
        <w:rPr>
          <w:rFonts w:ascii="Times New Roman" w:hAnsi="Times New Roman"/>
          <w:b w:val="0"/>
          <w:i w:val="0"/>
          <w:u w:val="none"/>
          <w:vertAlign w:val="superscript"/>
        </w:rPr>
        <w:t>th</w:t>
      </w:r>
      <w:r>
        <w:rPr>
          <w:rFonts w:ascii="Times New Roman" w:hAnsi="Times New Roman"/>
          <w:b w:val="0"/>
          <w:i w:val="0"/>
          <w:u w:val="none"/>
        </w:rPr>
        <w:t xml:space="preserve"> June 2026.</w:t>
      </w:r>
    </w:p>
    <w:p>
      <w:pPr>
        <w:pStyle w:val="CareStudyHeading2"/>
      </w:pPr>
      <w:r>
        <w:rPr>
          <w:rFonts w:ascii="Times New Roman" w:hAnsi="Times New Roman"/>
          <w:b w:val="0"/>
          <w:i w:val="0"/>
          <w:u w:val="none"/>
        </w:rPr>
        <w:t>1.9</w:t>
      </w:r>
    </w:p>
    <w:p>
      <w:pPr>
        <w:pStyle w:val="CareStudyBody"/>
        <w:spacing w:line="360" w:lineRule="auto"/>
        <w:ind w:firstLine="0"/>
        <w:jc w:val="both"/>
      </w:pPr>
      <w:r>
        <w:rPr>
          <w:rFonts w:ascii="Times New Roman" w:hAnsi="Times New Roman"/>
          <w:b w:val="0"/>
          <w:i w:val="0"/>
          <w:u w:val="none"/>
        </w:rPr>
        <w:t>This section outlines the patient's concept of their illness, encompassing their understanding, perceived cause, and emotional response. These elements are drawn directly from the patient's own statements during the assessment. The patient reports having a fair exposure to the illness. They identify the female Anopheles mosquito as the vector causing the illness. Emotionally, the patient describes their response as stable, with no expressed concerns.</w:t>
      </w:r>
    </w:p>
    <w:p>
      <w:pPr>
        <w:pStyle w:val="CareStudyHeading2"/>
      </w:pPr>
      <w:r>
        <w:rPr>
          <w:rFonts w:ascii="Times New Roman" w:hAnsi="Times New Roman"/>
          <w:b w:val="0"/>
          <w:i w:val="0"/>
          <w:u w:val="none"/>
        </w:rPr>
        <w:t>1.10</w:t>
      </w:r>
    </w:p>
    <w:p>
      <w:pPr>
        <w:pStyle w:val="CareStudyBody"/>
        <w:spacing w:line="360" w:lineRule="auto"/>
        <w:ind w:firstLine="0"/>
        <w:jc w:val="both"/>
      </w:pPr>
      <w:r>
        <w:rPr>
          <w:rFonts w:ascii="Times New Roman" w:hAnsi="Times New Roman"/>
          <w:b w:val="0"/>
          <w:i w:val="0"/>
          <w:u w:val="none"/>
        </w:rPr>
        <w:t>This literature review examines severe malaria, focusing on its epidemiology, etiology, clinical presentation, diagnosis, management, and potential complications as outlined by current WHO guidelines. The review draws on the latest global malaria fact sheet and essential medicines formulary to provide evidence‑based information relevant to nursing practice. (WHO, 2025)</w:t>
      </w:r>
    </w:p>
    <w:p>
      <w:pPr>
        <w:pStyle w:val="CareStudyBody"/>
        <w:spacing w:line="360" w:lineRule="auto"/>
        <w:ind w:firstLine="0"/>
        <w:jc w:val="both"/>
      </w:pPr>
      <w:r>
        <w:rPr>
          <w:rFonts w:ascii="Times New Roman" w:hAnsi="Times New Roman"/>
          <w:b/>
          <w:i w:val="0"/>
          <w:u w:val="none"/>
        </w:rPr>
        <w:t>Definition</w:t>
      </w:r>
    </w:p>
    <w:p>
      <w:pPr>
        <w:pStyle w:val="CareStudyBody"/>
        <w:spacing w:line="360" w:lineRule="auto"/>
        <w:ind w:firstLine="0"/>
        <w:jc w:val="both"/>
      </w:pPr>
      <w:r>
        <w:rPr>
          <w:rFonts w:ascii="Times New Roman" w:hAnsi="Times New Roman"/>
          <w:b w:val="0"/>
          <w:i w:val="0"/>
          <w:u w:val="none"/>
        </w:rPr>
        <w:t>Malaria is a life‑threatening parasitic disease transmitted to humans through the bite of infected female Anopheles mosquitoes. It is caused by Plasmodium species, with Plasmodium falciparum being the most virulent and responsible for the majority of severe cases and deaths worldwide. The infection invades and destroys red blood cells, leading to a cascade of systemic effects that can progress rapidly to severe organ dysfunction if untreated. Although preventable and curable, malaria remains a major public health challenge, particularly in tropical and subtropical regions where transmission is intense. (WHO, 2025)</w:t>
      </w:r>
    </w:p>
    <w:p>
      <w:pPr>
        <w:pStyle w:val="CareStudyBody"/>
        <w:spacing w:line="360" w:lineRule="auto"/>
        <w:ind w:firstLine="0"/>
        <w:jc w:val="both"/>
      </w:pPr>
      <w:r>
        <w:rPr>
          <w:rFonts w:ascii="Times New Roman" w:hAnsi="Times New Roman"/>
          <w:b/>
          <w:i w:val="0"/>
          <w:u w:val="none"/>
        </w:rPr>
        <w:t>Incidence and Prevalence</w:t>
      </w:r>
    </w:p>
    <w:p>
      <w:pPr>
        <w:pStyle w:val="ListBullet"/>
        <w:numPr>
          <w:ilvl w:val="0"/>
          <w:numId w:val="10"/>
        </w:numPr>
        <w:spacing w:line="360" w:lineRule="auto"/>
        <w:ind w:left="720" w:hanging="360"/>
        <w:jc w:val="both"/>
      </w:pPr>
      <w:r>
        <w:rPr>
          <w:rFonts w:ascii="Times New Roman" w:hAnsi="Times New Roman"/>
          <w:b w:val="0"/>
          <w:i w:val="0"/>
          <w:u w:val="none"/>
        </w:rPr>
        <w:t>Globally, an estimated 282 million malaria cases occurred in 2024, representing a 3% increase from 2023. (WHO, 2025)</w:t>
      </w:r>
    </w:p>
    <w:p>
      <w:pPr>
        <w:pStyle w:val="ListBullet"/>
        <w:numPr>
          <w:ilvl w:val="0"/>
          <w:numId w:val="10"/>
        </w:numPr>
        <w:spacing w:line="360" w:lineRule="auto"/>
        <w:ind w:left="720" w:hanging="360"/>
        <w:jc w:val="both"/>
      </w:pPr>
      <w:r>
        <w:rPr>
          <w:rFonts w:ascii="Times New Roman" w:hAnsi="Times New Roman"/>
          <w:b w:val="0"/>
          <w:i w:val="0"/>
          <w:u w:val="none"/>
        </w:rPr>
        <w:t>Approximately 610 000 malaria deaths were reported in 2024, up from 598 000 in 2023. (WHO, 2025)</w:t>
      </w:r>
    </w:p>
    <w:p>
      <w:pPr>
        <w:pStyle w:val="ListBullet"/>
        <w:numPr>
          <w:ilvl w:val="0"/>
          <w:numId w:val="10"/>
        </w:numPr>
        <w:spacing w:line="360" w:lineRule="auto"/>
        <w:ind w:left="720" w:hanging="360"/>
        <w:jc w:val="both"/>
      </w:pPr>
      <w:r>
        <w:rPr>
          <w:rFonts w:ascii="Times New Roman" w:hAnsi="Times New Roman"/>
          <w:b w:val="0"/>
          <w:i w:val="0"/>
          <w:u w:val="none"/>
        </w:rPr>
        <w:t>The WHO African Region accounted for about 95% of all malaria cases (265 million) and 95% of malaria deaths (579 000) in 2024. (WHO, 2025)</w:t>
      </w:r>
    </w:p>
    <w:p>
      <w:pPr>
        <w:pStyle w:val="ListBullet"/>
        <w:numPr>
          <w:ilvl w:val="0"/>
          <w:numId w:val="10"/>
        </w:numPr>
        <w:spacing w:line="360" w:lineRule="auto"/>
        <w:ind w:left="720" w:hanging="360"/>
        <w:jc w:val="both"/>
      </w:pPr>
      <w:r>
        <w:rPr>
          <w:rFonts w:ascii="Times New Roman" w:hAnsi="Times New Roman"/>
          <w:b w:val="0"/>
          <w:i w:val="0"/>
          <w:u w:val="none"/>
        </w:rPr>
        <w:t>Children under five years of age represented roughly 75% of malaria deaths in the African Region. (WHO, 2025)</w:t>
      </w:r>
    </w:p>
    <w:p>
      <w:pPr>
        <w:pStyle w:val="ListBullet"/>
        <w:numPr>
          <w:ilvl w:val="0"/>
          <w:numId w:val="10"/>
        </w:numPr>
        <w:spacing w:line="360" w:lineRule="auto"/>
        <w:ind w:left="720" w:hanging="360"/>
        <w:jc w:val="both"/>
      </w:pPr>
      <w:r>
        <w:rPr>
          <w:rFonts w:ascii="Times New Roman" w:hAnsi="Times New Roman"/>
          <w:b w:val="0"/>
          <w:i w:val="0"/>
          <w:u w:val="none"/>
        </w:rPr>
        <w:t>Over half of all malaria deaths in the African Region occurred in three countries: Nigeria (31.9%), the Democratic Republic of the Congo (11.7%), and Niger (6.1%). (WHO, 2025)</w:t>
      </w:r>
    </w:p>
    <w:p>
      <w:pPr>
        <w:pStyle w:val="ListBullet"/>
        <w:numPr>
          <w:ilvl w:val="0"/>
          <w:numId w:val="10"/>
        </w:numPr>
        <w:spacing w:line="360" w:lineRule="auto"/>
        <w:ind w:left="720" w:hanging="360"/>
        <w:jc w:val="both"/>
      </w:pPr>
      <w:r>
        <w:rPr>
          <w:rFonts w:ascii="Times New Roman" w:hAnsi="Times New Roman"/>
          <w:b w:val="0"/>
          <w:i w:val="0"/>
          <w:u w:val="none"/>
        </w:rPr>
        <w:t>Outside Africa, Plasmodium vivax is the predominant species, contributing substantially to the malaria burden in Asia and Latin America. (WHO, 2025)</w:t>
      </w:r>
    </w:p>
    <w:p>
      <w:pPr>
        <w:pStyle w:val="ListBullet"/>
        <w:numPr>
          <w:ilvl w:val="0"/>
          <w:numId w:val="10"/>
        </w:numPr>
        <w:spacing w:line="360" w:lineRule="auto"/>
        <w:ind w:left="720" w:hanging="360"/>
        <w:jc w:val="both"/>
      </w:pPr>
      <w:r>
        <w:rPr>
          <w:rFonts w:ascii="Times New Roman" w:hAnsi="Times New Roman"/>
          <w:b w:val="0"/>
          <w:i w:val="0"/>
          <w:u w:val="none"/>
        </w:rPr>
        <w:t>The global malaria incidence rate in 2024 was estimated at 57 cases per 1 000 population at risk. (WHO, 2025)</w:t>
      </w:r>
    </w:p>
    <w:p>
      <w:pPr>
        <w:pStyle w:val="ListBullet"/>
        <w:numPr>
          <w:ilvl w:val="0"/>
          <w:numId w:val="10"/>
        </w:numPr>
        <w:spacing w:line="360" w:lineRule="auto"/>
        <w:ind w:left="720" w:hanging="360"/>
        <w:jc w:val="both"/>
      </w:pPr>
      <w:r>
        <w:rPr>
          <w:rFonts w:ascii="Times New Roman" w:hAnsi="Times New Roman"/>
          <w:b w:val="0"/>
          <w:i w:val="0"/>
          <w:u w:val="none"/>
        </w:rPr>
        <w:t>Mortality rates were highest in children under five and pregnant women, reflecting heightened vulnerability in these groups. (WHO, 2025)</w:t>
      </w:r>
    </w:p>
    <w:p>
      <w:pPr>
        <w:pStyle w:val="ListBullet"/>
        <w:numPr>
          <w:ilvl w:val="0"/>
          <w:numId w:val="10"/>
        </w:numPr>
        <w:spacing w:line="360" w:lineRule="auto"/>
        <w:ind w:left="720" w:hanging="360"/>
        <w:jc w:val="both"/>
      </w:pPr>
      <w:r>
        <w:rPr>
          <w:rFonts w:ascii="Times New Roman" w:hAnsi="Times New Roman"/>
          <w:b w:val="0"/>
          <w:i w:val="0"/>
          <w:u w:val="none"/>
        </w:rPr>
        <w:t>Surveillance data indicate that malaria transmission remains intense in rural areas with limited access to preventive measures and timely treatment. (WHO, 2025)</w:t>
      </w:r>
    </w:p>
    <w:p>
      <w:pPr>
        <w:pStyle w:val="ListBullet"/>
        <w:numPr>
          <w:ilvl w:val="0"/>
          <w:numId w:val="10"/>
        </w:numPr>
        <w:spacing w:line="360" w:lineRule="auto"/>
        <w:ind w:left="720" w:hanging="360"/>
        <w:jc w:val="both"/>
      </w:pPr>
      <w:r>
        <w:rPr>
          <w:rFonts w:ascii="Times New Roman" w:hAnsi="Times New Roman"/>
          <w:b w:val="0"/>
          <w:i w:val="0"/>
          <w:u w:val="none"/>
        </w:rPr>
        <w:t>Urban malaria transmission is increasing due to the spread of invasive vector species such as Anopheles stephensi in several African countries. (WHO, 2025)</w:t>
      </w:r>
    </w:p>
    <w:p>
      <w:pPr>
        <w:pStyle w:val="ListBullet"/>
        <w:numPr>
          <w:ilvl w:val="0"/>
          <w:numId w:val="10"/>
        </w:numPr>
        <w:spacing w:line="360" w:lineRule="auto"/>
        <w:ind w:left="720" w:hanging="360"/>
        <w:jc w:val="both"/>
      </w:pPr>
      <w:r>
        <w:rPr>
          <w:rFonts w:ascii="Times New Roman" w:hAnsi="Times New Roman"/>
          <w:b w:val="0"/>
          <w:i w:val="0"/>
          <w:u w:val="none"/>
        </w:rPr>
        <w:t>Despite progress, the gap between reported cases and estimated true incidence persists because of under‑reporting in remote settings. (WHO, 2025)</w:t>
      </w:r>
    </w:p>
    <w:p>
      <w:pPr>
        <w:pStyle w:val="ListBullet"/>
        <w:numPr>
          <w:ilvl w:val="0"/>
          <w:numId w:val="10"/>
        </w:numPr>
        <w:spacing w:line="360" w:lineRule="auto"/>
        <w:ind w:left="720" w:hanging="360"/>
        <w:jc w:val="both"/>
      </w:pPr>
      <w:r>
        <w:rPr>
          <w:rFonts w:ascii="Times New Roman" w:hAnsi="Times New Roman"/>
          <w:b w:val="0"/>
          <w:i w:val="0"/>
          <w:u w:val="none"/>
        </w:rPr>
        <w:t>The World Malaria Report 2025 highlights that achieving the 2030 targets requires a ≥90% reduction in case incidence and mortality rates from 2015 levels. (WHO, 2025)</w:t>
      </w:r>
    </w:p>
    <w:p>
      <w:pPr>
        <w:pStyle w:val="CareStudyBody"/>
        <w:spacing w:line="360" w:lineRule="auto"/>
        <w:ind w:firstLine="0"/>
        <w:jc w:val="both"/>
      </w:pPr>
      <w:r>
        <w:rPr>
          <w:rFonts w:ascii="Times New Roman" w:hAnsi="Times New Roman"/>
          <w:b/>
          <w:i w:val="0"/>
          <w:u w:val="none"/>
        </w:rPr>
        <w:t>Causes and Risk Factors</w:t>
      </w:r>
    </w:p>
    <w:p>
      <w:pPr>
        <w:pStyle w:val="ListBullet"/>
        <w:numPr>
          <w:ilvl w:val="0"/>
          <w:numId w:val="10"/>
        </w:numPr>
        <w:spacing w:line="360" w:lineRule="auto"/>
        <w:ind w:left="720" w:hanging="360"/>
        <w:jc w:val="both"/>
      </w:pPr>
      <w:r>
        <w:rPr>
          <w:rFonts w:ascii="Times New Roman" w:hAnsi="Times New Roman"/>
          <w:b w:val="0"/>
          <w:i w:val="0"/>
          <w:u w:val="none"/>
        </w:rPr>
        <w:t>Infection results from the bite of an infected female Anopheles mosquito carrying Plasmodium sporozoites. (WHO, 2025)</w:t>
      </w:r>
    </w:p>
    <w:p>
      <w:pPr>
        <w:pStyle w:val="ListBullet"/>
        <w:numPr>
          <w:ilvl w:val="0"/>
          <w:numId w:val="10"/>
        </w:numPr>
        <w:spacing w:line="360" w:lineRule="auto"/>
        <w:ind w:left="720" w:hanging="360"/>
        <w:jc w:val="both"/>
      </w:pPr>
      <w:r>
        <w:rPr>
          <w:rFonts w:ascii="Times New Roman" w:hAnsi="Times New Roman"/>
          <w:b w:val="0"/>
          <w:i w:val="0"/>
          <w:u w:val="none"/>
        </w:rPr>
        <w:t>Five Plasmodium species infect humans: P. falciparum, P. vivax, P. ovale, P. malariae, and P. knowlesi, with P. falciparum and P. vivax posing the greatest public health threat. (WHO, 2025)</w:t>
      </w:r>
    </w:p>
    <w:p>
      <w:pPr>
        <w:pStyle w:val="ListBullet"/>
        <w:numPr>
          <w:ilvl w:val="0"/>
          <w:numId w:val="10"/>
        </w:numPr>
        <w:spacing w:line="360" w:lineRule="auto"/>
        <w:ind w:left="720" w:hanging="360"/>
        <w:jc w:val="both"/>
      </w:pPr>
      <w:r>
        <w:rPr>
          <w:rFonts w:ascii="Times New Roman" w:hAnsi="Times New Roman"/>
          <w:b w:val="0"/>
          <w:i w:val="0"/>
          <w:u w:val="none"/>
        </w:rPr>
        <w:t>P. falciparum is responsible for the majority of severe malaria cases and is endemic throughout sub‑Saharan Africa. (WHO, 2025)</w:t>
      </w:r>
    </w:p>
    <w:p>
      <w:pPr>
        <w:pStyle w:val="ListBullet"/>
        <w:numPr>
          <w:ilvl w:val="0"/>
          <w:numId w:val="10"/>
        </w:numPr>
        <w:spacing w:line="360" w:lineRule="auto"/>
        <w:ind w:left="720" w:hanging="360"/>
        <w:jc w:val="both"/>
      </w:pPr>
      <w:r>
        <w:rPr>
          <w:rFonts w:ascii="Times New Roman" w:hAnsi="Times New Roman"/>
          <w:b w:val="0"/>
          <w:i w:val="0"/>
          <w:u w:val="none"/>
        </w:rPr>
        <w:t>P. vivax dominates outside Africa and can cause relapsing infections due to dormant hepatic hypnozoites. (WHO, 2025)</w:t>
      </w:r>
    </w:p>
    <w:p>
      <w:pPr>
        <w:pStyle w:val="ListBullet"/>
        <w:numPr>
          <w:ilvl w:val="0"/>
          <w:numId w:val="10"/>
        </w:numPr>
        <w:spacing w:line="360" w:lineRule="auto"/>
        <w:ind w:left="720" w:hanging="360"/>
        <w:jc w:val="both"/>
      </w:pPr>
      <w:r>
        <w:rPr>
          <w:rFonts w:ascii="Times New Roman" w:hAnsi="Times New Roman"/>
          <w:b w:val="0"/>
          <w:i w:val="0"/>
          <w:u w:val="none"/>
        </w:rPr>
        <w:t>Infants and children under five years are at high risk because they have not yet acquired protective immunity. (WHO, 2025)</w:t>
      </w:r>
    </w:p>
    <w:p>
      <w:pPr>
        <w:pStyle w:val="ListBullet"/>
        <w:numPr>
          <w:ilvl w:val="0"/>
          <w:numId w:val="10"/>
        </w:numPr>
        <w:spacing w:line="360" w:lineRule="auto"/>
        <w:ind w:left="720" w:hanging="360"/>
        <w:jc w:val="both"/>
      </w:pPr>
      <w:r>
        <w:rPr>
          <w:rFonts w:ascii="Times New Roman" w:hAnsi="Times New Roman"/>
          <w:b w:val="0"/>
          <w:i w:val="0"/>
          <w:u w:val="none"/>
        </w:rPr>
        <w:t>Pregnant women experience increased susceptibility to severe malaria, particularly during first and second pregnancies. (WHO, 2025)</w:t>
      </w:r>
    </w:p>
    <w:p>
      <w:pPr>
        <w:pStyle w:val="ListBullet"/>
        <w:numPr>
          <w:ilvl w:val="0"/>
          <w:numId w:val="10"/>
        </w:numPr>
        <w:spacing w:line="360" w:lineRule="auto"/>
        <w:ind w:left="720" w:hanging="360"/>
        <w:jc w:val="both"/>
      </w:pPr>
      <w:r>
        <w:rPr>
          <w:rFonts w:ascii="Times New Roman" w:hAnsi="Times New Roman"/>
          <w:b w:val="0"/>
          <w:i w:val="0"/>
          <w:u w:val="none"/>
        </w:rPr>
        <w:t>Travelers from non‑endemic areas lack immunity and are vulnerable to severe infection when visiting endemic zones. (WHO, 2025)</w:t>
      </w:r>
    </w:p>
    <w:p>
      <w:pPr>
        <w:pStyle w:val="ListBullet"/>
        <w:numPr>
          <w:ilvl w:val="0"/>
          <w:numId w:val="10"/>
        </w:numPr>
        <w:spacing w:line="360" w:lineRule="auto"/>
        <w:ind w:left="720" w:hanging="360"/>
        <w:jc w:val="both"/>
      </w:pPr>
      <w:r>
        <w:rPr>
          <w:rFonts w:ascii="Times New Roman" w:hAnsi="Times New Roman"/>
          <w:b w:val="0"/>
          <w:i w:val="0"/>
          <w:u w:val="none"/>
        </w:rPr>
        <w:t>Individuals living with HIV/AIDS have impaired immune responses, raising their risk of severe and complicated malaria. (WHO, 2025)</w:t>
      </w:r>
    </w:p>
    <w:p>
      <w:pPr>
        <w:pStyle w:val="ListBullet"/>
        <w:numPr>
          <w:ilvl w:val="0"/>
          <w:numId w:val="10"/>
        </w:numPr>
        <w:spacing w:line="360" w:lineRule="auto"/>
        <w:ind w:left="720" w:hanging="360"/>
        <w:jc w:val="both"/>
      </w:pPr>
      <w:r>
        <w:rPr>
          <w:rFonts w:ascii="Times New Roman" w:hAnsi="Times New Roman"/>
          <w:b w:val="0"/>
          <w:i w:val="0"/>
          <w:u w:val="none"/>
        </w:rPr>
        <w:t>Populations with limited access to insecticide‑treated nets (ITNs) or indoor residual spraying (IRS) face higher exposure to infectious bites. (WHO, 2025)</w:t>
      </w:r>
    </w:p>
    <w:p>
      <w:pPr>
        <w:pStyle w:val="ListBullet"/>
        <w:numPr>
          <w:ilvl w:val="0"/>
          <w:numId w:val="10"/>
        </w:numPr>
        <w:spacing w:line="360" w:lineRule="auto"/>
        <w:ind w:left="720" w:hanging="360"/>
        <w:jc w:val="both"/>
      </w:pPr>
      <w:r>
        <w:rPr>
          <w:rFonts w:ascii="Times New Roman" w:hAnsi="Times New Roman"/>
          <w:b w:val="0"/>
          <w:i w:val="0"/>
          <w:u w:val="none"/>
        </w:rPr>
        <w:t>Poor housing conditions (e.g., lack of window screens) increase indoor mosquito biting rates. (WHO, 2025)</w:t>
      </w:r>
    </w:p>
    <w:p>
      <w:pPr>
        <w:pStyle w:val="ListBullet"/>
        <w:numPr>
          <w:ilvl w:val="0"/>
          <w:numId w:val="10"/>
        </w:numPr>
        <w:spacing w:line="360" w:lineRule="auto"/>
        <w:ind w:left="720" w:hanging="360"/>
        <w:jc w:val="both"/>
      </w:pPr>
      <w:r>
        <w:rPr>
          <w:rFonts w:ascii="Times New Roman" w:hAnsi="Times New Roman"/>
          <w:b w:val="0"/>
          <w:i w:val="0"/>
          <w:u w:val="none"/>
        </w:rPr>
        <w:t>Occupational or recreational activities that involve outdoor exposure during peak mosquito biting times (dusk to dawn) elevate risk. (WHO, 2025)</w:t>
      </w:r>
    </w:p>
    <w:p>
      <w:pPr>
        <w:pStyle w:val="ListBullet"/>
        <w:numPr>
          <w:ilvl w:val="0"/>
          <w:numId w:val="10"/>
        </w:numPr>
        <w:spacing w:line="360" w:lineRule="auto"/>
        <w:ind w:left="720" w:hanging="360"/>
        <w:jc w:val="both"/>
      </w:pPr>
      <w:r>
        <w:rPr>
          <w:rFonts w:ascii="Times New Roman" w:hAnsi="Times New Roman"/>
          <w:b w:val="0"/>
          <w:i w:val="0"/>
          <w:u w:val="none"/>
        </w:rPr>
        <w:t>Inadequate use of chemoprophylaxis among travelers and migrant workers contributes to preventable cases. (WHO, 2025)</w:t>
      </w:r>
    </w:p>
    <w:p>
      <w:pPr>
        <w:pStyle w:val="ListBullet"/>
        <w:numPr>
          <w:ilvl w:val="0"/>
          <w:numId w:val="10"/>
        </w:numPr>
        <w:spacing w:line="360" w:lineRule="auto"/>
        <w:ind w:left="720" w:hanging="360"/>
        <w:jc w:val="both"/>
      </w:pPr>
      <w:r>
        <w:rPr>
          <w:rFonts w:ascii="Times New Roman" w:hAnsi="Times New Roman"/>
          <w:b w:val="0"/>
          <w:i w:val="0"/>
          <w:u w:val="none"/>
        </w:rPr>
        <w:t>Emerging resistance of Plasmodium to antimalarial drugs and of mosquitoes to insecticides undermines control efforts. (WHO, 2025)</w:t>
      </w:r>
    </w:p>
    <w:p>
      <w:pPr>
        <w:pStyle w:val="CareStudyBody"/>
        <w:spacing w:line="360" w:lineRule="auto"/>
        <w:ind w:firstLine="0"/>
        <w:jc w:val="both"/>
      </w:pPr>
      <w:r>
        <w:rPr>
          <w:rFonts w:ascii="Times New Roman" w:hAnsi="Times New Roman"/>
          <w:b/>
          <w:i w:val="0"/>
          <w:u w:val="none"/>
        </w:rPr>
        <w:t>Clinical Features</w:t>
      </w:r>
    </w:p>
    <w:p>
      <w:pPr>
        <w:pStyle w:val="ListBullet"/>
        <w:numPr>
          <w:ilvl w:val="0"/>
          <w:numId w:val="10"/>
        </w:numPr>
        <w:spacing w:line="360" w:lineRule="auto"/>
        <w:ind w:left="720" w:hanging="360"/>
        <w:jc w:val="both"/>
      </w:pPr>
      <w:r>
        <w:rPr>
          <w:rFonts w:ascii="Times New Roman" w:hAnsi="Times New Roman"/>
          <w:b w:val="0"/>
          <w:i w:val="0"/>
          <w:u w:val="none"/>
        </w:rPr>
        <w:t>Early, uncomplicated malaria often presents with non‑specific symptoms such as fever, headache, and chills appearing 10–15 days after an infective mosquito bite. (WHO, 2025)</w:t>
      </w:r>
    </w:p>
    <w:p>
      <w:pPr>
        <w:pStyle w:val="ListBullet"/>
        <w:numPr>
          <w:ilvl w:val="0"/>
          <w:numId w:val="10"/>
        </w:numPr>
        <w:spacing w:line="360" w:lineRule="auto"/>
        <w:ind w:left="720" w:hanging="360"/>
        <w:jc w:val="both"/>
      </w:pPr>
      <w:r>
        <w:rPr>
          <w:rFonts w:ascii="Times New Roman" w:hAnsi="Times New Roman"/>
          <w:b w:val="0"/>
          <w:i w:val="0"/>
          <w:u w:val="none"/>
        </w:rPr>
        <w:t>Fever may be intermittent, periodic, or continuous and is frequently accompanied by sweating and malaise. (WHO, 2025)</w:t>
      </w:r>
    </w:p>
    <w:p>
      <w:pPr>
        <w:pStyle w:val="ListBullet"/>
        <w:numPr>
          <w:ilvl w:val="0"/>
          <w:numId w:val="10"/>
        </w:numPr>
        <w:spacing w:line="360" w:lineRule="auto"/>
        <w:ind w:left="720" w:hanging="360"/>
        <w:jc w:val="both"/>
      </w:pPr>
      <w:r>
        <w:rPr>
          <w:rFonts w:ascii="Times New Roman" w:hAnsi="Times New Roman"/>
          <w:b w:val="0"/>
          <w:i w:val="0"/>
          <w:u w:val="none"/>
        </w:rPr>
        <w:t>Mild cases can manifest with nausea, vomiting, abdominal pain, and myalgia, which may be mistaken for other febrile illnesses. (WHO, 2025)</w:t>
      </w:r>
    </w:p>
    <w:p>
      <w:pPr>
        <w:pStyle w:val="ListBullet"/>
        <w:numPr>
          <w:ilvl w:val="0"/>
          <w:numId w:val="10"/>
        </w:numPr>
        <w:spacing w:line="360" w:lineRule="auto"/>
        <w:ind w:left="720" w:hanging="360"/>
        <w:jc w:val="both"/>
      </w:pPr>
      <w:r>
        <w:rPr>
          <w:rFonts w:ascii="Times New Roman" w:hAnsi="Times New Roman"/>
          <w:b w:val="0"/>
          <w:i w:val="0"/>
          <w:u w:val="none"/>
        </w:rPr>
        <w:t>Severe malaria is defined by the presence of one or more signs of vital organ dysfunction. (WHO, 2025)</w:t>
      </w:r>
    </w:p>
    <w:p>
      <w:pPr>
        <w:pStyle w:val="ListBullet"/>
        <w:numPr>
          <w:ilvl w:val="0"/>
          <w:numId w:val="10"/>
        </w:numPr>
        <w:spacing w:line="360" w:lineRule="auto"/>
        <w:ind w:left="720" w:hanging="360"/>
        <w:jc w:val="both"/>
      </w:pPr>
      <w:r>
        <w:rPr>
          <w:rFonts w:ascii="Times New Roman" w:hAnsi="Times New Roman"/>
          <w:b w:val="0"/>
          <w:i w:val="0"/>
          <w:u w:val="none"/>
        </w:rPr>
        <w:t>Neurological manifestations of severe malaria include impaired consciousness, confusion, disorientation, multiple convulsions, and coma. (WHO, 2025)</w:t>
      </w:r>
    </w:p>
    <w:p>
      <w:pPr>
        <w:pStyle w:val="ListBullet"/>
        <w:numPr>
          <w:ilvl w:val="0"/>
          <w:numId w:val="10"/>
        </w:numPr>
        <w:spacing w:line="360" w:lineRule="auto"/>
        <w:ind w:left="720" w:hanging="360"/>
        <w:jc w:val="both"/>
      </w:pPr>
      <w:r>
        <w:rPr>
          <w:rFonts w:ascii="Times New Roman" w:hAnsi="Times New Roman"/>
          <w:b w:val="0"/>
          <w:i w:val="0"/>
          <w:u w:val="none"/>
        </w:rPr>
        <w:t>Respiratory signs comprise severe anemia‑related tachypnea, acute pulmonary edema, and dyspnea due to metabolic acidosis. (WHO, 2025)</w:t>
      </w:r>
    </w:p>
    <w:p>
      <w:pPr>
        <w:pStyle w:val="ListBullet"/>
        <w:numPr>
          <w:ilvl w:val="0"/>
          <w:numId w:val="10"/>
        </w:numPr>
        <w:spacing w:line="360" w:lineRule="auto"/>
        <w:ind w:left="720" w:hanging="360"/>
        <w:jc w:val="both"/>
      </w:pPr>
      <w:r>
        <w:rPr>
          <w:rFonts w:ascii="Times New Roman" w:hAnsi="Times New Roman"/>
          <w:b w:val="0"/>
          <w:i w:val="0"/>
          <w:u w:val="none"/>
        </w:rPr>
        <w:t>Cardiovascular involvement may present as hypotension, shock, and poor peripheral perfusion. (WHO, 2025)</w:t>
      </w:r>
    </w:p>
    <w:p>
      <w:pPr>
        <w:pStyle w:val="ListBullet"/>
        <w:numPr>
          <w:ilvl w:val="0"/>
          <w:numId w:val="10"/>
        </w:numPr>
        <w:spacing w:line="360" w:lineRule="auto"/>
        <w:ind w:left="720" w:hanging="360"/>
        <w:jc w:val="both"/>
      </w:pPr>
      <w:r>
        <w:rPr>
          <w:rFonts w:ascii="Times New Roman" w:hAnsi="Times New Roman"/>
          <w:b w:val="0"/>
          <w:i w:val="0"/>
          <w:u w:val="none"/>
        </w:rPr>
        <w:t>Renal dysfunction is indicated by oliguria, elevated creatinine, and, in severe cases, acute kidney injury requiring dialysis. (WHO, 2025)</w:t>
      </w:r>
    </w:p>
    <w:p>
      <w:pPr>
        <w:pStyle w:val="ListBullet"/>
        <w:numPr>
          <w:ilvl w:val="0"/>
          <w:numId w:val="10"/>
        </w:numPr>
        <w:spacing w:line="360" w:lineRule="auto"/>
        <w:ind w:left="720" w:hanging="360"/>
        <w:jc w:val="both"/>
      </w:pPr>
      <w:r>
        <w:rPr>
          <w:rFonts w:ascii="Times New Roman" w:hAnsi="Times New Roman"/>
          <w:b w:val="0"/>
          <w:i w:val="0"/>
          <w:u w:val="none"/>
        </w:rPr>
        <w:t>Hepatic involvement can lead to jaundice, elevated transaminases, and, rarely, hepatic failure. (WHO, 2025)</w:t>
      </w:r>
    </w:p>
    <w:p>
      <w:pPr>
        <w:pStyle w:val="ListBullet"/>
        <w:numPr>
          <w:ilvl w:val="0"/>
          <w:numId w:val="10"/>
        </w:numPr>
        <w:spacing w:line="360" w:lineRule="auto"/>
        <w:ind w:left="720" w:hanging="360"/>
        <w:jc w:val="both"/>
      </w:pPr>
      <w:r>
        <w:rPr>
          <w:rFonts w:ascii="Times New Roman" w:hAnsi="Times New Roman"/>
          <w:b w:val="0"/>
          <w:i w:val="0"/>
          <w:u w:val="none"/>
        </w:rPr>
        <w:t>Hematologic complications include severe anemia (hemoglobin &lt;5 g/dL), thrombocytopenia, and disseminated intravascular coagulation manifested by abnormal bleeding. (WHO, 2025)</w:t>
      </w:r>
    </w:p>
    <w:p>
      <w:pPr>
        <w:pStyle w:val="ListBullet"/>
        <w:numPr>
          <w:ilvl w:val="0"/>
          <w:numId w:val="10"/>
        </w:numPr>
        <w:spacing w:line="360" w:lineRule="auto"/>
        <w:ind w:left="720" w:hanging="360"/>
        <w:jc w:val="both"/>
      </w:pPr>
      <w:r>
        <w:rPr>
          <w:rFonts w:ascii="Times New Roman" w:hAnsi="Times New Roman"/>
          <w:b w:val="0"/>
          <w:i w:val="0"/>
          <w:u w:val="none"/>
        </w:rPr>
        <w:t>Metabolic disturbances such as hypoglycemia (blood glucose &lt;2.2 mmol/L) and lactic acidosis are common in severe falciparum malaria. (WHO, 2025)</w:t>
      </w:r>
    </w:p>
    <w:p>
      <w:pPr>
        <w:pStyle w:val="ListBullet"/>
        <w:numPr>
          <w:ilvl w:val="0"/>
          <w:numId w:val="10"/>
        </w:numPr>
        <w:spacing w:line="360" w:lineRule="auto"/>
        <w:ind w:left="720" w:hanging="360"/>
        <w:jc w:val="both"/>
      </w:pPr>
      <w:r>
        <w:rPr>
          <w:rFonts w:ascii="Times New Roman" w:hAnsi="Times New Roman"/>
          <w:b w:val="0"/>
          <w:i w:val="0"/>
          <w:u w:val="none"/>
        </w:rPr>
        <w:t>Dark or bloody urine may signal hemoglobinuria from intravascular hemolysis (“blackwater fever”). (WHO, 2025)</w:t>
      </w:r>
    </w:p>
    <w:p>
      <w:pPr>
        <w:pStyle w:val="ListBullet"/>
        <w:numPr>
          <w:ilvl w:val="0"/>
          <w:numId w:val="10"/>
        </w:numPr>
        <w:spacing w:line="360" w:lineRule="auto"/>
        <w:ind w:left="720" w:hanging="360"/>
        <w:jc w:val="both"/>
      </w:pPr>
      <w:r>
        <w:rPr>
          <w:rFonts w:ascii="Times New Roman" w:hAnsi="Times New Roman"/>
          <w:b w:val="0"/>
          <w:i w:val="0"/>
          <w:u w:val="none"/>
        </w:rPr>
        <w:t>In pregnancy, severe malaria increases the risk of maternal anemia, preterm labor, stillbirth, and delivery of low‑birth‑weight neonates. (WHO, 2025)</w:t>
      </w:r>
    </w:p>
    <w:p>
      <w:pPr>
        <w:pStyle w:val="ListBullet"/>
        <w:numPr>
          <w:ilvl w:val="0"/>
          <w:numId w:val="10"/>
        </w:numPr>
        <w:spacing w:line="360" w:lineRule="auto"/>
        <w:ind w:left="720" w:hanging="360"/>
        <w:jc w:val="both"/>
      </w:pPr>
      <w:r>
        <w:rPr>
          <w:rFonts w:ascii="Times New Roman" w:hAnsi="Times New Roman"/>
          <w:b w:val="0"/>
          <w:i w:val="0"/>
          <w:u w:val="none"/>
        </w:rPr>
        <w:t>Asymptomatic parasitemia can occur, particularly in individuals with partial immunity, posing a reservoir for transmission. (WHO, 2025)</w:t>
      </w:r>
    </w:p>
    <w:p>
      <w:pPr>
        <w:pStyle w:val="ListBullet"/>
        <w:numPr>
          <w:ilvl w:val="0"/>
          <w:numId w:val="10"/>
        </w:numPr>
        <w:spacing w:line="360" w:lineRule="auto"/>
        <w:ind w:left="720" w:hanging="360"/>
        <w:jc w:val="both"/>
      </w:pPr>
      <w:r>
        <w:rPr>
          <w:rFonts w:ascii="Times New Roman" w:hAnsi="Times New Roman"/>
          <w:b w:val="0"/>
          <w:i w:val="0"/>
          <w:u w:val="none"/>
        </w:rPr>
        <w:t>Clinical presentation may vary with the infecting Plasmodium species; P. vivax often causes milder disease but can produce severe anemia and splenic rupture. (WHO, 2025)</w:t>
      </w:r>
    </w:p>
    <w:p>
      <w:pPr>
        <w:pStyle w:val="CareStudyBody"/>
        <w:spacing w:line="360" w:lineRule="auto"/>
        <w:ind w:firstLine="0"/>
        <w:jc w:val="both"/>
      </w:pPr>
      <w:r>
        <w:rPr>
          <w:rFonts w:ascii="Times New Roman" w:hAnsi="Times New Roman"/>
          <w:b/>
          <w:i w:val="0"/>
          <w:u w:val="none"/>
        </w:rPr>
        <w:t>Diagnostic Investigations</w:t>
      </w:r>
    </w:p>
    <w:p>
      <w:pPr>
        <w:pStyle w:val="ListBullet"/>
        <w:numPr>
          <w:ilvl w:val="0"/>
          <w:numId w:val="10"/>
        </w:numPr>
        <w:spacing w:line="360" w:lineRule="auto"/>
        <w:ind w:left="720" w:hanging="360"/>
        <w:jc w:val="both"/>
      </w:pPr>
      <w:r>
        <w:rPr>
          <w:rFonts w:ascii="Times New Roman" w:hAnsi="Times New Roman"/>
          <w:b w:val="0"/>
          <w:i w:val="0"/>
          <w:u w:val="none"/>
        </w:rPr>
        <w:t>Prompt parasite‑based diagnostic testing is mandatory for all suspected malaria cases; microscopy of thick and thin blood smears remains the gold standard. (WHO, 2025)</w:t>
      </w:r>
    </w:p>
    <w:p>
      <w:pPr>
        <w:pStyle w:val="ListBullet"/>
        <w:numPr>
          <w:ilvl w:val="0"/>
          <w:numId w:val="10"/>
        </w:numPr>
        <w:spacing w:line="360" w:lineRule="auto"/>
        <w:ind w:left="720" w:hanging="360"/>
        <w:jc w:val="both"/>
      </w:pPr>
      <w:r>
        <w:rPr>
          <w:rFonts w:ascii="Times New Roman" w:hAnsi="Times New Roman"/>
          <w:b w:val="0"/>
          <w:i w:val="0"/>
          <w:u w:val="none"/>
        </w:rPr>
        <w:t>Rapid diagnostic tests (RDTs) detecting histidine‑rich protein 2 (HRP2) or Plasmodium lactate dehydrogenase (pLDH) are recommended where microscopy is unavailable. (WHO, 2025)</w:t>
      </w:r>
    </w:p>
    <w:p>
      <w:pPr>
        <w:pStyle w:val="ListBullet"/>
        <w:numPr>
          <w:ilvl w:val="0"/>
          <w:numId w:val="10"/>
        </w:numPr>
        <w:spacing w:line="360" w:lineRule="auto"/>
        <w:ind w:left="720" w:hanging="360"/>
        <w:jc w:val="both"/>
      </w:pPr>
      <w:r>
        <w:rPr>
          <w:rFonts w:ascii="Times New Roman" w:hAnsi="Times New Roman"/>
          <w:b w:val="0"/>
          <w:i w:val="0"/>
          <w:u w:val="none"/>
        </w:rPr>
        <w:t>Molecular methods such as PCR are useful for species identification and detecting low‑density infections but are not routinely required for clinical management. (WHO, 2025)</w:t>
      </w:r>
    </w:p>
    <w:p>
      <w:pPr>
        <w:pStyle w:val="ListBullet"/>
        <w:numPr>
          <w:ilvl w:val="0"/>
          <w:numId w:val="10"/>
        </w:numPr>
        <w:spacing w:line="360" w:lineRule="auto"/>
        <w:ind w:left="720" w:hanging="360"/>
        <w:jc w:val="both"/>
      </w:pPr>
      <w:r>
        <w:rPr>
          <w:rFonts w:ascii="Times New Roman" w:hAnsi="Times New Roman"/>
          <w:b w:val="0"/>
          <w:i w:val="0"/>
          <w:u w:val="none"/>
        </w:rPr>
        <w:t>A complete blood count (CBC) should be obtained to assess anemia, thrombocytopenia, and leukocytosis, which support clinical suspicion. (WHO, 2025)</w:t>
      </w:r>
    </w:p>
    <w:p>
      <w:pPr>
        <w:pStyle w:val="ListBullet"/>
        <w:numPr>
          <w:ilvl w:val="0"/>
          <w:numId w:val="10"/>
        </w:numPr>
        <w:spacing w:line="360" w:lineRule="auto"/>
        <w:ind w:left="720" w:hanging="360"/>
        <w:jc w:val="both"/>
      </w:pPr>
      <w:r>
        <w:rPr>
          <w:rFonts w:ascii="Times New Roman" w:hAnsi="Times New Roman"/>
          <w:b w:val="0"/>
          <w:i w:val="0"/>
          <w:u w:val="none"/>
        </w:rPr>
        <w:t>Blood glucose measurement is essential in severe malaria to detect and treat hypoglycemia promptly. (WHO, 2025)</w:t>
      </w:r>
    </w:p>
    <w:p>
      <w:pPr>
        <w:pStyle w:val="ListBullet"/>
        <w:numPr>
          <w:ilvl w:val="0"/>
          <w:numId w:val="10"/>
        </w:numPr>
        <w:spacing w:line="360" w:lineRule="auto"/>
        <w:ind w:left="720" w:hanging="360"/>
        <w:jc w:val="both"/>
      </w:pPr>
      <w:r>
        <w:rPr>
          <w:rFonts w:ascii="Times New Roman" w:hAnsi="Times New Roman"/>
          <w:b w:val="0"/>
          <w:i w:val="0"/>
          <w:u w:val="none"/>
        </w:rPr>
        <w:t>Serum creatinine and blood urea nitrogen evaluate renal function, especially in oliguric patients. (WHO, 2025)</w:t>
      </w:r>
    </w:p>
    <w:p>
      <w:pPr>
        <w:pStyle w:val="ListBullet"/>
        <w:numPr>
          <w:ilvl w:val="0"/>
          <w:numId w:val="10"/>
        </w:numPr>
        <w:spacing w:line="360" w:lineRule="auto"/>
        <w:ind w:left="720" w:hanging="360"/>
        <w:jc w:val="both"/>
      </w:pPr>
      <w:r>
        <w:rPr>
          <w:rFonts w:ascii="Times New Roman" w:hAnsi="Times New Roman"/>
          <w:b w:val="0"/>
          <w:i w:val="0"/>
          <w:u w:val="none"/>
        </w:rPr>
        <w:t>Liver function tests (bilirubin, transaminases) help identify hepatic involvement and monitor for complications. (WHO, 2025)</w:t>
      </w:r>
    </w:p>
    <w:p>
      <w:pPr>
        <w:pStyle w:val="ListBullet"/>
        <w:numPr>
          <w:ilvl w:val="0"/>
          <w:numId w:val="10"/>
        </w:numPr>
        <w:spacing w:line="360" w:lineRule="auto"/>
        <w:ind w:left="720" w:hanging="360"/>
        <w:jc w:val="both"/>
      </w:pPr>
      <w:r>
        <w:rPr>
          <w:rFonts w:ascii="Times New Roman" w:hAnsi="Times New Roman"/>
          <w:b w:val="0"/>
          <w:i w:val="0"/>
          <w:u w:val="none"/>
        </w:rPr>
        <w:t>Arterial blood gas or lactate measurement assists in identifying metabolic acidosis and guiding resuscitative efforts. (WHO, 2025)</w:t>
      </w:r>
    </w:p>
    <w:p>
      <w:pPr>
        <w:pStyle w:val="ListBullet"/>
        <w:numPr>
          <w:ilvl w:val="0"/>
          <w:numId w:val="10"/>
        </w:numPr>
        <w:spacing w:line="360" w:lineRule="auto"/>
        <w:ind w:left="720" w:hanging="360"/>
        <w:jc w:val="both"/>
      </w:pPr>
      <w:r>
        <w:rPr>
          <w:rFonts w:ascii="Times New Roman" w:hAnsi="Times New Roman"/>
          <w:b w:val="0"/>
          <w:i w:val="0"/>
          <w:u w:val="none"/>
        </w:rPr>
        <w:t>Urinalysis may reveal hemoglobinuria or proteinuria, indicative of intravascular hemolysis or renal injury. (WHO, 2025)</w:t>
      </w:r>
    </w:p>
    <w:p>
      <w:pPr>
        <w:pStyle w:val="ListBullet"/>
        <w:numPr>
          <w:ilvl w:val="0"/>
          <w:numId w:val="10"/>
        </w:numPr>
        <w:spacing w:line="360" w:lineRule="auto"/>
        <w:ind w:left="720" w:hanging="360"/>
        <w:jc w:val="both"/>
      </w:pPr>
      <w:r>
        <w:rPr>
          <w:rFonts w:ascii="Times New Roman" w:hAnsi="Times New Roman"/>
          <w:b w:val="0"/>
          <w:i w:val="0"/>
          <w:u w:val="none"/>
        </w:rPr>
        <w:t>Chest radiograph is considered when respiratory distress or pulmonary edema is suspected. (WHO, 2025)</w:t>
      </w:r>
    </w:p>
    <w:p>
      <w:pPr>
        <w:pStyle w:val="ListBullet"/>
        <w:numPr>
          <w:ilvl w:val="0"/>
          <w:numId w:val="10"/>
        </w:numPr>
        <w:spacing w:line="360" w:lineRule="auto"/>
        <w:ind w:left="720" w:hanging="360"/>
        <w:jc w:val="both"/>
      </w:pPr>
      <w:r>
        <w:rPr>
          <w:rFonts w:ascii="Times New Roman" w:hAnsi="Times New Roman"/>
          <w:b w:val="0"/>
          <w:i w:val="0"/>
          <w:u w:val="none"/>
        </w:rPr>
        <w:t>Lumbar puncture is performed if meningitis is a differential diagnosis in patients with altered consciousness. (WHO, 2025)</w:t>
      </w:r>
    </w:p>
    <w:p>
      <w:pPr>
        <w:pStyle w:val="ListBullet"/>
        <w:numPr>
          <w:ilvl w:val="0"/>
          <w:numId w:val="10"/>
        </w:numPr>
        <w:spacing w:line="360" w:lineRule="auto"/>
        <w:ind w:left="720" w:hanging="360"/>
        <w:jc w:val="both"/>
      </w:pPr>
      <w:r>
        <w:rPr>
          <w:rFonts w:ascii="Times New Roman" w:hAnsi="Times New Roman"/>
          <w:b w:val="0"/>
          <w:i w:val="0"/>
          <w:u w:val="none"/>
        </w:rPr>
        <w:t>Blood cultures are obtained in severe cases to rule out concomitant bacterial sepsis. (WHO, 2025)</w:t>
      </w:r>
    </w:p>
    <w:p>
      <w:pPr>
        <w:pStyle w:val="CareStudyBody"/>
        <w:spacing w:line="360" w:lineRule="auto"/>
        <w:ind w:firstLine="0"/>
        <w:jc w:val="both"/>
      </w:pPr>
      <w:r>
        <w:rPr>
          <w:rFonts w:ascii="Times New Roman" w:hAnsi="Times New Roman"/>
          <w:b/>
          <w:i w:val="0"/>
          <w:u w:val="none"/>
        </w:rPr>
        <w:t>Treatment and Management</w:t>
      </w:r>
    </w:p>
    <w:p>
      <w:pPr>
        <w:pStyle w:val="ListBullet"/>
        <w:numPr>
          <w:ilvl w:val="0"/>
          <w:numId w:val="10"/>
        </w:numPr>
        <w:spacing w:line="360" w:lineRule="auto"/>
        <w:ind w:left="720" w:hanging="360"/>
        <w:jc w:val="both"/>
      </w:pPr>
      <w:r>
        <w:rPr>
          <w:rFonts w:ascii="Times New Roman" w:hAnsi="Times New Roman"/>
          <w:b w:val="0"/>
          <w:i w:val="0"/>
          <w:u w:val="none"/>
        </w:rPr>
        <w:t>Uncomplicated Plasmodium falciparum malaria should be treated with an artemisinin‑based combination therapy (ACT) such as artemether‑lumefantrine, artesunate‑amodiaquine, or dihydroartemisinin‑piperaquine. (WHO, 2025)</w:t>
      </w:r>
    </w:p>
    <w:p>
      <w:pPr>
        <w:pStyle w:val="ListBullet"/>
        <w:numPr>
          <w:ilvl w:val="0"/>
          <w:numId w:val="10"/>
        </w:numPr>
        <w:spacing w:line="360" w:lineRule="auto"/>
        <w:ind w:left="720" w:hanging="360"/>
        <w:jc w:val="both"/>
      </w:pPr>
      <w:r>
        <w:rPr>
          <w:rFonts w:ascii="Times New Roman" w:hAnsi="Times New Roman"/>
          <w:b w:val="0"/>
          <w:i w:val="0"/>
          <w:u w:val="none"/>
        </w:rPr>
        <w:t>For patients weighing ≥5 kg, the standard ACT dose is based on the specific partner drug; for example, artemether‑lumefantrine is given as 20 mg/120 mg per dose twice daily for three days. (WHO, 2025)</w:t>
      </w:r>
    </w:p>
    <w:p>
      <w:pPr>
        <w:pStyle w:val="ListBullet"/>
        <w:numPr>
          <w:ilvl w:val="0"/>
          <w:numId w:val="10"/>
        </w:numPr>
        <w:spacing w:line="360" w:lineRule="auto"/>
        <w:ind w:left="720" w:hanging="360"/>
        <w:jc w:val="both"/>
      </w:pPr>
      <w:r>
        <w:rPr>
          <w:rFonts w:ascii="Times New Roman" w:hAnsi="Times New Roman"/>
          <w:b w:val="0"/>
          <w:i w:val="0"/>
          <w:u w:val="none"/>
        </w:rPr>
        <w:t>In areas with confirmed resistance to first‑line ACTs, alternative ACT regimens or ponaridine‑based combinations may be used under specialist guidance. (WHO, 2025)</w:t>
      </w:r>
    </w:p>
    <w:p>
      <w:pPr>
        <w:pStyle w:val="ListBullet"/>
        <w:numPr>
          <w:ilvl w:val="0"/>
          <w:numId w:val="10"/>
        </w:numPr>
        <w:spacing w:line="360" w:lineRule="auto"/>
        <w:ind w:left="720" w:hanging="360"/>
        <w:jc w:val="both"/>
      </w:pPr>
      <w:r>
        <w:rPr>
          <w:rFonts w:ascii="Times New Roman" w:hAnsi="Times New Roman"/>
          <w:b w:val="0"/>
          <w:i w:val="0"/>
          <w:u w:val="none"/>
        </w:rPr>
        <w:t>Artesunate intravenous or intramuscular injection is the preferred treatment for severe malaria in all age groups, administered as 2.4 mg/kg on admission, then at 12 h and 24 h, followed by once‑daily dosing until oral therapy can be completed. (WHO Model Formulary, 2008)</w:t>
      </w:r>
    </w:p>
    <w:p>
      <w:pPr>
        <w:pStyle w:val="ListBullet"/>
        <w:numPr>
          <w:ilvl w:val="0"/>
          <w:numId w:val="10"/>
        </w:numPr>
        <w:spacing w:line="360" w:lineRule="auto"/>
        <w:ind w:left="720" w:hanging="360"/>
        <w:jc w:val="both"/>
      </w:pPr>
      <w:r>
        <w:rPr>
          <w:rFonts w:ascii="Times New Roman" w:hAnsi="Times New Roman"/>
          <w:b w:val="0"/>
          <w:i w:val="0"/>
          <w:u w:val="none"/>
        </w:rPr>
        <w:t>If artesunate is unavailable, intravenous quinine (loading dose 20 mg salt/kg, then 10 mg/kg every 8 h) remains an alternative, though it carries a higher risk of hypoglycemia. (WHO, 2025)</w:t>
      </w:r>
    </w:p>
    <w:p>
      <w:pPr>
        <w:pStyle w:val="ListBullet"/>
        <w:numPr>
          <w:ilvl w:val="0"/>
          <w:numId w:val="10"/>
        </w:numPr>
        <w:spacing w:line="360" w:lineRule="auto"/>
        <w:ind w:left="720" w:hanging="360"/>
        <w:jc w:val="both"/>
      </w:pPr>
      <w:r>
        <w:rPr>
          <w:rFonts w:ascii="Times New Roman" w:hAnsi="Times New Roman"/>
          <w:b w:val="0"/>
          <w:i w:val="0"/>
          <w:u w:val="none"/>
        </w:rPr>
        <w:t>After parenteral artesunate therapy (≥24 h), a full course of an oral ACT should be completed to prevent recrudescence. (WHO, 2025)</w:t>
      </w:r>
    </w:p>
    <w:p>
      <w:pPr>
        <w:pStyle w:val="ListBullet"/>
        <w:numPr>
          <w:ilvl w:val="0"/>
          <w:numId w:val="10"/>
        </w:numPr>
        <w:spacing w:line="360" w:lineRule="auto"/>
        <w:ind w:left="720" w:hanging="360"/>
        <w:jc w:val="both"/>
      </w:pPr>
      <w:r>
        <w:rPr>
          <w:rFonts w:ascii="Times New Roman" w:hAnsi="Times New Roman"/>
          <w:b w:val="0"/>
          <w:i w:val="0"/>
          <w:u w:val="none"/>
        </w:rPr>
        <w:t>For multidrug‑resistant P. falciparum, doxycycline 100 mg orally twice daily for 7 days is recommended as an adjunct to artesunate or quinine therapy in adults and children over eight years. (WHO Model Formulary, 2008)</w:t>
      </w:r>
    </w:p>
    <w:p>
      <w:pPr>
        <w:pStyle w:val="ListBullet"/>
        <w:numPr>
          <w:ilvl w:val="0"/>
          <w:numId w:val="10"/>
        </w:numPr>
        <w:spacing w:line="360" w:lineRule="auto"/>
        <w:ind w:left="720" w:hanging="360"/>
        <w:jc w:val="both"/>
      </w:pPr>
      <w:r>
        <w:rPr>
          <w:rFonts w:ascii="Times New Roman" w:hAnsi="Times New Roman"/>
          <w:b w:val="0"/>
          <w:i w:val="0"/>
          <w:u w:val="none"/>
        </w:rPr>
        <w:t>Clindamycin may be used in combination with quinine for pregnant women in the first trimester or when doxycycline is contraindicated. (WHO, 2025)</w:t>
      </w:r>
    </w:p>
    <w:p>
      <w:pPr>
        <w:pStyle w:val="ListBullet"/>
        <w:numPr>
          <w:ilvl w:val="0"/>
          <w:numId w:val="10"/>
        </w:numPr>
        <w:spacing w:line="360" w:lineRule="auto"/>
        <w:ind w:left="720" w:hanging="360"/>
        <w:jc w:val="both"/>
      </w:pPr>
      <w:r>
        <w:rPr>
          <w:rFonts w:ascii="Times New Roman" w:hAnsi="Times New Roman"/>
          <w:b w:val="0"/>
          <w:i w:val="0"/>
          <w:u w:val="none"/>
        </w:rPr>
        <w:t>Primaquine (0.25 mg/kg base daily for 14 days) should be added to the treatment of P. vivax or P. ovale infections to eradicate hepatic hypnozoites, provided G6PD deficiency is excluded. (WHO, 2025)</w:t>
      </w:r>
    </w:p>
    <w:p>
      <w:pPr>
        <w:pStyle w:val="ListBullet"/>
        <w:numPr>
          <w:ilvl w:val="0"/>
          <w:numId w:val="10"/>
        </w:numPr>
        <w:spacing w:line="360" w:lineRule="auto"/>
        <w:ind w:left="720" w:hanging="360"/>
        <w:jc w:val="both"/>
      </w:pPr>
      <w:r>
        <w:rPr>
          <w:rFonts w:ascii="Times New Roman" w:hAnsi="Times New Roman"/>
          <w:b w:val="0"/>
          <w:i w:val="0"/>
          <w:u w:val="none"/>
        </w:rPr>
        <w:t>Supportive care includes correction of hypoglycemia with 5 % dextrose bolus followed by maintenance infusion, and administration of blood transfusion for severe anemia (hemoglobin &lt;5 g/dL or symptomatic). (WHO, 2025)</w:t>
      </w:r>
    </w:p>
    <w:p>
      <w:pPr>
        <w:pStyle w:val="ListBullet"/>
        <w:numPr>
          <w:ilvl w:val="0"/>
          <w:numId w:val="10"/>
        </w:numPr>
        <w:spacing w:line="360" w:lineRule="auto"/>
        <w:ind w:left="720" w:hanging="360"/>
        <w:jc w:val="both"/>
      </w:pPr>
      <w:r>
        <w:rPr>
          <w:rFonts w:ascii="Times New Roman" w:hAnsi="Times New Roman"/>
          <w:b w:val="0"/>
          <w:i w:val="0"/>
          <w:u w:val="none"/>
        </w:rPr>
        <w:t>Anticonvulsants such as diazepam or lorazepam are administered for seizures; phenobarbital may be used for refractory status epilepticus. (WHO, 2025)</w:t>
      </w:r>
    </w:p>
    <w:p>
      <w:pPr>
        <w:pStyle w:val="ListBullet"/>
        <w:numPr>
          <w:ilvl w:val="0"/>
          <w:numId w:val="10"/>
        </w:numPr>
        <w:spacing w:line="360" w:lineRule="auto"/>
        <w:ind w:left="720" w:hanging="360"/>
        <w:jc w:val="both"/>
      </w:pPr>
      <w:r>
        <w:rPr>
          <w:rFonts w:ascii="Times New Roman" w:hAnsi="Times New Roman"/>
          <w:b w:val="0"/>
          <w:i w:val="0"/>
          <w:u w:val="none"/>
        </w:rPr>
        <w:t>Respiratory distress with pulmonary edema warrants cautious fluid management, supplemental oxygen, and consideration of mechanical ventilation if needed. (WHO, 2025)</w:t>
      </w:r>
    </w:p>
    <w:p>
      <w:pPr>
        <w:pStyle w:val="ListBullet"/>
        <w:numPr>
          <w:ilvl w:val="0"/>
          <w:numId w:val="10"/>
        </w:numPr>
        <w:spacing w:line="360" w:lineRule="auto"/>
        <w:ind w:left="720" w:hanging="360"/>
        <w:jc w:val="both"/>
      </w:pPr>
      <w:r>
        <w:rPr>
          <w:rFonts w:ascii="Times New Roman" w:hAnsi="Times New Roman"/>
          <w:b w:val="0"/>
          <w:i w:val="0"/>
          <w:u w:val="none"/>
        </w:rPr>
        <w:t>Renal failure may require renal replacement therapy; close monitoring of fluid balance and electrolytes is essential. (WHO, 2025)</w:t>
      </w:r>
    </w:p>
    <w:p>
      <w:pPr>
        <w:pStyle w:val="ListBullet"/>
        <w:numPr>
          <w:ilvl w:val="0"/>
          <w:numId w:val="10"/>
        </w:numPr>
        <w:spacing w:line="360" w:lineRule="auto"/>
        <w:ind w:left="720" w:hanging="360"/>
        <w:jc w:val="both"/>
      </w:pPr>
      <w:r>
        <w:rPr>
          <w:rFonts w:ascii="Times New Roman" w:hAnsi="Times New Roman"/>
          <w:b w:val="0"/>
          <w:i w:val="0"/>
          <w:u w:val="none"/>
        </w:rPr>
        <w:t>For pregnant women with severe malaria, artesunate remains the drug of choice; quinine is avoided in the first trimester due to potential ototoxicity. (WHO, 2025)</w:t>
      </w:r>
    </w:p>
    <w:p>
      <w:pPr>
        <w:pStyle w:val="ListBullet"/>
        <w:numPr>
          <w:ilvl w:val="0"/>
          <w:numId w:val="10"/>
        </w:numPr>
        <w:spacing w:line="360" w:lineRule="auto"/>
        <w:ind w:left="720" w:hanging="360"/>
        <w:jc w:val="both"/>
      </w:pPr>
      <w:r>
        <w:rPr>
          <w:rFonts w:ascii="Times New Roman" w:hAnsi="Times New Roman"/>
          <w:b w:val="0"/>
          <w:i w:val="0"/>
          <w:u w:val="none"/>
        </w:rPr>
        <w:t>Intermittent preventive treatment in pregnancy (IPTp) with sulfadoxine‑pyrimethamine (SP) is recommended at each scheduled antenatal visit after the first trimester in moderate‑to‑high transmission areas. (WHO, 2025)</w:t>
      </w:r>
    </w:p>
    <w:p>
      <w:pPr>
        <w:pStyle w:val="ListBullet"/>
        <w:numPr>
          <w:ilvl w:val="0"/>
          <w:numId w:val="10"/>
        </w:numPr>
        <w:spacing w:line="360" w:lineRule="auto"/>
        <w:ind w:left="720" w:hanging="360"/>
        <w:jc w:val="both"/>
      </w:pPr>
      <w:r>
        <w:rPr>
          <w:rFonts w:ascii="Times New Roman" w:hAnsi="Times New Roman"/>
          <w:b w:val="0"/>
          <w:i w:val="0"/>
          <w:u w:val="none"/>
        </w:rPr>
        <w:t>Seasonal malaria chemoprevention (SMC) using sulfadoxine‑pyrimethamine plus amodiaquine is administered monthly to children aged 3–59 months during the high‑transmission season in the Sahel sub‑region. (WHO, 2025)</w:t>
      </w:r>
    </w:p>
    <w:p>
      <w:pPr>
        <w:pStyle w:val="ListBullet"/>
        <w:numPr>
          <w:ilvl w:val="0"/>
          <w:numId w:val="10"/>
        </w:numPr>
        <w:spacing w:line="360" w:lineRule="auto"/>
        <w:ind w:left="720" w:hanging="360"/>
        <w:jc w:val="both"/>
      </w:pPr>
      <w:r>
        <w:rPr>
          <w:rFonts w:ascii="Times New Roman" w:hAnsi="Times New Roman"/>
          <w:b w:val="0"/>
          <w:i w:val="0"/>
          <w:u w:val="none"/>
        </w:rPr>
        <w:t>The RTS,S/AS01 malaria vaccine is recommended for children living in regions with moderate to high P. falciparum transmission, given in a four‑dose schedule starting at five months of age. (WHO, 2025)</w:t>
      </w:r>
    </w:p>
    <w:p>
      <w:pPr>
        <w:pStyle w:val="ListBullet"/>
        <w:numPr>
          <w:ilvl w:val="0"/>
          <w:numId w:val="10"/>
        </w:numPr>
        <w:spacing w:line="360" w:lineRule="auto"/>
        <w:ind w:left="720" w:hanging="360"/>
        <w:jc w:val="both"/>
      </w:pPr>
      <w:r>
        <w:rPr>
          <w:rFonts w:ascii="Times New Roman" w:hAnsi="Times New Roman"/>
          <w:b w:val="0"/>
          <w:i w:val="0"/>
          <w:u w:val="none"/>
        </w:rPr>
        <w:t>The R21/Matrix‑M vaccine, recommended in October 2023, shows comparable efficacy and is being rolled out in several African countries. (WHO, 2025)</w:t>
      </w:r>
    </w:p>
    <w:p>
      <w:pPr>
        <w:pStyle w:val="ListBullet"/>
        <w:numPr>
          <w:ilvl w:val="0"/>
          <w:numId w:val="10"/>
        </w:numPr>
        <w:spacing w:line="360" w:lineRule="auto"/>
        <w:ind w:left="720" w:hanging="360"/>
        <w:jc w:val="both"/>
      </w:pPr>
      <w:r>
        <w:rPr>
          <w:rFonts w:ascii="Times New Roman" w:hAnsi="Times New Roman"/>
          <w:b w:val="0"/>
          <w:i w:val="0"/>
          <w:u w:val="none"/>
        </w:rPr>
        <w:t>Chemoprophylaxis for travelers includes doxycycline, atovaquone‑proguanil, or mefloquine, initiated before entry and continued for four weeks after leaving the endemic area. (WHO, 2025)</w:t>
      </w:r>
    </w:p>
    <w:p>
      <w:pPr>
        <w:pStyle w:val="ListBullet"/>
        <w:numPr>
          <w:ilvl w:val="0"/>
          <w:numId w:val="10"/>
        </w:numPr>
        <w:spacing w:line="360" w:lineRule="auto"/>
        <w:ind w:left="720" w:hanging="360"/>
        <w:jc w:val="both"/>
      </w:pPr>
      <w:r>
        <w:rPr>
          <w:rFonts w:ascii="Times New Roman" w:hAnsi="Times New Roman"/>
          <w:b w:val="0"/>
          <w:i w:val="0"/>
          <w:u w:val="none"/>
        </w:rPr>
        <w:t>Mass drug administration (MDA) may be considered in targeted elimination settings to reduce the parasite reservoir. (WHO, 2025)</w:t>
      </w:r>
    </w:p>
    <w:p>
      <w:pPr>
        <w:pStyle w:val="ListBullet"/>
        <w:numPr>
          <w:ilvl w:val="0"/>
          <w:numId w:val="10"/>
        </w:numPr>
        <w:spacing w:line="360" w:lineRule="auto"/>
        <w:ind w:left="720" w:hanging="360"/>
        <w:jc w:val="both"/>
      </w:pPr>
      <w:r>
        <w:rPr>
          <w:rFonts w:ascii="Times New Roman" w:hAnsi="Times New Roman"/>
          <w:b w:val="0"/>
          <w:i w:val="0"/>
          <w:u w:val="none"/>
        </w:rPr>
        <w:t>Post‑discharge malaria chemoprevention (PDMC) with an ACT is advised for children discharged after severe malaria to reduce readmission risk. (WHO, 2025)</w:t>
      </w:r>
    </w:p>
    <w:p>
      <w:pPr>
        <w:pStyle w:val="CareStudyBody"/>
        <w:spacing w:line="360" w:lineRule="auto"/>
        <w:ind w:firstLine="0"/>
        <w:jc w:val="both"/>
      </w:pPr>
      <w:r>
        <w:rPr>
          <w:rFonts w:ascii="Times New Roman" w:hAnsi="Times New Roman"/>
          <w:b/>
          <w:i w:val="0"/>
          <w:u w:val="none"/>
        </w:rPr>
        <w:t>Complications</w:t>
      </w:r>
    </w:p>
    <w:p>
      <w:pPr>
        <w:pStyle w:val="ListBullet"/>
        <w:numPr>
          <w:ilvl w:val="0"/>
          <w:numId w:val="10"/>
        </w:numPr>
        <w:spacing w:line="360" w:lineRule="auto"/>
        <w:ind w:left="720" w:hanging="360"/>
        <w:jc w:val="both"/>
      </w:pPr>
      <w:r>
        <w:rPr>
          <w:rFonts w:ascii="Times New Roman" w:hAnsi="Times New Roman"/>
          <w:b w:val="0"/>
          <w:i w:val="0"/>
          <w:u w:val="none"/>
        </w:rPr>
        <w:t>Severe anemia (hemoglobin &lt;5 g/dL) can result from intravascular hemolysis, bone marrow suppression, and phagocytosis of parasitized erythrocytes, leading to tissue hypoxia and high‑output cardiac failure. (WHO, 2025)</w:t>
      </w:r>
    </w:p>
    <w:p>
      <w:pPr>
        <w:pStyle w:val="ListBullet"/>
        <w:numPr>
          <w:ilvl w:val="0"/>
          <w:numId w:val="10"/>
        </w:numPr>
        <w:spacing w:line="360" w:lineRule="auto"/>
        <w:ind w:left="720" w:hanging="360"/>
        <w:jc w:val="both"/>
      </w:pPr>
      <w:r>
        <w:rPr>
          <w:rFonts w:ascii="Times New Roman" w:hAnsi="Times New Roman"/>
          <w:b w:val="0"/>
          <w:i w:val="0"/>
          <w:u w:val="none"/>
        </w:rPr>
        <w:t>Cerebral malaria, characterized by diffuse encephalopathy, seizures, and coma, arises from sequestration of parasitized erythrocytes in cerebral microvasculature, causing inflammation and hypoxia. (WHO, 2025)</w:t>
      </w:r>
    </w:p>
    <w:p>
      <w:pPr>
        <w:pStyle w:val="ListBullet"/>
        <w:numPr>
          <w:ilvl w:val="0"/>
          <w:numId w:val="10"/>
        </w:numPr>
        <w:spacing w:line="360" w:lineRule="auto"/>
        <w:ind w:left="720" w:hanging="360"/>
        <w:jc w:val="both"/>
      </w:pPr>
      <w:r>
        <w:rPr>
          <w:rFonts w:ascii="Times New Roman" w:hAnsi="Times New Roman"/>
          <w:b w:val="0"/>
          <w:i w:val="0"/>
          <w:u w:val="none"/>
        </w:rPr>
        <w:t>Respiratory distress may develop from acute pulmonary edema secondary to increased capillary permeability, or from acid‑base dysregulation due to lactic acidosis. (WHO, 2025)</w:t>
      </w:r>
    </w:p>
    <w:p>
      <w:pPr>
        <w:pStyle w:val="ListBullet"/>
        <w:numPr>
          <w:ilvl w:val="0"/>
          <w:numId w:val="10"/>
        </w:numPr>
        <w:spacing w:line="360" w:lineRule="auto"/>
        <w:ind w:left="720" w:hanging="360"/>
        <w:jc w:val="both"/>
      </w:pPr>
      <w:r>
        <w:rPr>
          <w:rFonts w:ascii="Times New Roman" w:hAnsi="Times New Roman"/>
          <w:b w:val="0"/>
          <w:i w:val="0"/>
          <w:u w:val="none"/>
        </w:rPr>
        <w:t>Acute kidney injury results from tubular necrosis, hypotension, and hemoglobinuria, potentially necessitating dialysis in severe cases. (WHO, 2025)</w:t>
      </w:r>
    </w:p>
    <w:p>
      <w:pPr>
        <w:pStyle w:val="ListBullet"/>
        <w:numPr>
          <w:ilvl w:val="0"/>
          <w:numId w:val="10"/>
        </w:numPr>
        <w:spacing w:line="360" w:lineRule="auto"/>
        <w:ind w:left="720" w:hanging="360"/>
        <w:jc w:val="both"/>
      </w:pPr>
      <w:r>
        <w:rPr>
          <w:rFonts w:ascii="Times New Roman" w:hAnsi="Times New Roman"/>
          <w:b w:val="0"/>
          <w:i w:val="0"/>
          <w:u w:val="none"/>
        </w:rPr>
        <w:t>Hypoglycemia is common in children and pregnant women due to increased hepatic glucose consumption by parasites and impaired gluconeogenesis. (WHO, 2025)</w:t>
      </w:r>
    </w:p>
    <w:p>
      <w:pPr>
        <w:pStyle w:val="ListBullet"/>
        <w:numPr>
          <w:ilvl w:val="0"/>
          <w:numId w:val="10"/>
        </w:numPr>
        <w:spacing w:line="360" w:lineRule="auto"/>
        <w:ind w:left="720" w:hanging="360"/>
        <w:jc w:val="both"/>
      </w:pPr>
      <w:r>
        <w:rPr>
          <w:rFonts w:ascii="Times New Roman" w:hAnsi="Times New Roman"/>
          <w:b w:val="0"/>
          <w:i w:val="0"/>
          <w:u w:val="none"/>
        </w:rPr>
        <w:t>Metabolic acidosis with elevated lactate levels reflects tissue hypoperfusion and mitochondrial dysfunction, contributing to multi‑organ failure. (WHO, 2025)</w:t>
      </w:r>
    </w:p>
    <w:p>
      <w:pPr>
        <w:pStyle w:val="ListBullet"/>
        <w:numPr>
          <w:ilvl w:val="0"/>
          <w:numId w:val="10"/>
        </w:numPr>
        <w:spacing w:line="360" w:lineRule="auto"/>
        <w:ind w:left="720" w:hanging="360"/>
        <w:jc w:val="both"/>
      </w:pPr>
      <w:r>
        <w:rPr>
          <w:rFonts w:ascii="Times New Roman" w:hAnsi="Times New Roman"/>
          <w:b w:val="0"/>
          <w:i w:val="0"/>
          <w:u w:val="none"/>
        </w:rPr>
        <w:t>Disseminated intravascular coagulation (DIC) manifests as bleeding from mucosal sites, petechiae, and thrombosis, triggered by endothelial injury and cytokine release. (WHO, 2025)</w:t>
      </w:r>
    </w:p>
    <w:p>
      <w:pPr>
        <w:pStyle w:val="ListBullet"/>
        <w:numPr>
          <w:ilvl w:val="0"/>
          <w:numId w:val="10"/>
        </w:numPr>
        <w:spacing w:line="360" w:lineRule="auto"/>
        <w:ind w:left="720" w:hanging="360"/>
        <w:jc w:val="both"/>
      </w:pPr>
      <w:r>
        <w:rPr>
          <w:rFonts w:ascii="Times New Roman" w:hAnsi="Times New Roman"/>
          <w:b w:val="0"/>
          <w:i w:val="0"/>
          <w:u w:val="none"/>
        </w:rPr>
        <w:t>Jaundice and elevated bilirubin indicate hepatic dysfunction or hemolysis; severe hepatic involvement is uncommon but possible. (WHO, 2025)</w:t>
      </w:r>
    </w:p>
    <w:p>
      <w:pPr>
        <w:pStyle w:val="ListBullet"/>
        <w:numPr>
          <w:ilvl w:val="0"/>
          <w:numId w:val="10"/>
        </w:numPr>
        <w:spacing w:line="360" w:lineRule="auto"/>
        <w:ind w:left="720" w:hanging="360"/>
        <w:jc w:val="both"/>
      </w:pPr>
      <w:r>
        <w:rPr>
          <w:rFonts w:ascii="Times New Roman" w:hAnsi="Times New Roman"/>
          <w:b w:val="0"/>
          <w:i w:val="0"/>
          <w:u w:val="none"/>
        </w:rPr>
        <w:t>Blackwater fever (hemoglobinuria) occurs when massive intravascular hemolysis releases free hemoglobin into the plasma, filtered by kidneys and appearing as dark urine. (WHO, 2025)</w:t>
      </w:r>
    </w:p>
    <w:p>
      <w:pPr>
        <w:pStyle w:val="ListBullet"/>
        <w:numPr>
          <w:ilvl w:val="0"/>
          <w:numId w:val="10"/>
        </w:numPr>
        <w:spacing w:line="360" w:lineRule="auto"/>
        <w:ind w:left="720" w:hanging="360"/>
        <w:jc w:val="both"/>
      </w:pPr>
      <w:r>
        <w:rPr>
          <w:rFonts w:ascii="Times New Roman" w:hAnsi="Times New Roman"/>
          <w:b w:val="0"/>
          <w:i w:val="0"/>
          <w:u w:val="none"/>
        </w:rPr>
        <w:t>Cardiovascular collapse (shock) can stem from severe anemia, acidosis, and capillary leak, requiring vasopressor support and aggressive resuscitation. (WHO, 2025)</w:t>
      </w:r>
    </w:p>
    <w:p>
      <w:pPr>
        <w:pStyle w:val="ListBullet"/>
        <w:numPr>
          <w:ilvl w:val="0"/>
          <w:numId w:val="10"/>
        </w:numPr>
        <w:spacing w:line="360" w:lineRule="auto"/>
        <w:ind w:left="720" w:hanging="360"/>
        <w:jc w:val="both"/>
      </w:pPr>
      <w:r>
        <w:rPr>
          <w:rFonts w:ascii="Times New Roman" w:hAnsi="Times New Roman"/>
          <w:b w:val="0"/>
          <w:i w:val="0"/>
          <w:u w:val="none"/>
        </w:rPr>
        <w:t>Pregnancy‑associated complications include maternal anemia, preterm labor, low birth weight, stillbirth, and increased risk of spontaneous abortion. (WHO, 2025)</w:t>
      </w:r>
    </w:p>
    <w:p>
      <w:pPr>
        <w:pStyle w:val="ListBullet"/>
        <w:numPr>
          <w:ilvl w:val="0"/>
          <w:numId w:val="10"/>
        </w:numPr>
        <w:spacing w:line="360" w:lineRule="auto"/>
        <w:ind w:left="720" w:hanging="360"/>
        <w:jc w:val="both"/>
      </w:pPr>
      <w:r>
        <w:rPr>
          <w:rFonts w:ascii="Times New Roman" w:hAnsi="Times New Roman"/>
          <w:b w:val="0"/>
          <w:i w:val="0"/>
          <w:u w:val="none"/>
        </w:rPr>
        <w:t>Splenic rupture, though rare, may occur in patients with massive splenomegaly secondary to chronic malaria or concomitant hemoglobinopathies. (WHO, 2025)</w:t>
      </w:r>
    </w:p>
    <w:p>
      <w:pPr>
        <w:pStyle w:val="ListBullet"/>
        <w:numPr>
          <w:ilvl w:val="0"/>
          <w:numId w:val="10"/>
        </w:numPr>
        <w:spacing w:line="360" w:lineRule="auto"/>
        <w:ind w:left="720" w:hanging="360"/>
        <w:jc w:val="both"/>
      </w:pPr>
      <w:r>
        <w:rPr>
          <w:rFonts w:ascii="Times New Roman" w:hAnsi="Times New Roman"/>
          <w:b w:val="0"/>
          <w:i w:val="0"/>
          <w:u w:val="none"/>
        </w:rPr>
        <w:t>Post‑treatment neurological sequelae such as cognitive deficits, behavioral changes, or epilepsy have been reported in children recovering from cerebral malaria. (WHO, 2025)</w:t>
      </w:r>
    </w:p>
    <w:p>
      <w:pPr>
        <w:pStyle w:val="ListBullet"/>
        <w:numPr>
          <w:ilvl w:val="0"/>
          <w:numId w:val="10"/>
        </w:numPr>
        <w:spacing w:line="360" w:lineRule="auto"/>
        <w:ind w:left="720" w:hanging="360"/>
        <w:jc w:val="both"/>
      </w:pPr>
      <w:r>
        <w:rPr>
          <w:rFonts w:ascii="Times New Roman" w:hAnsi="Times New Roman"/>
          <w:b w:val="0"/>
          <w:i w:val="0"/>
          <w:u w:val="none"/>
        </w:rPr>
        <w:t>Long‑term morbidity may include chronic kidney disease, neurocognitive impairment, and growth retardation in children experiencing repeated severe episodes. (WHO, 2025)</w:t>
      </w:r>
    </w:p>
    <w:p>
      <w:pPr>
        <w:pStyle w:val="ListBullet"/>
        <w:numPr>
          <w:ilvl w:val="0"/>
          <w:numId w:val="10"/>
        </w:numPr>
        <w:spacing w:line="360" w:lineRule="auto"/>
        <w:ind w:left="720" w:hanging="360"/>
        <w:jc w:val="both"/>
      </w:pPr>
      <w:r>
        <w:rPr>
          <w:rFonts w:ascii="Times New Roman" w:hAnsi="Times New Roman"/>
          <w:b w:val="0"/>
          <w:i w:val="0"/>
          <w:u w:val="none"/>
        </w:rPr>
        <w:t>Fatal outcomes are most often due to cerebral malaria, severe anemia, or multi‑organ failure, particularly when treatment is delayed beyond the first 24 hours of symptom onset. (WHO, 2025)</w:t>
      </w:r>
    </w:p>
    <w:p>
      <w:pPr>
        <w:pStyle w:val="CareStudyHeading2"/>
      </w:pPr>
      <w:r>
        <w:rPr>
          <w:rFonts w:ascii="Times New Roman" w:hAnsi="Times New Roman"/>
          <w:b w:val="0"/>
          <w:i w:val="0"/>
          <w:u w:val="none"/>
        </w:rPr>
        <w:t>1.11</w:t>
      </w:r>
    </w:p>
    <w:p>
      <w:pPr>
        <w:pStyle w:val="CareStudyBody"/>
        <w:spacing w:line="360" w:lineRule="auto"/>
        <w:ind w:firstLine="0"/>
        <w:jc w:val="both"/>
      </w:pPr>
      <w:r>
        <w:rPr>
          <w:rFonts w:ascii="Times New Roman" w:hAnsi="Times New Roman"/>
          <w:b w:val="0"/>
          <w:i w:val="0"/>
          <w:u w:val="none"/>
        </w:rPr>
        <w:t>The methods used to validate the data were all acceptable methods. No discrepancies were identified during the validation process, and therefore no resolution was required.</w:t>
      </w:r>
    </w:p>
    <w:p>
      <w:r>
        <w:br w:type="page"/>
      </w:r>
    </w:p>
    <w:p>
      <w:pPr>
        <w:pStyle w:val="CareStudyHeading1"/>
        <w:jc w:val="center"/>
      </w:pPr>
      <w:r>
        <w:rPr>
          <w:rFonts w:ascii="Times New Roman" w:hAnsi="Times New Roman"/>
          <w:b w:val="0"/>
          <w:i w:val="0"/>
          <w:u w:val="none"/>
        </w:rPr>
        <w:t>CHAPTER TWO</w:t>
        <w:br/>
        <w:t>ANALYSIS OF DATA</w:t>
      </w:r>
    </w:p>
    <w:p>
      <w:pPr>
        <w:pStyle w:val="CareStudyBody"/>
        <w:spacing w:line="360" w:lineRule="auto"/>
        <w:ind w:firstLine="0"/>
        <w:jc w:val="both"/>
      </w:pPr>
      <w:r>
        <w:rPr>
          <w:rFonts w:ascii="Times New Roman" w:hAnsi="Times New Roman"/>
          <w:b w:val="0"/>
          <w:i w:val="0"/>
          <w:u w:val="none"/>
        </w:rPr>
        <w:t>Analysis of data in nursing involves the systematic examination of assessment information to identify expected versus unexpected findings and to formulate hypotheses for nursing diagnoses (Open RN, 2024). This chapter presents the analyzed data organized into subsections: comparison of patient findings with literature standards, pharmacology of prescribed drugs, identification of actual and potential health problems, patient and family strengths, and derivation of nursing diagnoses. By contrasting the patient’s data with evidence‑based norms, the chapter highlights gaps and risks that inform clinical reasoning. The resulting synthesis supports prioritization of care using Maslow’s hierarchy and guides the development of an individualized nursing care plan. Ultimately, this analysis provides the foundation for establishing expected outcomes, selecting appropriate interventions, and evaluating the effectiveness of care.</w:t>
      </w:r>
    </w:p>
    <w:p>
      <w:pPr>
        <w:pStyle w:val="CareStudyHeading2"/>
      </w:pPr>
      <w:r>
        <w:rPr>
          <w:rFonts w:ascii="Times New Roman" w:hAnsi="Times New Roman"/>
          <w:b w:val="0"/>
          <w:i w:val="0"/>
          <w:u w:val="none"/>
        </w:rPr>
        <w:t>2.1</w:t>
      </w:r>
    </w:p>
    <w:p>
      <w:pPr>
        <w:pStyle w:val="CareStudyBody"/>
        <w:spacing w:line="360" w:lineRule="auto"/>
        <w:ind w:firstLine="0"/>
        <w:jc w:val="both"/>
      </w:pPr>
      <w:r>
        <w:rPr>
          <w:rFonts w:ascii="Times New Roman" w:hAnsi="Times New Roman"/>
          <w:b w:val="0"/>
          <w:i w:val="0"/>
          <w:u w:val="none"/>
        </w:rPr>
        <w:t>Comparison of patient data with established standards involves aligning diagnostic investigations, clinical features, treatment, and complications with evidence‑based guidelines (WHO, 2025).</w:t>
      </w:r>
    </w:p>
    <w:p>
      <w:pPr>
        <w:pStyle w:val="CareStudyBody"/>
        <w:spacing w:line="360" w:lineRule="auto"/>
        <w:ind w:firstLine="0"/>
        <w:jc w:val="both"/>
      </w:pPr>
      <w:r>
        <w:rPr>
          <w:rFonts w:ascii="Times New Roman" w:hAnsi="Times New Roman"/>
          <w:b/>
          <w:i w:val="0"/>
          <w:u w:val="none"/>
        </w:rPr>
        <w:t>Diagnostic investigations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pStyle w:val="CareStudyTableHeader"/>
            </w:pPr>
            <w:r/>
            <w:r>
              <w:rPr>
                <w:rFonts w:ascii="Times New Roman" w:hAnsi="Times New Roman"/>
                <w:b w:val="0"/>
                <w:i w:val="0"/>
                <w:u w:val="none"/>
              </w:rPr>
              <w:t>Investigation</w:t>
            </w:r>
          </w:p>
        </w:tc>
        <w:tc>
          <w:tcPr>
            <w:tcW w:type="dxa" w:w="2340"/>
            <w:shd w:val="clear" w:color="auto" w:fill="D9D9D9"/>
          </w:tcPr>
          <w:p>
            <w:pPr>
              <w:pStyle w:val="CareStudyTableHeader"/>
            </w:pPr>
            <w:r/>
            <w:r>
              <w:rPr>
                <w:rFonts w:ascii="Times New Roman" w:hAnsi="Times New Roman"/>
                <w:b w:val="0"/>
                <w:i w:val="0"/>
                <w:u w:val="none"/>
              </w:rPr>
              <w:t>Literature standard or clinical purpose</w:t>
            </w:r>
          </w:p>
        </w:tc>
        <w:tc>
          <w:tcPr>
            <w:tcW w:type="dxa" w:w="2340"/>
            <w:shd w:val="clear" w:color="auto" w:fill="D9D9D9"/>
          </w:tcPr>
          <w:p>
            <w:pPr>
              <w:pStyle w:val="CareStudyTableHeader"/>
            </w:pPr>
            <w:r/>
            <w:r>
              <w:rPr>
                <w:rFonts w:ascii="Times New Roman" w:hAnsi="Times New Roman"/>
                <w:b w:val="0"/>
                <w:i w:val="0"/>
                <w:u w:val="none"/>
              </w:rPr>
              <w:t>Patient investigation/finding</w:t>
            </w:r>
          </w:p>
        </w:tc>
        <w:tc>
          <w:tcPr>
            <w:tcW w:type="dxa" w:w="2340"/>
            <w:shd w:val="clear" w:color="auto" w:fill="D9D9D9"/>
          </w:tcPr>
          <w:p>
            <w:pPr>
              <w:pStyle w:val="CareStudyTableHeader"/>
            </w:pPr>
            <w:r/>
            <w:r>
              <w:rPr>
                <w:rFonts w:ascii="Times New Roman" w:hAnsi="Times New Roman"/>
                <w:b w:val="0"/>
                <w:i w:val="0"/>
                <w:u w:val="none"/>
              </w:rPr>
              <w:t>Comparison</w:t>
            </w:r>
          </w:p>
        </w:tc>
      </w:tr>
      <w:tr>
        <w:tc>
          <w:tcPr>
            <w:tcW w:type="dxa" w:w="2340"/>
          </w:tcPr>
          <w:p>
            <w:pPr>
              <w:pStyle w:val="CareStudyTableCell"/>
            </w:pPr>
            <w:r/>
            <w:r>
              <w:rPr>
                <w:rFonts w:ascii="Times New Roman" w:hAnsi="Times New Roman"/>
                <w:b w:val="0"/>
                <w:i w:val="0"/>
                <w:u w:val="none"/>
              </w:rPr>
              <w:t>Full blood count (CBC)</w:t>
            </w:r>
          </w:p>
        </w:tc>
        <w:tc>
          <w:tcPr>
            <w:tcW w:type="dxa" w:w="2340"/>
          </w:tcPr>
          <w:p>
            <w:pPr>
              <w:pStyle w:val="CareStudyTableCell"/>
            </w:pPr>
            <w:r/>
            <w:r>
              <w:rPr>
                <w:rFonts w:ascii="Times New Roman" w:hAnsi="Times New Roman"/>
                <w:b w:val="0"/>
                <w:i w:val="0"/>
                <w:u w:val="none"/>
              </w:rPr>
              <w:t>Assess anemia, thrombocytopenia, leukocytosis (WHO, 2025)</w:t>
            </w:r>
          </w:p>
        </w:tc>
        <w:tc>
          <w:tcPr>
            <w:tcW w:type="dxa" w:w="2340"/>
          </w:tcPr>
          <w:p>
            <w:pPr>
              <w:pStyle w:val="CareStudyTableCell"/>
            </w:pPr>
            <w:r/>
            <w:r>
              <w:rPr>
                <w:rFonts w:ascii="Times New Roman" w:hAnsi="Times New Roman"/>
                <w:b w:val="0"/>
                <w:i w:val="0"/>
                <w:u w:val="none"/>
              </w:rPr>
              <w:t>FBC performed</w:t>
            </w:r>
          </w:p>
        </w:tc>
        <w:tc>
          <w:tcPr>
            <w:tcW w:type="dxa" w:w="2340"/>
          </w:tcPr>
          <w:p>
            <w:pPr>
              <w:pStyle w:val="CareStudyTableCell"/>
            </w:pPr>
            <w:r/>
            <w:r>
              <w:rPr>
                <w:rFonts w:ascii="Times New Roman" w:hAnsi="Times New Roman"/>
                <w:b w:val="0"/>
                <w:i w:val="0"/>
                <w:u w:val="none"/>
              </w:rPr>
              <w:t>Supportive</w:t>
            </w:r>
          </w:p>
        </w:tc>
      </w:tr>
      <w:tr>
        <w:tc>
          <w:tcPr>
            <w:tcW w:type="dxa" w:w="2340"/>
          </w:tcPr>
          <w:p>
            <w:pPr>
              <w:pStyle w:val="CareStudyTableCell"/>
            </w:pPr>
            <w:r/>
            <w:r>
              <w:rPr>
                <w:rFonts w:ascii="Times New Roman" w:hAnsi="Times New Roman"/>
                <w:b w:val="0"/>
                <w:i w:val="0"/>
                <w:u w:val="none"/>
              </w:rPr>
              <w:t>Blood film for malaria parasite</w:t>
            </w:r>
          </w:p>
        </w:tc>
        <w:tc>
          <w:tcPr>
            <w:tcW w:type="dxa" w:w="2340"/>
          </w:tcPr>
          <w:p>
            <w:pPr>
              <w:pStyle w:val="CareStudyTableCell"/>
            </w:pPr>
            <w:r/>
            <w:r>
              <w:rPr>
                <w:rFonts w:ascii="Times New Roman" w:hAnsi="Times New Roman"/>
                <w:b w:val="0"/>
                <w:i w:val="0"/>
                <w:u w:val="none"/>
              </w:rPr>
              <w:t>Gold standard for parasite detection (microscopy) (WHO, 2025)</w:t>
            </w:r>
          </w:p>
        </w:tc>
        <w:tc>
          <w:tcPr>
            <w:tcW w:type="dxa" w:w="2340"/>
          </w:tcPr>
          <w:p>
            <w:pPr>
              <w:pStyle w:val="CareStudyTableCell"/>
            </w:pPr>
            <w:r/>
            <w:r>
              <w:rPr>
                <w:rFonts w:ascii="Times New Roman" w:hAnsi="Times New Roman"/>
                <w:b w:val="0"/>
                <w:i w:val="0"/>
                <w:u w:val="none"/>
              </w:rPr>
              <w:t>Blood film done</w:t>
            </w:r>
          </w:p>
        </w:tc>
        <w:tc>
          <w:tcPr>
            <w:tcW w:type="dxa" w:w="2340"/>
          </w:tcPr>
          <w:p>
            <w:pPr>
              <w:pStyle w:val="CareStudyTableCell"/>
            </w:pPr>
            <w:r/>
            <w:r>
              <w:rPr>
                <w:rFonts w:ascii="Times New Roman" w:hAnsi="Times New Roman"/>
                <w:b w:val="0"/>
                <w:i w:val="0"/>
                <w:u w:val="none"/>
              </w:rPr>
              <w:t>Directly relevant</w:t>
            </w:r>
          </w:p>
        </w:tc>
      </w:tr>
      <w:tr>
        <w:tc>
          <w:tcPr>
            <w:tcW w:type="dxa" w:w="2340"/>
          </w:tcPr>
          <w:p>
            <w:pPr>
              <w:pStyle w:val="CareStudyTableCell"/>
            </w:pPr>
            <w:r/>
            <w:r>
              <w:rPr>
                <w:rFonts w:ascii="Times New Roman" w:hAnsi="Times New Roman"/>
                <w:b w:val="0"/>
                <w:i w:val="0"/>
                <w:u w:val="none"/>
              </w:rPr>
              <w:t>Widal test</w:t>
            </w:r>
          </w:p>
        </w:tc>
        <w:tc>
          <w:tcPr>
            <w:tcW w:type="dxa" w:w="2340"/>
          </w:tcPr>
          <w:p>
            <w:pPr>
              <w:pStyle w:val="CareStudyTableCell"/>
            </w:pPr>
            <w:r/>
            <w:r>
              <w:rPr>
                <w:rFonts w:ascii="Times New Roman" w:hAnsi="Times New Roman"/>
                <w:b w:val="0"/>
                <w:i w:val="0"/>
                <w:u w:val="none"/>
              </w:rPr>
              <w:t>Detects Salmonella typhi antibodies; not a malaria test (WHO, 2025)</w:t>
            </w:r>
          </w:p>
        </w:tc>
        <w:tc>
          <w:tcPr>
            <w:tcW w:type="dxa" w:w="2340"/>
          </w:tcPr>
          <w:p>
            <w:pPr>
              <w:pStyle w:val="CareStudyTableCell"/>
            </w:pPr>
            <w:r/>
            <w:r>
              <w:rPr>
                <w:rFonts w:ascii="Times New Roman" w:hAnsi="Times New Roman"/>
                <w:b w:val="0"/>
                <w:i w:val="0"/>
                <w:u w:val="none"/>
              </w:rPr>
              <w:t>Widal test done</w:t>
            </w:r>
          </w:p>
        </w:tc>
        <w:tc>
          <w:tcPr>
            <w:tcW w:type="dxa" w:w="2340"/>
          </w:tcPr>
          <w:p>
            <w:pPr>
              <w:pStyle w:val="CareStudyTableCell"/>
            </w:pPr>
            <w:r/>
            <w:r>
              <w:rPr>
                <w:rFonts w:ascii="Times New Roman" w:hAnsi="Times New Roman"/>
                <w:b w:val="0"/>
                <w:i w:val="0"/>
                <w:u w:val="none"/>
              </w:rPr>
              <w:t>Possible differential</w:t>
            </w:r>
          </w:p>
        </w:tc>
      </w:tr>
      <w:tr>
        <w:tc>
          <w:tcPr>
            <w:tcW w:type="dxa" w:w="2340"/>
          </w:tcPr>
          <w:p>
            <w:pPr>
              <w:pStyle w:val="CareStudyTableCell"/>
            </w:pPr>
            <w:r/>
            <w:r>
              <w:rPr>
                <w:rFonts w:ascii="Times New Roman" w:hAnsi="Times New Roman"/>
                <w:b w:val="0"/>
                <w:i w:val="0"/>
                <w:u w:val="none"/>
              </w:rPr>
              <w:t>H. pylori test</w:t>
            </w:r>
          </w:p>
        </w:tc>
        <w:tc>
          <w:tcPr>
            <w:tcW w:type="dxa" w:w="2340"/>
          </w:tcPr>
          <w:p>
            <w:pPr>
              <w:pStyle w:val="CareStudyTableCell"/>
            </w:pPr>
            <w:r/>
            <w:r>
              <w:rPr>
                <w:rFonts w:ascii="Times New Roman" w:hAnsi="Times New Roman"/>
                <w:b w:val="0"/>
                <w:i w:val="0"/>
                <w:u w:val="none"/>
              </w:rPr>
              <w:t>Detects Helicobacter pylori infection; not a malaria test (WHO, 2025)</w:t>
            </w:r>
          </w:p>
        </w:tc>
        <w:tc>
          <w:tcPr>
            <w:tcW w:type="dxa" w:w="2340"/>
          </w:tcPr>
          <w:p>
            <w:pPr>
              <w:pStyle w:val="CareStudyTableCell"/>
            </w:pPr>
            <w:r/>
            <w:r>
              <w:rPr>
                <w:rFonts w:ascii="Times New Roman" w:hAnsi="Times New Roman"/>
                <w:b w:val="0"/>
                <w:i w:val="0"/>
                <w:u w:val="none"/>
              </w:rPr>
              <w:t>H-pylori test done</w:t>
            </w:r>
          </w:p>
        </w:tc>
        <w:tc>
          <w:tcPr>
            <w:tcW w:type="dxa" w:w="2340"/>
          </w:tcPr>
          <w:p>
            <w:pPr>
              <w:pStyle w:val="CareStudyTableCell"/>
            </w:pPr>
            <w:r/>
            <w:r>
              <w:rPr>
                <w:rFonts w:ascii="Times New Roman" w:hAnsi="Times New Roman"/>
                <w:b w:val="0"/>
                <w:i w:val="0"/>
                <w:u w:val="none"/>
              </w:rPr>
              <w:t>Possible differential</w:t>
            </w:r>
          </w:p>
        </w:tc>
      </w:tr>
    </w:tbl>
    <w:p>
      <w:pPr>
        <w:pStyle w:val="CareStudyBody"/>
        <w:spacing w:line="360" w:lineRule="auto"/>
        <w:ind w:firstLine="0"/>
        <w:jc w:val="both"/>
      </w:pPr>
      <w:r>
        <w:rPr>
          <w:rFonts w:ascii="Times New Roman" w:hAnsi="Times New Roman"/>
          <w:b w:val="0"/>
          <w:i w:val="0"/>
          <w:u w:val="none"/>
        </w:rPr>
        <w:t>The patient underwent a CBC and malaria blood film, which are supportive and directly relevant for malaria assessment, while the Widal and H. pylori tests target alternative diagnoses.</w:t>
      </w:r>
    </w:p>
    <w:p>
      <w:pPr>
        <w:pStyle w:val="CareStudyBody"/>
        <w:spacing w:line="360" w:lineRule="auto"/>
        <w:ind w:firstLine="0"/>
        <w:jc w:val="both"/>
      </w:pPr>
      <w:r>
        <w:rPr>
          <w:rFonts w:ascii="Times New Roman" w:hAnsi="Times New Roman"/>
          <w:b/>
          <w:i w:val="0"/>
          <w:u w:val="none"/>
        </w:rPr>
        <w:t>Clinical features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pStyle w:val="CareStudyTableHeader"/>
            </w:pPr>
            <w:r/>
            <w:r>
              <w:rPr>
                <w:rFonts w:ascii="Times New Roman" w:hAnsi="Times New Roman"/>
                <w:b w:val="0"/>
                <w:i w:val="0"/>
                <w:u w:val="none"/>
              </w:rPr>
              <w:t>Literature feature</w:t>
            </w:r>
          </w:p>
        </w:tc>
        <w:tc>
          <w:tcPr>
            <w:tcW w:type="dxa" w:w="3120"/>
            <w:shd w:val="clear" w:color="auto" w:fill="D9D9D9"/>
          </w:tcPr>
          <w:p>
            <w:pPr>
              <w:pStyle w:val="CareStudyTableHeader"/>
            </w:pPr>
            <w:r/>
            <w:r>
              <w:rPr>
                <w:rFonts w:ascii="Times New Roman" w:hAnsi="Times New Roman"/>
                <w:b w:val="0"/>
                <w:i w:val="0"/>
                <w:u w:val="none"/>
              </w:rPr>
              <w:t>Patient presentation</w:t>
            </w:r>
          </w:p>
        </w:tc>
        <w:tc>
          <w:tcPr>
            <w:tcW w:type="dxa" w:w="3120"/>
            <w:shd w:val="clear" w:color="auto" w:fill="D9D9D9"/>
          </w:tcPr>
          <w:p>
            <w:pPr>
              <w:pStyle w:val="CareStudyTableHeader"/>
            </w:pPr>
            <w:r/>
            <w:r>
              <w:rPr>
                <w:rFonts w:ascii="Times New Roman" w:hAnsi="Times New Roman"/>
                <w:b w:val="0"/>
                <w:i w:val="0"/>
                <w:u w:val="none"/>
              </w:rPr>
              <w:t>Comparison</w:t>
            </w:r>
          </w:p>
        </w:tc>
      </w:tr>
      <w:tr>
        <w:tc>
          <w:tcPr>
            <w:tcW w:type="dxa" w:w="3120"/>
          </w:tcPr>
          <w:p>
            <w:pPr>
              <w:pStyle w:val="CareStudyTableCell"/>
            </w:pPr>
            <w:r/>
            <w:r>
              <w:rPr>
                <w:rFonts w:ascii="Times New Roman" w:hAnsi="Times New Roman"/>
                <w:b w:val="0"/>
                <w:i w:val="0"/>
                <w:u w:val="none"/>
              </w:rPr>
              <w:t>Fever</w:t>
            </w:r>
          </w:p>
        </w:tc>
        <w:tc>
          <w:tcPr>
            <w:tcW w:type="dxa" w:w="3120"/>
          </w:tcPr>
          <w:p>
            <w:pPr>
              <w:pStyle w:val="CareStudyTableCell"/>
            </w:pPr>
            <w:r/>
            <w:r>
              <w:rPr>
                <w:rFonts w:ascii="Times New Roman" w:hAnsi="Times New Roman"/>
                <w:b w:val="0"/>
                <w:i w:val="0"/>
                <w:u w:val="none"/>
              </w:rPr>
              <w:t>Present</w:t>
            </w:r>
          </w:p>
        </w:tc>
        <w:tc>
          <w:tcPr>
            <w:tcW w:type="dxa" w:w="3120"/>
          </w:tcPr>
          <w:p>
            <w:pPr>
              <w:pStyle w:val="CareStudyTableCell"/>
            </w:pPr>
            <w:r/>
            <w:r>
              <w:rPr>
                <w:rFonts w:ascii="Times New Roman" w:hAnsi="Times New Roman"/>
                <w:b w:val="0"/>
                <w:i w:val="0"/>
                <w:u w:val="none"/>
              </w:rPr>
              <w:t>Consistent</w:t>
            </w:r>
          </w:p>
        </w:tc>
      </w:tr>
      <w:tr>
        <w:tc>
          <w:tcPr>
            <w:tcW w:type="dxa" w:w="3120"/>
          </w:tcPr>
          <w:p>
            <w:pPr>
              <w:pStyle w:val="CareStudyTableCell"/>
            </w:pPr>
            <w:r/>
            <w:r>
              <w:rPr>
                <w:rFonts w:ascii="Times New Roman" w:hAnsi="Times New Roman"/>
                <w:b w:val="0"/>
                <w:i w:val="0"/>
                <w:u w:val="none"/>
              </w:rPr>
              <w:t>Headache</w:t>
            </w:r>
          </w:p>
        </w:tc>
        <w:tc>
          <w:tcPr>
            <w:tcW w:type="dxa" w:w="3120"/>
          </w:tcPr>
          <w:p>
            <w:pPr>
              <w:pStyle w:val="CareStudyTableCell"/>
            </w:pPr>
            <w:r/>
            <w:r>
              <w:rPr>
                <w:rFonts w:ascii="Times New Roman" w:hAnsi="Times New Roman"/>
                <w:b w:val="0"/>
                <w:i w:val="0"/>
                <w:u w:val="none"/>
              </w:rPr>
              <w:t>Present</w:t>
            </w:r>
          </w:p>
        </w:tc>
        <w:tc>
          <w:tcPr>
            <w:tcW w:type="dxa" w:w="3120"/>
          </w:tcPr>
          <w:p>
            <w:pPr>
              <w:pStyle w:val="CareStudyTableCell"/>
            </w:pPr>
            <w:r/>
            <w:r>
              <w:rPr>
                <w:rFonts w:ascii="Times New Roman" w:hAnsi="Times New Roman"/>
                <w:b w:val="0"/>
                <w:i w:val="0"/>
                <w:u w:val="none"/>
              </w:rPr>
              <w:t>Consistent</w:t>
            </w:r>
          </w:p>
        </w:tc>
      </w:tr>
      <w:tr>
        <w:tc>
          <w:tcPr>
            <w:tcW w:type="dxa" w:w="3120"/>
          </w:tcPr>
          <w:p>
            <w:pPr>
              <w:pStyle w:val="CareStudyTableCell"/>
            </w:pPr>
            <w:r/>
            <w:r>
              <w:rPr>
                <w:rFonts w:ascii="Times New Roman" w:hAnsi="Times New Roman"/>
                <w:b w:val="0"/>
                <w:i w:val="0"/>
                <w:u w:val="none"/>
              </w:rPr>
              <w:t>Abdominal pain</w:t>
            </w:r>
          </w:p>
        </w:tc>
        <w:tc>
          <w:tcPr>
            <w:tcW w:type="dxa" w:w="3120"/>
          </w:tcPr>
          <w:p>
            <w:pPr>
              <w:pStyle w:val="CareStudyTableCell"/>
            </w:pPr>
            <w:r/>
            <w:r>
              <w:rPr>
                <w:rFonts w:ascii="Times New Roman" w:hAnsi="Times New Roman"/>
                <w:b w:val="0"/>
                <w:i w:val="0"/>
                <w:u w:val="none"/>
              </w:rPr>
              <w:t>Present</w:t>
            </w:r>
          </w:p>
        </w:tc>
        <w:tc>
          <w:tcPr>
            <w:tcW w:type="dxa" w:w="3120"/>
          </w:tcPr>
          <w:p>
            <w:pPr>
              <w:pStyle w:val="CareStudyTableCell"/>
            </w:pPr>
            <w:r/>
            <w:r>
              <w:rPr>
                <w:rFonts w:ascii="Times New Roman" w:hAnsi="Times New Roman"/>
                <w:b w:val="0"/>
                <w:i w:val="0"/>
                <w:u w:val="none"/>
              </w:rPr>
              <w:t>Consistent</w:t>
            </w:r>
          </w:p>
        </w:tc>
      </w:tr>
      <w:tr>
        <w:tc>
          <w:tcPr>
            <w:tcW w:type="dxa" w:w="3120"/>
          </w:tcPr>
          <w:p>
            <w:pPr>
              <w:pStyle w:val="CareStudyTableCell"/>
            </w:pPr>
            <w:r/>
            <w:r>
              <w:rPr>
                <w:rFonts w:ascii="Times New Roman" w:hAnsi="Times New Roman"/>
                <w:b w:val="0"/>
                <w:i w:val="0"/>
                <w:u w:val="none"/>
              </w:rPr>
              <w:t>Nausea/vomiting</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r>
        <w:tc>
          <w:tcPr>
            <w:tcW w:type="dxa" w:w="3120"/>
          </w:tcPr>
          <w:p>
            <w:pPr>
              <w:pStyle w:val="CareStudyTableCell"/>
            </w:pPr>
            <w:r/>
            <w:r>
              <w:rPr>
                <w:rFonts w:ascii="Times New Roman" w:hAnsi="Times New Roman"/>
                <w:b w:val="0"/>
                <w:i w:val="0"/>
                <w:u w:val="none"/>
              </w:rPr>
              <w:t>Weakness/fatigue</w:t>
            </w:r>
          </w:p>
        </w:tc>
        <w:tc>
          <w:tcPr>
            <w:tcW w:type="dxa" w:w="3120"/>
          </w:tcPr>
          <w:p>
            <w:pPr>
              <w:pStyle w:val="CareStudyTableCell"/>
            </w:pPr>
            <w:r/>
            <w:r>
              <w:rPr>
                <w:rFonts w:ascii="Times New Roman" w:hAnsi="Times New Roman"/>
                <w:b w:val="0"/>
                <w:i w:val="0"/>
                <w:u w:val="none"/>
              </w:rPr>
              <w:t>Present (weakness, general body weakness)</w:t>
            </w:r>
          </w:p>
        </w:tc>
        <w:tc>
          <w:tcPr>
            <w:tcW w:type="dxa" w:w="3120"/>
          </w:tcPr>
          <w:p>
            <w:pPr>
              <w:pStyle w:val="CareStudyTableCell"/>
            </w:pPr>
            <w:r/>
            <w:r>
              <w:rPr>
                <w:rFonts w:ascii="Times New Roman" w:hAnsi="Times New Roman"/>
                <w:b w:val="0"/>
                <w:i w:val="0"/>
                <w:u w:val="none"/>
              </w:rPr>
              <w:t>Consistent</w:t>
            </w:r>
          </w:p>
        </w:tc>
      </w:tr>
      <w:tr>
        <w:tc>
          <w:tcPr>
            <w:tcW w:type="dxa" w:w="3120"/>
          </w:tcPr>
          <w:p>
            <w:pPr>
              <w:pStyle w:val="CareStudyTableCell"/>
            </w:pPr>
            <w:r/>
            <w:r>
              <w:rPr>
                <w:rFonts w:ascii="Times New Roman" w:hAnsi="Times New Roman"/>
                <w:b w:val="0"/>
                <w:i w:val="0"/>
                <w:u w:val="none"/>
              </w:rPr>
              <w:t>Dizziness</w:t>
            </w:r>
          </w:p>
        </w:tc>
        <w:tc>
          <w:tcPr>
            <w:tcW w:type="dxa" w:w="3120"/>
          </w:tcPr>
          <w:p>
            <w:pPr>
              <w:pStyle w:val="CareStudyTableCell"/>
            </w:pPr>
            <w:r/>
            <w:r>
              <w:rPr>
                <w:rFonts w:ascii="Times New Roman" w:hAnsi="Times New Roman"/>
                <w:b w:val="0"/>
                <w:i w:val="0"/>
                <w:u w:val="none"/>
              </w:rPr>
              <w:t>Present</w:t>
            </w:r>
          </w:p>
        </w:tc>
        <w:tc>
          <w:tcPr>
            <w:tcW w:type="dxa" w:w="3120"/>
          </w:tcPr>
          <w:p>
            <w:pPr>
              <w:pStyle w:val="CareStudyTableCell"/>
            </w:pPr>
            <w:r/>
            <w:r>
              <w:rPr>
                <w:rFonts w:ascii="Times New Roman" w:hAnsi="Times New Roman"/>
                <w:b w:val="0"/>
                <w:i w:val="0"/>
                <w:u w:val="none"/>
              </w:rPr>
              <w:t>Consistent</w:t>
            </w:r>
          </w:p>
        </w:tc>
      </w:tr>
      <w:tr>
        <w:tc>
          <w:tcPr>
            <w:tcW w:type="dxa" w:w="3120"/>
          </w:tcPr>
          <w:p>
            <w:pPr>
              <w:pStyle w:val="CareStudyTableCell"/>
            </w:pPr>
            <w:r/>
            <w:r>
              <w:rPr>
                <w:rFonts w:ascii="Times New Roman" w:hAnsi="Times New Roman"/>
                <w:b w:val="0"/>
                <w:i w:val="0"/>
                <w:u w:val="none"/>
              </w:rPr>
              <w:t>Loss of appetite</w:t>
            </w:r>
          </w:p>
        </w:tc>
        <w:tc>
          <w:tcPr>
            <w:tcW w:type="dxa" w:w="3120"/>
          </w:tcPr>
          <w:p>
            <w:pPr>
              <w:pStyle w:val="CareStudyTableCell"/>
            </w:pPr>
            <w:r/>
            <w:r>
              <w:rPr>
                <w:rFonts w:ascii="Times New Roman" w:hAnsi="Times New Roman"/>
                <w:b w:val="0"/>
                <w:i w:val="0"/>
                <w:u w:val="none"/>
              </w:rPr>
              <w:t>Present</w:t>
            </w:r>
          </w:p>
        </w:tc>
        <w:tc>
          <w:tcPr>
            <w:tcW w:type="dxa" w:w="3120"/>
          </w:tcPr>
          <w:p>
            <w:pPr>
              <w:pStyle w:val="CareStudyTableCell"/>
            </w:pPr>
            <w:r/>
            <w:r>
              <w:rPr>
                <w:rFonts w:ascii="Times New Roman" w:hAnsi="Times New Roman"/>
                <w:b w:val="0"/>
                <w:i w:val="0"/>
                <w:u w:val="none"/>
              </w:rPr>
              <w:t>Consistent</w:t>
            </w:r>
          </w:p>
        </w:tc>
      </w:tr>
      <w:tr>
        <w:tc>
          <w:tcPr>
            <w:tcW w:type="dxa" w:w="3120"/>
          </w:tcPr>
          <w:p>
            <w:pPr>
              <w:pStyle w:val="CareStudyTableCell"/>
            </w:pPr>
            <w:r/>
            <w:r>
              <w:rPr>
                <w:rFonts w:ascii="Times New Roman" w:hAnsi="Times New Roman"/>
                <w:b w:val="0"/>
                <w:i w:val="0"/>
                <w:u w:val="none"/>
              </w:rPr>
              <w:t>Altered consciousness (confusion, coma)</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r>
        <w:tc>
          <w:tcPr>
            <w:tcW w:type="dxa" w:w="3120"/>
          </w:tcPr>
          <w:p>
            <w:pPr>
              <w:pStyle w:val="CareStudyTableCell"/>
            </w:pPr>
            <w:r/>
            <w:r>
              <w:rPr>
                <w:rFonts w:ascii="Times New Roman" w:hAnsi="Times New Roman"/>
                <w:b w:val="0"/>
                <w:i w:val="0"/>
                <w:u w:val="none"/>
              </w:rPr>
              <w:t>Respiratory distress (tachypnea, dyspnea)</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r>
        <w:tc>
          <w:tcPr>
            <w:tcW w:type="dxa" w:w="3120"/>
          </w:tcPr>
          <w:p>
            <w:pPr>
              <w:pStyle w:val="CareStudyTableCell"/>
            </w:pPr>
            <w:r/>
            <w:r>
              <w:rPr>
                <w:rFonts w:ascii="Times New Roman" w:hAnsi="Times New Roman"/>
                <w:b w:val="0"/>
                <w:i w:val="0"/>
                <w:u w:val="none"/>
              </w:rPr>
              <w:t>Hypotension/shock</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r>
        <w:tc>
          <w:tcPr>
            <w:tcW w:type="dxa" w:w="3120"/>
          </w:tcPr>
          <w:p>
            <w:pPr>
              <w:pStyle w:val="CareStudyTableCell"/>
            </w:pPr>
            <w:r/>
            <w:r>
              <w:rPr>
                <w:rFonts w:ascii="Times New Roman" w:hAnsi="Times New Roman"/>
                <w:b w:val="0"/>
                <w:i w:val="0"/>
                <w:u w:val="none"/>
              </w:rPr>
              <w:t>Oliguria/elevated creatinine</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r>
        <w:tc>
          <w:tcPr>
            <w:tcW w:type="dxa" w:w="3120"/>
          </w:tcPr>
          <w:p>
            <w:pPr>
              <w:pStyle w:val="CareStudyTableCell"/>
            </w:pPr>
            <w:r/>
            <w:r>
              <w:rPr>
                <w:rFonts w:ascii="Times New Roman" w:hAnsi="Times New Roman"/>
                <w:b w:val="0"/>
                <w:i w:val="0"/>
                <w:u w:val="none"/>
              </w:rPr>
              <w:t>Jaundice</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r>
        <w:tc>
          <w:tcPr>
            <w:tcW w:type="dxa" w:w="3120"/>
          </w:tcPr>
          <w:p>
            <w:pPr>
              <w:pStyle w:val="CareStudyTableCell"/>
            </w:pPr>
            <w:r/>
            <w:r>
              <w:rPr>
                <w:rFonts w:ascii="Times New Roman" w:hAnsi="Times New Roman"/>
                <w:b w:val="0"/>
                <w:i w:val="0"/>
                <w:u w:val="none"/>
              </w:rPr>
              <w:t>Severe anemia (Hb &lt; 5 g/dL)</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r>
        <w:tc>
          <w:tcPr>
            <w:tcW w:type="dxa" w:w="3120"/>
          </w:tcPr>
          <w:p>
            <w:pPr>
              <w:pStyle w:val="CareStudyTableCell"/>
            </w:pPr>
            <w:r/>
            <w:r>
              <w:rPr>
                <w:rFonts w:ascii="Times New Roman" w:hAnsi="Times New Roman"/>
                <w:b w:val="0"/>
                <w:i w:val="0"/>
                <w:u w:val="none"/>
              </w:rPr>
              <w:t>Thrombocytopenia</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r>
        <w:tc>
          <w:tcPr>
            <w:tcW w:type="dxa" w:w="3120"/>
          </w:tcPr>
          <w:p>
            <w:pPr>
              <w:pStyle w:val="CareStudyTableCell"/>
            </w:pPr>
            <w:r/>
            <w:r>
              <w:rPr>
                <w:rFonts w:ascii="Times New Roman" w:hAnsi="Times New Roman"/>
                <w:b w:val="0"/>
                <w:i w:val="0"/>
                <w:u w:val="none"/>
              </w:rPr>
              <w:t>Hypoglycemia</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r>
        <w:tc>
          <w:tcPr>
            <w:tcW w:type="dxa" w:w="3120"/>
          </w:tcPr>
          <w:p>
            <w:pPr>
              <w:pStyle w:val="CareStudyTableCell"/>
            </w:pPr>
            <w:r/>
            <w:r>
              <w:rPr>
                <w:rFonts w:ascii="Times New Roman" w:hAnsi="Times New Roman"/>
                <w:b w:val="0"/>
                <w:i w:val="0"/>
                <w:u w:val="none"/>
              </w:rPr>
              <w:t>Dark/bloody urine</w:t>
            </w:r>
          </w:p>
        </w:tc>
        <w:tc>
          <w:tcPr>
            <w:tcW w:type="dxa" w:w="3120"/>
          </w:tcPr>
          <w:p>
            <w:pPr>
              <w:pStyle w:val="CareStudyTableCell"/>
            </w:pPr>
            <w:r/>
            <w:r>
              <w:rPr>
                <w:rFonts w:ascii="Times New Roman" w:hAnsi="Times New Roman"/>
                <w:b w:val="0"/>
                <w:i w:val="0"/>
                <w:u w:val="none"/>
              </w:rPr>
              <w:t>Not documented</w:t>
            </w:r>
          </w:p>
        </w:tc>
        <w:tc>
          <w:tcPr>
            <w:tcW w:type="dxa" w:w="3120"/>
          </w:tcPr>
          <w:p>
            <w:pPr>
              <w:pStyle w:val="CareStudyTableCell"/>
            </w:pPr>
            <w:r/>
            <w:r>
              <w:rPr>
                <w:rFonts w:ascii="Times New Roman" w:hAnsi="Times New Roman"/>
                <w:b w:val="0"/>
                <w:i w:val="0"/>
                <w:u w:val="none"/>
              </w:rPr>
              <w:t>Not documented</w:t>
            </w:r>
          </w:p>
        </w:tc>
      </w:tr>
    </w:tbl>
    <w:p>
      <w:pPr>
        <w:pStyle w:val="CareStudyBody"/>
        <w:spacing w:line="360" w:lineRule="auto"/>
        <w:ind w:firstLine="0"/>
        <w:jc w:val="both"/>
      </w:pPr>
      <w:r>
        <w:rPr>
          <w:rFonts w:ascii="Times New Roman" w:hAnsi="Times New Roman"/>
          <w:b w:val="0"/>
          <w:i w:val="0"/>
          <w:u w:val="none"/>
        </w:rPr>
        <w:t>The patient displayed several typical malaria symptoms (fever, headache, abdominal pain, weakness, dizziness, anorexia) but lacked documented signs of severe organ dysfunction such as altered consciousness, respiratory distress, hypotension, renal or hepatic impairment, anemia, thrombocytopenia, hypoglycemia, or abnormal urine.</w:t>
      </w:r>
    </w:p>
    <w:p>
      <w:pPr>
        <w:pStyle w:val="CareStudyBody"/>
        <w:spacing w:line="360" w:lineRule="auto"/>
        <w:ind w:firstLine="0"/>
        <w:jc w:val="both"/>
      </w:pPr>
      <w:r>
        <w:rPr>
          <w:rFonts w:ascii="Times New Roman" w:hAnsi="Times New Roman"/>
          <w:b/>
          <w:i w:val="0"/>
          <w:u w:val="none"/>
        </w:rPr>
        <w:t>Treatment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pStyle w:val="CareStudyTableHeader"/>
            </w:pPr>
            <w:r/>
            <w:r>
              <w:rPr>
                <w:rFonts w:ascii="Times New Roman" w:hAnsi="Times New Roman"/>
                <w:b w:val="0"/>
                <w:i w:val="0"/>
                <w:u w:val="none"/>
              </w:rPr>
              <w:t>Treatment given</w:t>
            </w:r>
          </w:p>
        </w:tc>
        <w:tc>
          <w:tcPr>
            <w:tcW w:type="dxa" w:w="3120"/>
            <w:shd w:val="clear" w:color="auto" w:fill="D9D9D9"/>
          </w:tcPr>
          <w:p>
            <w:pPr>
              <w:pStyle w:val="CareStudyTableHeader"/>
            </w:pPr>
            <w:r/>
            <w:r>
              <w:rPr>
                <w:rFonts w:ascii="Times New Roman" w:hAnsi="Times New Roman"/>
                <w:b w:val="0"/>
                <w:i w:val="0"/>
                <w:u w:val="none"/>
              </w:rPr>
              <w:t>Standard role/indication</w:t>
            </w:r>
          </w:p>
        </w:tc>
        <w:tc>
          <w:tcPr>
            <w:tcW w:type="dxa" w:w="3120"/>
            <w:shd w:val="clear" w:color="auto" w:fill="D9D9D9"/>
          </w:tcPr>
          <w:p>
            <w:pPr>
              <w:pStyle w:val="CareStudyTableHeader"/>
            </w:pPr>
            <w:r/>
            <w:r>
              <w:rPr>
                <w:rFonts w:ascii="Times New Roman" w:hAnsi="Times New Roman"/>
                <w:b w:val="0"/>
                <w:i w:val="0"/>
                <w:u w:val="none"/>
              </w:rPr>
              <w:t>Comparison</w:t>
            </w:r>
          </w:p>
        </w:tc>
      </w:tr>
      <w:tr>
        <w:tc>
          <w:tcPr>
            <w:tcW w:type="dxa" w:w="3120"/>
          </w:tcPr>
          <w:p>
            <w:pPr>
              <w:pStyle w:val="CareStudyTableCell"/>
            </w:pPr>
            <w:r/>
            <w:r>
              <w:rPr>
                <w:rFonts w:ascii="Times New Roman" w:hAnsi="Times New Roman"/>
                <w:b w:val="0"/>
                <w:i w:val="0"/>
                <w:u w:val="none"/>
              </w:rPr>
              <w:t>IM diclofenac 75 mg stat</w:t>
            </w:r>
          </w:p>
        </w:tc>
        <w:tc>
          <w:tcPr>
            <w:tcW w:type="dxa" w:w="3120"/>
          </w:tcPr>
          <w:p>
            <w:pPr>
              <w:pStyle w:val="CareStudyTableCell"/>
            </w:pPr>
            <w:r/>
            <w:r>
              <w:rPr>
                <w:rFonts w:ascii="Times New Roman" w:hAnsi="Times New Roman"/>
                <w:b w:val="0"/>
                <w:i w:val="0"/>
                <w:u w:val="none"/>
              </w:rPr>
              <w:t>Symptomatic relief (pain/fever) (WHO, 2025)</w:t>
            </w:r>
          </w:p>
        </w:tc>
        <w:tc>
          <w:tcPr>
            <w:tcW w:type="dxa" w:w="3120"/>
          </w:tcPr>
          <w:p>
            <w:pPr>
              <w:pStyle w:val="CareStudyTableCell"/>
            </w:pPr>
            <w:r/>
            <w:r>
              <w:rPr>
                <w:rFonts w:ascii="Times New Roman" w:hAnsi="Times New Roman"/>
                <w:b w:val="0"/>
                <w:i w:val="0"/>
                <w:u w:val="none"/>
              </w:rPr>
              <w:t>Provides symptomatic relief; not antimalarial</w:t>
            </w:r>
          </w:p>
        </w:tc>
      </w:tr>
      <w:tr>
        <w:tc>
          <w:tcPr>
            <w:tcW w:type="dxa" w:w="3120"/>
          </w:tcPr>
          <w:p>
            <w:pPr>
              <w:pStyle w:val="CareStudyTableCell"/>
            </w:pPr>
            <w:r/>
            <w:r>
              <w:rPr>
                <w:rFonts w:ascii="Times New Roman" w:hAnsi="Times New Roman"/>
                <w:b w:val="0"/>
                <w:i w:val="0"/>
                <w:u w:val="none"/>
              </w:rPr>
              <w:t>IV artesunate‑amodiaquine 182.4 mg 12 hourly</w:t>
            </w:r>
          </w:p>
        </w:tc>
        <w:tc>
          <w:tcPr>
            <w:tcW w:type="dxa" w:w="3120"/>
          </w:tcPr>
          <w:p>
            <w:pPr>
              <w:pStyle w:val="CareStudyTableCell"/>
            </w:pPr>
            <w:r/>
            <w:r>
              <w:rPr>
                <w:rFonts w:ascii="Times New Roman" w:hAnsi="Times New Roman"/>
                <w:b w:val="0"/>
                <w:i w:val="0"/>
                <w:u w:val="none"/>
              </w:rPr>
              <w:t>Artesunate is first‑line parenteral therapy for severe malaria; amodiaquine is an ACT partner (WHO, 2025)</w:t>
            </w:r>
          </w:p>
        </w:tc>
        <w:tc>
          <w:tcPr>
            <w:tcW w:type="dxa" w:w="3120"/>
          </w:tcPr>
          <w:p>
            <w:pPr>
              <w:pStyle w:val="CareStudyTableCell"/>
            </w:pPr>
            <w:r/>
            <w:r>
              <w:rPr>
                <w:rFonts w:ascii="Times New Roman" w:hAnsi="Times New Roman"/>
                <w:b w:val="0"/>
                <w:i w:val="0"/>
                <w:u w:val="none"/>
              </w:rPr>
              <w:t>Definitive antimalarial component; dose requires weight‑based verification</w:t>
            </w:r>
          </w:p>
        </w:tc>
      </w:tr>
      <w:tr>
        <w:tc>
          <w:tcPr>
            <w:tcW w:type="dxa" w:w="3120"/>
          </w:tcPr>
          <w:p>
            <w:pPr>
              <w:pStyle w:val="CareStudyTableCell"/>
            </w:pPr>
            <w:r/>
            <w:r>
              <w:rPr>
                <w:rFonts w:ascii="Times New Roman" w:hAnsi="Times New Roman"/>
                <w:b w:val="0"/>
                <w:i w:val="0"/>
                <w:u w:val="none"/>
              </w:rPr>
              <w:t>IV sodium chloride 500 mL stat</w:t>
            </w:r>
          </w:p>
        </w:tc>
        <w:tc>
          <w:tcPr>
            <w:tcW w:type="dxa" w:w="3120"/>
          </w:tcPr>
          <w:p>
            <w:pPr>
              <w:pStyle w:val="CareStudyTableCell"/>
            </w:pPr>
            <w:r/>
            <w:r>
              <w:rPr>
                <w:rFonts w:ascii="Times New Roman" w:hAnsi="Times New Roman"/>
                <w:b w:val="0"/>
                <w:i w:val="0"/>
                <w:u w:val="none"/>
              </w:rPr>
              <w:t>Fluid resuscitation / supportive care (WHO, 2025)</w:t>
            </w:r>
          </w:p>
        </w:tc>
        <w:tc>
          <w:tcPr>
            <w:tcW w:type="dxa" w:w="3120"/>
          </w:tcPr>
          <w:p>
            <w:pPr>
              <w:pStyle w:val="CareStudyTableCell"/>
            </w:pPr>
            <w:r/>
            <w:r>
              <w:rPr>
                <w:rFonts w:ascii="Times New Roman" w:hAnsi="Times New Roman"/>
                <w:b w:val="0"/>
                <w:i w:val="0"/>
                <w:u w:val="none"/>
              </w:rPr>
              <w:t>Supportive care; volume should be adjusted according to clinical status</w:t>
            </w:r>
          </w:p>
        </w:tc>
      </w:tr>
    </w:tbl>
    <w:p>
      <w:pPr>
        <w:pStyle w:val="CareStudyBody"/>
        <w:spacing w:line="360" w:lineRule="auto"/>
        <w:ind w:firstLine="0"/>
        <w:jc w:val="both"/>
      </w:pPr>
      <w:r>
        <w:rPr>
          <w:rFonts w:ascii="Times New Roman" w:hAnsi="Times New Roman"/>
          <w:b w:val="0"/>
          <w:i w:val="0"/>
          <w:u w:val="none"/>
        </w:rPr>
        <w:t>Diclofenac addresses pain/fever, the artesunate‑amodiaquine infusion provides the recommended parenteral antimalarial for severe malaria (dose confirmation needed), and the saline infusion offers standard fluid support.</w:t>
      </w:r>
    </w:p>
    <w:p>
      <w:pPr>
        <w:pStyle w:val="CareStudyBody"/>
        <w:spacing w:line="360" w:lineRule="auto"/>
        <w:ind w:firstLine="0"/>
        <w:jc w:val="both"/>
      </w:pPr>
      <w:r>
        <w:rPr>
          <w:rFonts w:ascii="Times New Roman" w:hAnsi="Times New Roman"/>
          <w:b/>
          <w:i w:val="0"/>
          <w:u w:val="none"/>
        </w:rPr>
        <w:t>Complications</w:t>
      </w:r>
    </w:p>
    <w:p>
      <w:pPr>
        <w:pStyle w:val="CareStudyBody"/>
        <w:spacing w:line="360" w:lineRule="auto"/>
        <w:ind w:firstLine="0"/>
        <w:jc w:val="both"/>
      </w:pPr>
      <w:r>
        <w:rPr>
          <w:rFonts w:ascii="Times New Roman" w:hAnsi="Times New Roman"/>
          <w:b w:val="0"/>
          <w:i w:val="0"/>
          <w:u w:val="none"/>
        </w:rPr>
        <w:t>Severe malaria may lead to severe anemia, cerebral malaria, respiratory distress, acute kidney injury, hypoglycemia, lactic acidosis, disseminated intravascular coagulation, jaundice, blackwater fever, shock, pregnancy‑related complications, splenic rupture, post‑treatment neurological sequelae, long‑term morbidity, and fatal outcomes (WHO, 2025). No complications were documented in the available notes.</w:t>
      </w:r>
    </w:p>
    <w:p>
      <w:r>
        <w:br w:type="page"/>
      </w:r>
    </w:p>
    <w:p>
      <w:pPr>
        <w:sectPr>
          <w:footerReference w:type="default" r:id="rId9"/>
          <w:pgSz w:w="15840" w:h="12240" w:orient="landscape"/>
          <w:pgMar w:top="1440" w:right="1440" w:bottom="1440" w:left="1440" w:header="720" w:footer="720" w:gutter="0"/>
          <w:cols w:space="720"/>
          <w:docGrid w:linePitch="360"/>
        </w:sectPr>
      </w:pPr>
    </w:p>
    <w:p>
      <w:pPr>
        <w:pStyle w:val="CareStudyHeading2"/>
      </w:pPr>
      <w:r>
        <w:rPr>
          <w:rFonts w:ascii="Times New Roman" w:hAnsi="Times New Roman"/>
          <w:b w:val="0"/>
          <w:i w:val="0"/>
          <w:u w:val="none"/>
        </w:rPr>
        <w:t>2.2</w:t>
      </w:r>
    </w:p>
    <w:p>
      <w:pPr>
        <w:pStyle w:val="CareStudyBody"/>
        <w:spacing w:line="360" w:lineRule="auto"/>
        <w:ind w:firstLine="0"/>
        <w:jc w:val="both"/>
      </w:pPr>
      <w:r>
        <w:rPr>
          <w:rFonts w:ascii="Times New Roman" w:hAnsi="Times New Roman"/>
          <w:b w:val="0"/>
          <w:i w:val="0"/>
          <w:u w:val="none"/>
        </w:rPr>
        <w:t>Pharmacology of prescribed drugs includes drug class, dosage, route, indication, adverse effects, and nursing responsibilities to guide safe administration (WHO Model Formulary, 2008; Open RN, 2024).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Pr>
          <w:p>
            <w:pPr>
              <w:pStyle w:val="CareStudyTableHeader"/>
            </w:pPr>
            <w:r/>
            <w:r>
              <w:rPr>
                <w:rFonts w:ascii="Times New Roman" w:hAnsi="Times New Roman"/>
                <w:b w:val="0"/>
                <w:i w:val="0"/>
                <w:u w:val="none"/>
              </w:rPr>
              <w:t>Drug</w:t>
            </w:r>
          </w:p>
        </w:tc>
        <w:tc>
          <w:tcPr>
            <w:tcW w:type="dxa" w:w="1560"/>
            <w:shd w:val="clear" w:color="auto" w:fill="D9D9D9"/>
          </w:tcPr>
          <w:p>
            <w:pPr>
              <w:pStyle w:val="CareStudyTableHeader"/>
            </w:pPr>
            <w:r/>
            <w:r>
              <w:rPr>
                <w:rFonts w:ascii="Times New Roman" w:hAnsi="Times New Roman"/>
                <w:b w:val="0"/>
                <w:i w:val="0"/>
                <w:u w:val="none"/>
              </w:rPr>
              <w:t>Class</w:t>
            </w:r>
          </w:p>
        </w:tc>
        <w:tc>
          <w:tcPr>
            <w:tcW w:type="dxa" w:w="1560"/>
            <w:shd w:val="clear" w:color="auto" w:fill="D9D9D9"/>
          </w:tcPr>
          <w:p>
            <w:pPr>
              <w:pStyle w:val="CareStudyTableHeader"/>
            </w:pPr>
            <w:r/>
            <w:r>
              <w:rPr>
                <w:rFonts w:ascii="Times New Roman" w:hAnsi="Times New Roman"/>
                <w:b w:val="0"/>
                <w:i w:val="0"/>
                <w:u w:val="none"/>
              </w:rPr>
              <w:t>Dose, route &amp; frequency</w:t>
            </w:r>
          </w:p>
        </w:tc>
        <w:tc>
          <w:tcPr>
            <w:tcW w:type="dxa" w:w="1560"/>
            <w:shd w:val="clear" w:color="auto" w:fill="D9D9D9"/>
          </w:tcPr>
          <w:p>
            <w:pPr>
              <w:pStyle w:val="CareStudyTableHeader"/>
            </w:pPr>
            <w:r/>
            <w:r>
              <w:rPr>
                <w:rFonts w:ascii="Times New Roman" w:hAnsi="Times New Roman"/>
                <w:b w:val="0"/>
                <w:i w:val="0"/>
                <w:u w:val="none"/>
              </w:rPr>
              <w:t>Indication</w:t>
            </w:r>
          </w:p>
        </w:tc>
        <w:tc>
          <w:tcPr>
            <w:tcW w:type="dxa" w:w="1560"/>
            <w:shd w:val="clear" w:color="auto" w:fill="D9D9D9"/>
          </w:tcPr>
          <w:p>
            <w:pPr>
              <w:pStyle w:val="CareStudyTableHeader"/>
            </w:pPr>
            <w:r/>
            <w:r>
              <w:rPr>
                <w:rFonts w:ascii="Times New Roman" w:hAnsi="Times New Roman"/>
                <w:b w:val="0"/>
                <w:i w:val="0"/>
                <w:u w:val="none"/>
              </w:rPr>
              <w:t>Side effects</w:t>
            </w:r>
          </w:p>
        </w:tc>
        <w:tc>
          <w:tcPr>
            <w:tcW w:type="dxa" w:w="1560"/>
            <w:shd w:val="clear" w:color="auto" w:fill="D9D9D9"/>
          </w:tcPr>
          <w:p>
            <w:pPr>
              <w:pStyle w:val="CareStudyTableHeader"/>
            </w:pPr>
            <w:r/>
            <w:r>
              <w:rPr>
                <w:rFonts w:ascii="Times New Roman" w:hAnsi="Times New Roman"/>
                <w:b w:val="0"/>
                <w:i w:val="0"/>
                <w:u w:val="none"/>
              </w:rPr>
              <w:t>Nursing responsibility</w:t>
            </w:r>
          </w:p>
        </w:tc>
      </w:tr>
      <w:tr>
        <w:tc>
          <w:tcPr>
            <w:tcW w:type="dxa" w:w="1560"/>
          </w:tcPr>
          <w:p>
            <w:pPr>
              <w:pStyle w:val="CareStudyTableCell"/>
            </w:pPr>
            <w:r/>
            <w:r>
              <w:rPr>
                <w:rFonts w:ascii="Times New Roman" w:hAnsi="Times New Roman"/>
                <w:b w:val="0"/>
                <w:i w:val="0"/>
                <w:u w:val="none"/>
              </w:rPr>
              <w:t>Artesunate</w:t>
            </w:r>
          </w:p>
        </w:tc>
        <w:tc>
          <w:tcPr>
            <w:tcW w:type="dxa" w:w="1560"/>
          </w:tcPr>
          <w:p>
            <w:pPr>
              <w:pStyle w:val="CareStudyTableCell"/>
            </w:pPr>
            <w:r/>
            <w:r>
              <w:rPr>
                <w:rFonts w:ascii="Times New Roman" w:hAnsi="Times New Roman"/>
                <w:b w:val="0"/>
                <w:i w:val="0"/>
                <w:u w:val="none"/>
              </w:rPr>
              <w:t>Antimalarial (artemisinin derivative)</w:t>
            </w:r>
          </w:p>
        </w:tc>
        <w:tc>
          <w:tcPr>
            <w:tcW w:type="dxa" w:w="1560"/>
          </w:tcPr>
          <w:p>
            <w:pPr>
              <w:pStyle w:val="CareStudyTableCell"/>
            </w:pPr>
            <w:r/>
            <w:r>
              <w:rPr>
                <w:rFonts w:ascii="Times New Roman" w:hAnsi="Times New Roman"/>
                <w:b w:val="0"/>
                <w:i w:val="0"/>
                <w:u w:val="none"/>
              </w:rPr>
              <w:t>4 mg/kg daily for 3 days; IV or IM injection; adult: initially 2.4 mg/kg, then repeated at 12-hour intervals for 2 further doses, then once daily; reconstitution required</w:t>
            </w:r>
          </w:p>
        </w:tc>
        <w:tc>
          <w:tcPr>
            <w:tcW w:type="dxa" w:w="1560"/>
          </w:tcPr>
          <w:p>
            <w:pPr>
              <w:pStyle w:val="CareStudyTableCell"/>
            </w:pPr>
            <w:r/>
            <w:r>
              <w:rPr>
                <w:rFonts w:ascii="Times New Roman" w:hAnsi="Times New Roman"/>
                <w:b w:val="0"/>
                <w:i w:val="0"/>
                <w:u w:val="none"/>
              </w:rPr>
              <w:t>Treatment of uncomplicated P. falciparum malaria in combination with other antimalarials</w:t>
            </w:r>
          </w:p>
        </w:tc>
        <w:tc>
          <w:tcPr>
            <w:tcW w:type="dxa" w:w="1560"/>
          </w:tcPr>
          <w:p>
            <w:pPr>
              <w:pStyle w:val="CareStudyTableCell"/>
            </w:pPr>
            <w:r/>
            <w:r>
              <w:rPr>
                <w:rFonts w:ascii="Times New Roman" w:hAnsi="Times New Roman"/>
                <w:b w:val="0"/>
                <w:i w:val="0"/>
                <w:u w:val="none"/>
              </w:rPr>
              <w:t>Headache, nausea, vomiting, abdominal pain, diarrhoea, dizziness, tinnitus, neutropenia, elevated liver enzymes; ECG abnormalities including QT prolongation</w:t>
            </w:r>
          </w:p>
        </w:tc>
        <w:tc>
          <w:tcPr>
            <w:tcW w:type="dxa" w:w="1560"/>
          </w:tcPr>
          <w:p>
            <w:pPr>
              <w:pStyle w:val="CareStudyTableCell"/>
            </w:pPr>
            <w:r/>
            <w:r>
              <w:rPr>
                <w:rFonts w:ascii="Times New Roman" w:hAnsi="Times New Roman"/>
                <w:b w:val="0"/>
                <w:i w:val="0"/>
                <w:u w:val="none"/>
              </w:rPr>
              <w:t>Administer as prescribed (IV or oral per treatment phase); monitor temperature and parasite response; watch for haemolysis and hypersensitivity; follow with oral ACT to complete treatment</w:t>
            </w:r>
          </w:p>
        </w:tc>
      </w:tr>
      <w:tr>
        <w:tc>
          <w:tcPr>
            <w:tcW w:type="dxa" w:w="1560"/>
          </w:tcPr>
          <w:p>
            <w:pPr>
              <w:pStyle w:val="CareStudyTableCell"/>
            </w:pPr>
            <w:r/>
            <w:r>
              <w:rPr>
                <w:rFonts w:ascii="Times New Roman" w:hAnsi="Times New Roman"/>
                <w:b w:val="0"/>
                <w:i w:val="0"/>
                <w:u w:val="none"/>
              </w:rPr>
              <w:t>Diclofenac</w:t>
            </w:r>
          </w:p>
        </w:tc>
        <w:tc>
          <w:tcPr>
            <w:tcW w:type="dxa" w:w="1560"/>
          </w:tcPr>
          <w:p>
            <w:pPr>
              <w:pStyle w:val="CareStudyTableCell"/>
            </w:pPr>
            <w:r/>
            <w:r>
              <w:rPr>
                <w:rFonts w:ascii="Times New Roman" w:hAnsi="Times New Roman"/>
                <w:b w:val="0"/>
                <w:i w:val="0"/>
                <w:u w:val="none"/>
              </w:rPr>
              <w:t>NSAID (non‑steroidal anti‑inflammatory drug)</w:t>
            </w:r>
          </w:p>
        </w:tc>
        <w:tc>
          <w:tcPr>
            <w:tcW w:type="dxa" w:w="1560"/>
          </w:tcPr>
          <w:p>
            <w:pPr>
              <w:pStyle w:val="CareStudyTableCell"/>
            </w:pPr>
            <w:r/>
            <w:r>
              <w:rPr>
                <w:rFonts w:ascii="Times New Roman" w:hAnsi="Times New Roman"/>
                <w:b w:val="0"/>
                <w:i w:val="0"/>
                <w:u w:val="none"/>
              </w:rPr>
              <w:t>As prescribed (IM, oral, rectal, etc.)</w:t>
            </w:r>
          </w:p>
        </w:tc>
        <w:tc>
          <w:tcPr>
            <w:tcW w:type="dxa" w:w="1560"/>
          </w:tcPr>
          <w:p>
            <w:pPr>
              <w:pStyle w:val="CareStudyTableCell"/>
            </w:pPr>
            <w:r/>
            <w:r>
              <w:rPr>
                <w:rFonts w:ascii="Times New Roman" w:hAnsi="Times New Roman"/>
                <w:b w:val="0"/>
                <w:i w:val="0"/>
                <w:u w:val="none"/>
              </w:rPr>
              <w:t>Relief of pain, fever, and inflammation</w:t>
            </w:r>
          </w:p>
        </w:tc>
        <w:tc>
          <w:tcPr>
            <w:tcW w:type="dxa" w:w="1560"/>
          </w:tcPr>
          <w:p>
            <w:pPr>
              <w:pStyle w:val="CareStudyTableCell"/>
            </w:pPr>
            <w:r/>
            <w:r>
              <w:rPr>
                <w:rFonts w:ascii="Times New Roman" w:hAnsi="Times New Roman"/>
                <w:b w:val="0"/>
                <w:i w:val="0"/>
                <w:u w:val="none"/>
              </w:rPr>
              <w:t>Gastric irritation, ulceration, bleeding, headache, dizziness, rash</w:t>
            </w:r>
          </w:p>
        </w:tc>
        <w:tc>
          <w:tcPr>
            <w:tcW w:type="dxa" w:w="1560"/>
          </w:tcPr>
          <w:p>
            <w:pPr>
              <w:pStyle w:val="CareStudyTableCell"/>
            </w:pPr>
            <w:r/>
            <w:r>
              <w:rPr>
                <w:rFonts w:ascii="Times New Roman" w:hAnsi="Times New Roman"/>
                <w:b w:val="0"/>
                <w:i w:val="0"/>
                <w:u w:val="none"/>
              </w:rPr>
              <w:t>Administer with food or antacids if oral; monitor for GI bleeding, renal function, and hypersensitivity; observe injection site for IM</w:t>
            </w:r>
          </w:p>
        </w:tc>
      </w:tr>
      <w:tr>
        <w:tc>
          <w:tcPr>
            <w:tcW w:type="dxa" w:w="1560"/>
          </w:tcPr>
          <w:p>
            <w:pPr>
              <w:pStyle w:val="CareStudyTableCell"/>
            </w:pPr>
            <w:r/>
            <w:r>
              <w:rPr>
                <w:rFonts w:ascii="Times New Roman" w:hAnsi="Times New Roman"/>
                <w:b w:val="0"/>
                <w:i w:val="0"/>
                <w:u w:val="none"/>
              </w:rPr>
              <w:t>Sodium Chloride 0.9%</w:t>
            </w:r>
          </w:p>
        </w:tc>
        <w:tc>
          <w:tcPr>
            <w:tcW w:type="dxa" w:w="1560"/>
          </w:tcPr>
          <w:p>
            <w:pPr>
              <w:pStyle w:val="CareStudyTableCell"/>
            </w:pPr>
            <w:r/>
            <w:r>
              <w:rPr>
                <w:rFonts w:ascii="Times New Roman" w:hAnsi="Times New Roman"/>
                <w:b w:val="0"/>
                <w:i w:val="0"/>
                <w:u w:val="none"/>
              </w:rPr>
              <w:t>Intravenous crystalloid fluid</w:t>
            </w:r>
          </w:p>
        </w:tc>
        <w:tc>
          <w:tcPr>
            <w:tcW w:type="dxa" w:w="1560"/>
          </w:tcPr>
          <w:p>
            <w:pPr>
              <w:pStyle w:val="CareStudyTableCell"/>
            </w:pPr>
            <w:r/>
            <w:r>
              <w:rPr>
                <w:rFonts w:ascii="Times New Roman" w:hAnsi="Times New Roman"/>
                <w:b w:val="0"/>
                <w:i w:val="0"/>
                <w:u w:val="none"/>
              </w:rPr>
              <w:t>IV infusion as prescribed</w:t>
            </w:r>
          </w:p>
        </w:tc>
        <w:tc>
          <w:tcPr>
            <w:tcW w:type="dxa" w:w="1560"/>
          </w:tcPr>
          <w:p>
            <w:pPr>
              <w:pStyle w:val="CareStudyTableCell"/>
            </w:pPr>
            <w:r/>
            <w:r>
              <w:rPr>
                <w:rFonts w:ascii="Times New Roman" w:hAnsi="Times New Roman"/>
                <w:b w:val="0"/>
                <w:i w:val="0"/>
                <w:u w:val="none"/>
              </w:rPr>
              <w:t>Fluid resuscitation, electrolyte replacement, medication dilution</w:t>
            </w:r>
          </w:p>
        </w:tc>
        <w:tc>
          <w:tcPr>
            <w:tcW w:type="dxa" w:w="1560"/>
          </w:tcPr>
          <w:p>
            <w:pPr>
              <w:pStyle w:val="CareStudyTableCell"/>
            </w:pPr>
            <w:r/>
            <w:r>
              <w:rPr>
                <w:rFonts w:ascii="Times New Roman" w:hAnsi="Times New Roman"/>
                <w:b w:val="0"/>
                <w:i w:val="0"/>
                <w:u w:val="none"/>
              </w:rPr>
              <w:t>Fluid overload, hypernatraemia, hypertension, edema</w:t>
            </w:r>
          </w:p>
        </w:tc>
        <w:tc>
          <w:tcPr>
            <w:tcW w:type="dxa" w:w="1560"/>
          </w:tcPr>
          <w:p>
            <w:pPr>
              <w:pStyle w:val="CareStudyTableCell"/>
            </w:pPr>
            <w:r/>
            <w:r>
              <w:rPr>
                <w:rFonts w:ascii="Times New Roman" w:hAnsi="Times New Roman"/>
                <w:b w:val="0"/>
                <w:i w:val="0"/>
                <w:u w:val="none"/>
              </w:rPr>
              <w:t>Check infusion rate, monitor fluid balance, electrolytes, and signs of overload; ensure aseptic technique</w:t>
            </w:r>
          </w:p>
        </w:tc>
      </w:tr>
    </w:tbl>
    <w:p>
      <w:pPr>
        <w:pStyle w:val="CareStudyBody"/>
        <w:spacing w:line="360" w:lineRule="auto"/>
        <w:ind w:firstLine="0"/>
        <w:jc w:val="both"/>
      </w:pPr>
      <w:r>
        <w:rPr>
          <w:rFonts w:ascii="Times New Roman" w:hAnsi="Times New Roman"/>
          <w:b w:val="0"/>
          <w:i w:val="0"/>
          <w:u w:val="none"/>
        </w:rPr>
        <w:t>Safe administration requires strict adherence to the prescribed regimen and vigilant monitoring for adverse effects. For example, artesunate may cause QT prolongation, necessitating ECG monitoring, while IV sodium chloride requires careful rate checks to prevent fluid overload and electrolyte disturbance (WHO Model Formulary, 2008; Open RN, 2024). These measures support therapeutic efficacy and patient safety throughout treatment.</w:t>
      </w:r>
    </w:p>
    <w:p>
      <w:pPr>
        <w:pStyle w:val="CareStudyHeading2"/>
      </w:pPr>
      <w:r>
        <w:rPr>
          <w:rFonts w:ascii="Times New Roman" w:hAnsi="Times New Roman"/>
          <w:b w:val="0"/>
          <w:i w:val="0"/>
          <w:u w:val="none"/>
        </w:rPr>
        <w:t>2.3</w:t>
      </w:r>
    </w:p>
    <w:p>
      <w:pPr>
        <w:pStyle w:val="CareStudyBody"/>
        <w:spacing w:line="360" w:lineRule="auto"/>
        <w:ind w:firstLine="0"/>
        <w:jc w:val="both"/>
      </w:pPr>
      <w:r>
        <w:rPr>
          <w:rFonts w:ascii="Times New Roman" w:hAnsi="Times New Roman"/>
          <w:b/>
          <w:i w:val="0"/>
          <w:u w:val="none"/>
        </w:rPr>
        <w:t>Actual Problems</w:t>
      </w:r>
    </w:p>
    <w:p>
      <w:pPr>
        <w:pStyle w:val="ListBullet"/>
        <w:numPr>
          <w:ilvl w:val="0"/>
          <w:numId w:val="10"/>
        </w:numPr>
        <w:spacing w:line="360" w:lineRule="auto"/>
        <w:ind w:left="720" w:hanging="360"/>
        <w:jc w:val="both"/>
      </w:pPr>
      <w:r>
        <w:rPr>
          <w:rFonts w:ascii="Times New Roman" w:hAnsi="Times New Roman"/>
          <w:b w:val="0"/>
          <w:i w:val="0"/>
          <w:u w:val="none"/>
        </w:rPr>
        <w:t>Patient has hyperthermia</w:t>
      </w:r>
    </w:p>
    <w:p>
      <w:pPr>
        <w:pStyle w:val="ListBullet"/>
        <w:numPr>
          <w:ilvl w:val="0"/>
          <w:numId w:val="10"/>
        </w:numPr>
        <w:spacing w:line="360" w:lineRule="auto"/>
        <w:ind w:left="720" w:hanging="360"/>
        <w:jc w:val="both"/>
      </w:pPr>
      <w:r>
        <w:rPr>
          <w:rFonts w:ascii="Times New Roman" w:hAnsi="Times New Roman"/>
          <w:b w:val="0"/>
          <w:i w:val="0"/>
          <w:u w:val="none"/>
        </w:rPr>
        <w:t>Patient experiences acute pain (headache and abdominal pain)</w:t>
      </w:r>
    </w:p>
    <w:p>
      <w:pPr>
        <w:pStyle w:val="ListBullet"/>
        <w:numPr>
          <w:ilvl w:val="0"/>
          <w:numId w:val="10"/>
        </w:numPr>
        <w:spacing w:line="360" w:lineRule="auto"/>
        <w:ind w:left="720" w:hanging="360"/>
        <w:jc w:val="both"/>
      </w:pPr>
      <w:r>
        <w:rPr>
          <w:rFonts w:ascii="Times New Roman" w:hAnsi="Times New Roman"/>
          <w:b w:val="0"/>
          <w:i w:val="0"/>
          <w:u w:val="none"/>
        </w:rPr>
        <w:t>Patient reports general body weakness</w:t>
      </w:r>
    </w:p>
    <w:p>
      <w:pPr>
        <w:pStyle w:val="ListBullet"/>
        <w:numPr>
          <w:ilvl w:val="0"/>
          <w:numId w:val="10"/>
        </w:numPr>
        <w:spacing w:line="360" w:lineRule="auto"/>
        <w:ind w:left="720" w:hanging="360"/>
        <w:jc w:val="both"/>
      </w:pPr>
      <w:r>
        <w:rPr>
          <w:rFonts w:ascii="Times New Roman" w:hAnsi="Times New Roman"/>
          <w:b w:val="0"/>
          <w:i w:val="0"/>
          <w:u w:val="none"/>
        </w:rPr>
        <w:t>Patient experiences dizziness</w:t>
      </w:r>
    </w:p>
    <w:p>
      <w:pPr>
        <w:pStyle w:val="ListBullet"/>
        <w:numPr>
          <w:ilvl w:val="0"/>
          <w:numId w:val="10"/>
        </w:numPr>
        <w:spacing w:line="360" w:lineRule="auto"/>
        <w:ind w:left="720" w:hanging="360"/>
        <w:jc w:val="both"/>
      </w:pPr>
      <w:r>
        <w:rPr>
          <w:rFonts w:ascii="Times New Roman" w:hAnsi="Times New Roman"/>
          <w:b w:val="0"/>
          <w:i w:val="0"/>
          <w:u w:val="none"/>
        </w:rPr>
        <w:t>Patient has anorexia (loss of appetite)</w:t>
      </w:r>
    </w:p>
    <w:p>
      <w:pPr>
        <w:pStyle w:val="CareStudyBody"/>
        <w:spacing w:line="360" w:lineRule="auto"/>
        <w:ind w:firstLine="0"/>
        <w:jc w:val="both"/>
      </w:pPr>
      <w:r>
        <w:rPr>
          <w:rFonts w:ascii="Times New Roman" w:hAnsi="Times New Roman"/>
          <w:b/>
          <w:i w:val="0"/>
          <w:u w:val="none"/>
        </w:rPr>
        <w:t>Potential Problems</w:t>
      </w:r>
    </w:p>
    <w:p>
      <w:pPr>
        <w:pStyle w:val="ListBullet"/>
        <w:numPr>
          <w:ilvl w:val="0"/>
          <w:numId w:val="10"/>
        </w:numPr>
        <w:spacing w:line="360" w:lineRule="auto"/>
        <w:ind w:left="720" w:hanging="360"/>
        <w:jc w:val="both"/>
      </w:pPr>
      <w:r>
        <w:rPr>
          <w:rFonts w:ascii="Times New Roman" w:hAnsi="Times New Roman"/>
          <w:b w:val="0"/>
          <w:i w:val="0"/>
          <w:u w:val="none"/>
        </w:rPr>
        <w:t>Patient is at risk for deficient fluid volume related to possible dehydration (NANDA-I, 2021)</w:t>
      </w:r>
    </w:p>
    <w:p>
      <w:pPr>
        <w:pStyle w:val="ListBullet"/>
        <w:numPr>
          <w:ilvl w:val="0"/>
          <w:numId w:val="10"/>
        </w:numPr>
        <w:spacing w:line="360" w:lineRule="auto"/>
        <w:ind w:left="720" w:hanging="360"/>
        <w:jc w:val="both"/>
      </w:pPr>
      <w:r>
        <w:rPr>
          <w:rFonts w:ascii="Times New Roman" w:hAnsi="Times New Roman"/>
          <w:b w:val="0"/>
          <w:i w:val="0"/>
          <w:u w:val="none"/>
        </w:rPr>
        <w:t>Patient is at risk for falls related to dizziness and weakness (NANDA-I, 2021)</w:t>
      </w:r>
    </w:p>
    <w:p>
      <w:pPr>
        <w:pStyle w:val="ListBullet"/>
        <w:numPr>
          <w:ilvl w:val="0"/>
          <w:numId w:val="10"/>
        </w:numPr>
        <w:spacing w:line="360" w:lineRule="auto"/>
        <w:ind w:left="720" w:hanging="360"/>
        <w:jc w:val="both"/>
      </w:pPr>
      <w:r>
        <w:rPr>
          <w:rFonts w:ascii="Times New Roman" w:hAnsi="Times New Roman"/>
          <w:b w:val="0"/>
          <w:i w:val="0"/>
          <w:u w:val="none"/>
        </w:rPr>
        <w:t>Patient is at risk for imbalanced nutrition: less than body requirements related to anorexia (NANDA-I, 2021)</w:t>
      </w:r>
    </w:p>
    <w:p>
      <w:pPr>
        <w:pStyle w:val="ListBullet"/>
        <w:numPr>
          <w:ilvl w:val="0"/>
          <w:numId w:val="10"/>
        </w:numPr>
        <w:spacing w:line="360" w:lineRule="auto"/>
        <w:ind w:left="720" w:hanging="360"/>
        <w:jc w:val="both"/>
      </w:pPr>
      <w:r>
        <w:rPr>
          <w:rFonts w:ascii="Times New Roman" w:hAnsi="Times New Roman"/>
          <w:b w:val="0"/>
          <w:i w:val="0"/>
          <w:u w:val="none"/>
        </w:rPr>
        <w:t>Patient is at risk for acute pain exacerbation related to headache and abdominal pain (NANDA-I, 2021)</w:t>
      </w:r>
    </w:p>
    <w:p>
      <w:pPr>
        <w:pStyle w:val="ListBullet"/>
        <w:numPr>
          <w:ilvl w:val="0"/>
          <w:numId w:val="10"/>
        </w:numPr>
        <w:spacing w:line="360" w:lineRule="auto"/>
        <w:ind w:left="720" w:hanging="360"/>
        <w:jc w:val="both"/>
      </w:pPr>
      <w:r>
        <w:rPr>
          <w:rFonts w:ascii="Times New Roman" w:hAnsi="Times New Roman"/>
          <w:b w:val="0"/>
          <w:i w:val="0"/>
          <w:u w:val="none"/>
        </w:rPr>
        <w:t>Patient is at risk for impaired thermoregulation related to hyperthermia (NANDA-I, 2021)</w:t>
      </w:r>
    </w:p>
    <w:p>
      <w:pPr>
        <w:pStyle w:val="CareStudyBody"/>
        <w:spacing w:line="360" w:lineRule="auto"/>
        <w:ind w:firstLine="0"/>
        <w:jc w:val="both"/>
      </w:pPr>
      <w:r>
        <w:rPr>
          <w:rFonts w:ascii="Times New Roman" w:hAnsi="Times New Roman"/>
          <w:b/>
          <w:i w:val="0"/>
          <w:u w:val="none"/>
        </w:rPr>
        <w:t>Priority</w:t>
      </w:r>
    </w:p>
    <w:p>
      <w:pPr>
        <w:pStyle w:val="ListBullet"/>
        <w:numPr>
          <w:ilvl w:val="0"/>
          <w:numId w:val="10"/>
        </w:numPr>
        <w:spacing w:line="360" w:lineRule="auto"/>
        <w:ind w:left="720" w:hanging="360"/>
        <w:jc w:val="both"/>
      </w:pPr>
      <w:r>
        <w:rPr>
          <w:rFonts w:ascii="Times New Roman" w:hAnsi="Times New Roman"/>
          <w:b w:val="0"/>
          <w:i w:val="0"/>
          <w:u w:val="none"/>
        </w:rPr>
        <w:t>Priority 1: Manage hyperthermia to prevent complications</w:t>
      </w:r>
    </w:p>
    <w:p>
      <w:pPr>
        <w:pStyle w:val="ListBullet"/>
        <w:numPr>
          <w:ilvl w:val="0"/>
          <w:numId w:val="10"/>
        </w:numPr>
        <w:spacing w:line="360" w:lineRule="auto"/>
        <w:ind w:left="720" w:hanging="360"/>
        <w:jc w:val="both"/>
      </w:pPr>
      <w:r>
        <w:rPr>
          <w:rFonts w:ascii="Times New Roman" w:hAnsi="Times New Roman"/>
          <w:b w:val="0"/>
          <w:i w:val="0"/>
          <w:u w:val="none"/>
        </w:rPr>
        <w:t>Priority 2: Alleviate acute pain (headache and abdominal pain)</w:t>
      </w:r>
    </w:p>
    <w:p>
      <w:pPr>
        <w:pStyle w:val="ListBullet"/>
        <w:numPr>
          <w:ilvl w:val="0"/>
          <w:numId w:val="10"/>
        </w:numPr>
        <w:spacing w:line="360" w:lineRule="auto"/>
        <w:ind w:left="720" w:hanging="360"/>
        <w:jc w:val="both"/>
      </w:pPr>
      <w:r>
        <w:rPr>
          <w:rFonts w:ascii="Times New Roman" w:hAnsi="Times New Roman"/>
          <w:b w:val="0"/>
          <w:i w:val="0"/>
          <w:u w:val="none"/>
        </w:rPr>
        <w:t>Priority 3: Address risk for deficient fluid volume through oral intake monitoring</w:t>
      </w:r>
    </w:p>
    <w:p>
      <w:pPr>
        <w:pStyle w:val="CareStudyHeading2"/>
      </w:pPr>
      <w:r>
        <w:rPr>
          <w:rFonts w:ascii="Times New Roman" w:hAnsi="Times New Roman"/>
          <w:b w:val="0"/>
          <w:i w:val="0"/>
          <w:u w:val="none"/>
        </w:rPr>
        <w:t>2.4</w:t>
      </w:r>
    </w:p>
    <w:p>
      <w:pPr>
        <w:pStyle w:val="CareStudyBody"/>
        <w:spacing w:line="360" w:lineRule="auto"/>
        <w:ind w:firstLine="0"/>
        <w:jc w:val="both"/>
      </w:pPr>
      <w:r>
        <w:rPr>
          <w:rFonts w:ascii="Times New Roman" w:hAnsi="Times New Roman"/>
          <w:b/>
          <w:i w:val="0"/>
          <w:u w:val="none"/>
        </w:rPr>
        <w:t>General Strengths:</w:t>
      </w:r>
    </w:p>
    <w:p>
      <w:pPr>
        <w:pStyle w:val="ListBullet"/>
        <w:numPr>
          <w:ilvl w:val="0"/>
          <w:numId w:val="10"/>
        </w:numPr>
        <w:spacing w:line="360" w:lineRule="auto"/>
        <w:ind w:left="720" w:hanging="360"/>
        <w:jc w:val="both"/>
      </w:pPr>
      <w:r>
        <w:rPr>
          <w:rFonts w:ascii="Times New Roman" w:hAnsi="Times New Roman"/>
          <w:b w:val="0"/>
          <w:i w:val="0"/>
          <w:u w:val="none"/>
        </w:rPr>
        <w:t>Patient demonstrates willingness to engage in prescribed treatments.</w:t>
      </w:r>
    </w:p>
    <w:p>
      <w:pPr>
        <w:pStyle w:val="ListBullet"/>
        <w:numPr>
          <w:ilvl w:val="0"/>
          <w:numId w:val="10"/>
        </w:numPr>
        <w:spacing w:line="360" w:lineRule="auto"/>
        <w:ind w:left="720" w:hanging="360"/>
        <w:jc w:val="both"/>
      </w:pPr>
      <w:r>
        <w:rPr>
          <w:rFonts w:ascii="Times New Roman" w:hAnsi="Times New Roman"/>
          <w:b w:val="0"/>
          <w:i w:val="0"/>
          <w:u w:val="none"/>
        </w:rPr>
        <w:t>Patient shows ability to communicate symptoms effectively.</w:t>
      </w:r>
    </w:p>
    <w:p>
      <w:pPr>
        <w:pStyle w:val="ListBullet"/>
        <w:numPr>
          <w:ilvl w:val="0"/>
          <w:numId w:val="10"/>
        </w:numPr>
        <w:spacing w:line="360" w:lineRule="auto"/>
        <w:ind w:left="720" w:hanging="360"/>
        <w:jc w:val="both"/>
      </w:pPr>
      <w:r>
        <w:rPr>
          <w:rFonts w:ascii="Times New Roman" w:hAnsi="Times New Roman"/>
          <w:b w:val="0"/>
          <w:i w:val="0"/>
          <w:u w:val="none"/>
        </w:rPr>
        <w:t>Patient maintains basic functional abilities with minimal assistance.</w:t>
      </w:r>
    </w:p>
    <w:p>
      <w:pPr>
        <w:pStyle w:val="ListBullet"/>
        <w:numPr>
          <w:ilvl w:val="0"/>
          <w:numId w:val="10"/>
        </w:numPr>
        <w:spacing w:line="360" w:lineRule="auto"/>
        <w:ind w:left="720" w:hanging="360"/>
        <w:jc w:val="both"/>
      </w:pPr>
      <w:r>
        <w:rPr>
          <w:rFonts w:ascii="Times New Roman" w:hAnsi="Times New Roman"/>
          <w:b w:val="0"/>
          <w:i w:val="0"/>
          <w:u w:val="none"/>
        </w:rPr>
        <w:t>Patient exhibits adequate nutritional intake through oral liquids.</w:t>
      </w:r>
    </w:p>
    <w:p>
      <w:pPr>
        <w:pStyle w:val="ListBullet"/>
        <w:numPr>
          <w:ilvl w:val="0"/>
          <w:numId w:val="10"/>
        </w:numPr>
        <w:spacing w:line="360" w:lineRule="auto"/>
        <w:ind w:left="720" w:hanging="360"/>
        <w:jc w:val="both"/>
      </w:pPr>
      <w:r>
        <w:rPr>
          <w:rFonts w:ascii="Times New Roman" w:hAnsi="Times New Roman"/>
          <w:b w:val="0"/>
          <w:i w:val="0"/>
          <w:u w:val="none"/>
        </w:rPr>
        <w:t>Patient displays mobility capacity for short-distance ambulation.</w:t>
      </w:r>
    </w:p>
    <w:p>
      <w:pPr>
        <w:pStyle w:val="ListBullet"/>
        <w:numPr>
          <w:ilvl w:val="0"/>
          <w:numId w:val="10"/>
        </w:numPr>
        <w:spacing w:line="360" w:lineRule="auto"/>
        <w:ind w:left="720" w:hanging="360"/>
        <w:jc w:val="both"/>
      </w:pPr>
      <w:r>
        <w:rPr>
          <w:rFonts w:ascii="Times New Roman" w:hAnsi="Times New Roman"/>
          <w:b w:val="0"/>
          <w:i w:val="0"/>
          <w:u w:val="none"/>
        </w:rPr>
        <w:t>Patient expresses understanding of illness management.</w:t>
      </w:r>
    </w:p>
    <w:p>
      <w:pPr>
        <w:pStyle w:val="ListBullet"/>
        <w:numPr>
          <w:ilvl w:val="0"/>
          <w:numId w:val="10"/>
        </w:numPr>
        <w:spacing w:line="360" w:lineRule="auto"/>
        <w:ind w:left="720" w:hanging="360"/>
        <w:jc w:val="both"/>
      </w:pPr>
      <w:r>
        <w:rPr>
          <w:rFonts w:ascii="Times New Roman" w:hAnsi="Times New Roman"/>
          <w:b w:val="0"/>
          <w:i w:val="0"/>
          <w:u w:val="none"/>
        </w:rPr>
        <w:t>Patient maintains positive outlook during care.</w:t>
      </w:r>
    </w:p>
    <w:p>
      <w:pPr>
        <w:pStyle w:val="CareStudyBody"/>
        <w:spacing w:line="360" w:lineRule="auto"/>
        <w:ind w:firstLine="0"/>
        <w:jc w:val="both"/>
      </w:pPr>
      <w:r>
        <w:rPr>
          <w:rFonts w:ascii="Times New Roman" w:hAnsi="Times New Roman"/>
          <w:b/>
          <w:i w:val="0"/>
          <w:u w:val="none"/>
        </w:rPr>
        <w:t>Specific Strengths:</w:t>
      </w:r>
    </w:p>
    <w:p>
      <w:pPr>
        <w:pStyle w:val="ListBullet"/>
        <w:numPr>
          <w:ilvl w:val="0"/>
          <w:numId w:val="10"/>
        </w:numPr>
        <w:spacing w:line="360" w:lineRule="auto"/>
        <w:ind w:left="720" w:hanging="360"/>
        <w:jc w:val="both"/>
      </w:pPr>
      <w:r>
        <w:rPr>
          <w:rFonts w:ascii="Times New Roman" w:hAnsi="Times New Roman"/>
          <w:b w:val="0"/>
          <w:i w:val="0"/>
          <w:u w:val="none"/>
        </w:rPr>
        <w:t>Patient is willing to take antipyretics as prescribed.</w:t>
      </w:r>
    </w:p>
    <w:p>
      <w:pPr>
        <w:pStyle w:val="ListBullet"/>
        <w:numPr>
          <w:ilvl w:val="0"/>
          <w:numId w:val="10"/>
        </w:numPr>
        <w:spacing w:line="360" w:lineRule="auto"/>
        <w:ind w:left="720" w:hanging="360"/>
        <w:jc w:val="both"/>
      </w:pPr>
      <w:r>
        <w:rPr>
          <w:rFonts w:ascii="Times New Roman" w:hAnsi="Times New Roman"/>
          <w:b w:val="0"/>
          <w:i w:val="0"/>
          <w:u w:val="none"/>
        </w:rPr>
        <w:t>Patient can accurately rate the level of pain experienced.</w:t>
      </w:r>
    </w:p>
    <w:p>
      <w:pPr>
        <w:pStyle w:val="ListBullet"/>
        <w:numPr>
          <w:ilvl w:val="0"/>
          <w:numId w:val="10"/>
        </w:numPr>
        <w:spacing w:line="360" w:lineRule="auto"/>
        <w:ind w:left="720" w:hanging="360"/>
        <w:jc w:val="both"/>
      </w:pPr>
      <w:r>
        <w:rPr>
          <w:rFonts w:ascii="Times New Roman" w:hAnsi="Times New Roman"/>
          <w:b w:val="0"/>
          <w:i w:val="0"/>
          <w:u w:val="none"/>
        </w:rPr>
        <w:t>Patient can perform activities of daily living when support is provided.</w:t>
      </w:r>
    </w:p>
    <w:p>
      <w:pPr>
        <w:pStyle w:val="ListBullet"/>
        <w:numPr>
          <w:ilvl w:val="0"/>
          <w:numId w:val="10"/>
        </w:numPr>
        <w:spacing w:line="360" w:lineRule="auto"/>
        <w:ind w:left="720" w:hanging="360"/>
        <w:jc w:val="both"/>
      </w:pPr>
      <w:r>
        <w:rPr>
          <w:rFonts w:ascii="Times New Roman" w:hAnsi="Times New Roman"/>
          <w:b w:val="0"/>
          <w:i w:val="0"/>
          <w:u w:val="none"/>
        </w:rPr>
        <w:t>Patient can walk a short distance independently.</w:t>
      </w:r>
    </w:p>
    <w:p>
      <w:pPr>
        <w:pStyle w:val="ListBullet"/>
        <w:numPr>
          <w:ilvl w:val="0"/>
          <w:numId w:val="10"/>
        </w:numPr>
        <w:spacing w:line="360" w:lineRule="auto"/>
        <w:ind w:left="720" w:hanging="360"/>
        <w:jc w:val="both"/>
      </w:pPr>
      <w:r>
        <w:rPr>
          <w:rFonts w:ascii="Times New Roman" w:hAnsi="Times New Roman"/>
          <w:b w:val="0"/>
          <w:i w:val="0"/>
          <w:u w:val="none"/>
        </w:rPr>
        <w:t>Patient can consume liquid foods without difficulty.</w:t>
      </w:r>
    </w:p>
    <w:p>
      <w:pPr>
        <w:pStyle w:val="ListBullet"/>
        <w:numPr>
          <w:ilvl w:val="0"/>
          <w:numId w:val="10"/>
        </w:numPr>
        <w:spacing w:line="360" w:lineRule="auto"/>
        <w:ind w:left="720" w:hanging="360"/>
        <w:jc w:val="both"/>
      </w:pPr>
      <w:r>
        <w:rPr>
          <w:rFonts w:ascii="Times New Roman" w:hAnsi="Times New Roman"/>
          <w:b w:val="0"/>
          <w:i w:val="0"/>
          <w:u w:val="none"/>
        </w:rPr>
        <w:t>Patient adheres to medication schedule when reminded.</w:t>
      </w:r>
    </w:p>
    <w:p>
      <w:pPr>
        <w:pStyle w:val="ListBullet"/>
        <w:numPr>
          <w:ilvl w:val="0"/>
          <w:numId w:val="10"/>
        </w:numPr>
        <w:spacing w:line="360" w:lineRule="auto"/>
        <w:ind w:left="720" w:hanging="360"/>
        <w:jc w:val="both"/>
      </w:pPr>
      <w:r>
        <w:rPr>
          <w:rFonts w:ascii="Times New Roman" w:hAnsi="Times New Roman"/>
          <w:b w:val="0"/>
          <w:i w:val="0"/>
          <w:u w:val="none"/>
        </w:rPr>
        <w:t>Patient cooperates with vital sign measurements.</w:t>
      </w:r>
    </w:p>
    <w:p>
      <w:pPr>
        <w:pStyle w:val="CareStudyHeading2"/>
      </w:pPr>
      <w:r>
        <w:rPr>
          <w:rFonts w:ascii="Times New Roman" w:hAnsi="Times New Roman"/>
          <w:b w:val="0"/>
          <w:i w:val="0"/>
          <w:u w:val="none"/>
        </w:rPr>
        <w:t>2.5</w:t>
      </w:r>
    </w:p>
    <w:p>
      <w:pPr>
        <w:pStyle w:val="CareStudyBody"/>
        <w:spacing w:line="360" w:lineRule="auto"/>
        <w:ind w:firstLine="0"/>
        <w:jc w:val="both"/>
      </w:pPr>
      <w:r>
        <w:rPr>
          <w:rFonts w:ascii="Times New Roman" w:hAnsi="Times New Roman"/>
          <w:b w:val="0"/>
          <w:i w:val="0"/>
          <w:u w:val="none"/>
        </w:rPr>
        <w:t>Nursing diagnoses are clinical judgments about individual, family, or community responses to actual or potential health problems or life processes (Open RN, 2024). They guide the planning of nursing care and are derived from patient assessment data. The following diagnoses were identified for this patient.</w:t>
      </w:r>
    </w:p>
    <w:p>
      <w:pPr>
        <w:pStyle w:val="ListBullet"/>
        <w:numPr>
          <w:ilvl w:val="0"/>
          <w:numId w:val="10"/>
        </w:numPr>
        <w:spacing w:line="360" w:lineRule="auto"/>
        <w:ind w:left="720" w:hanging="360"/>
        <w:jc w:val="both"/>
      </w:pPr>
      <w:r>
        <w:rPr>
          <w:rFonts w:ascii="Times New Roman" w:hAnsi="Times New Roman"/>
          <w:b w:val="0"/>
          <w:i w:val="0"/>
          <w:u w:val="none"/>
        </w:rPr>
        <w:t>Priority 1: Hyperthermia related to infectious process (Malaria) as evidenced by temperature of 38.8°C</w:t>
      </w:r>
    </w:p>
    <w:p>
      <w:pPr>
        <w:pStyle w:val="ListBullet"/>
        <w:numPr>
          <w:ilvl w:val="0"/>
          <w:numId w:val="10"/>
        </w:numPr>
        <w:spacing w:line="360" w:lineRule="auto"/>
        <w:ind w:left="720" w:hanging="360"/>
        <w:jc w:val="both"/>
      </w:pPr>
      <w:r>
        <w:rPr>
          <w:rFonts w:ascii="Times New Roman" w:hAnsi="Times New Roman"/>
          <w:b w:val="0"/>
          <w:i w:val="0"/>
          <w:u w:val="none"/>
        </w:rPr>
        <w:t>Priority 2: Acute Pain related to biological injury agent as evidenced by reports of headache and abdominal pains</w:t>
      </w:r>
    </w:p>
    <w:p>
      <w:pPr>
        <w:pStyle w:val="ListBullet"/>
        <w:numPr>
          <w:ilvl w:val="0"/>
          <w:numId w:val="10"/>
        </w:numPr>
        <w:spacing w:line="360" w:lineRule="auto"/>
        <w:ind w:left="720" w:hanging="360"/>
        <w:jc w:val="both"/>
      </w:pPr>
      <w:r>
        <w:rPr>
          <w:rFonts w:ascii="Times New Roman" w:hAnsi="Times New Roman"/>
          <w:b w:val="0"/>
          <w:i w:val="0"/>
          <w:u w:val="none"/>
        </w:rPr>
        <w:t>Priority 3: Activity Intolerance related to general body weakness as evidenced by physical appearance of weakness and report of weakness</w:t>
      </w:r>
    </w:p>
    <w:p>
      <w:pPr>
        <w:pStyle w:val="ListBullet"/>
        <w:numPr>
          <w:ilvl w:val="0"/>
          <w:numId w:val="10"/>
        </w:numPr>
        <w:spacing w:line="360" w:lineRule="auto"/>
        <w:ind w:left="720" w:hanging="360"/>
        <w:jc w:val="both"/>
      </w:pPr>
      <w:r>
        <w:rPr>
          <w:rFonts w:ascii="Times New Roman" w:hAnsi="Times New Roman"/>
          <w:b w:val="0"/>
          <w:i w:val="0"/>
          <w:u w:val="none"/>
        </w:rPr>
        <w:t>Priority 4: Imbalanced Nutrition: Less Than Body Requirements related to loss of appetite as evidenced by patient report of anorexia</w:t>
      </w:r>
    </w:p>
    <w:p>
      <w:pPr>
        <w:pStyle w:val="ListBullet"/>
        <w:numPr>
          <w:ilvl w:val="0"/>
          <w:numId w:val="10"/>
        </w:numPr>
        <w:spacing w:line="360" w:lineRule="auto"/>
        <w:ind w:left="720" w:hanging="360"/>
        <w:jc w:val="both"/>
      </w:pPr>
      <w:r>
        <w:rPr>
          <w:rFonts w:ascii="Times New Roman" w:hAnsi="Times New Roman"/>
          <w:b w:val="0"/>
          <w:i w:val="0"/>
          <w:u w:val="none"/>
        </w:rPr>
        <w:t>Priority 5: Risk for Deficient Fluid Volume related to fever and decreased appetite</w:t>
      </w:r>
    </w:p>
    <w:p>
      <w:pPr>
        <w:pStyle w:val="ListBullet"/>
        <w:numPr>
          <w:ilvl w:val="0"/>
          <w:numId w:val="10"/>
        </w:numPr>
        <w:spacing w:line="360" w:lineRule="auto"/>
        <w:ind w:left="720" w:hanging="360"/>
        <w:jc w:val="both"/>
      </w:pPr>
      <w:r>
        <w:rPr>
          <w:rFonts w:ascii="Times New Roman" w:hAnsi="Times New Roman"/>
          <w:b w:val="0"/>
          <w:i w:val="0"/>
          <w:u w:val="none"/>
        </w:rPr>
        <w:t>Priority 6: Risk for Falls related to dizziness and general body weakness</w:t>
      </w:r>
    </w:p>
    <w:p>
      <w:r>
        <w:br w:type="page"/>
      </w:r>
    </w:p>
    <w:p>
      <w:pPr>
        <w:pStyle w:val="CareStudyHeading1"/>
        <w:jc w:val="center"/>
      </w:pPr>
      <w:r>
        <w:rPr>
          <w:rFonts w:ascii="Times New Roman" w:hAnsi="Times New Roman"/>
          <w:b w:val="0"/>
          <w:i w:val="0"/>
          <w:u w:val="none"/>
        </w:rPr>
        <w:t>CHAPTER THREE</w:t>
        <w:br/>
        <w:t>PLANNING FOR PATIENT AND FAMILY CARE</w:t>
      </w:r>
    </w:p>
    <w:p>
      <w:pPr>
        <w:pStyle w:val="CareStudyBody"/>
        <w:spacing w:line="360" w:lineRule="auto"/>
        <w:ind w:firstLine="0"/>
        <w:jc w:val="both"/>
      </w:pPr>
      <w:r>
        <w:rPr>
          <w:rFonts w:ascii="Times New Roman" w:hAnsi="Times New Roman"/>
          <w:b w:val="0"/>
          <w:i w:val="0"/>
          <w:u w:val="none"/>
        </w:rPr>
        <w:t>Planning is defined as “The registered nurse develops a collaborative plan encompassing strategies to achieve expected outcomes” (Open RN, 2024). This chapter outlines how the student formulates SMART objectives for patient and family care and translates nursing diagnoses into measurable goals. Nursing interventions are chosen from evidence‑based sources such as the Nursing Interventions Classification (NIC) system and are tailored to the client’s individual needs, preferences, and cultural context (Open RN, 2024). The resulting nursing care plan serves as a guide for implementation, delegation, and evaluation, promoting continuity of care among nurses, unlicensed assistive personnel, and the interdisciplinary team (Open RN, 2024).</w:t>
      </w:r>
    </w:p>
    <w:p>
      <w:pPr>
        <w:pStyle w:val="CareStudyHeading2"/>
      </w:pPr>
      <w:r>
        <w:rPr>
          <w:rFonts w:ascii="Times New Roman" w:hAnsi="Times New Roman"/>
          <w:b w:val="0"/>
          <w:i w:val="0"/>
          <w:u w:val="none"/>
        </w:rPr>
        <w:t>3.1</w:t>
      </w:r>
    </w:p>
    <w:p>
      <w:pPr>
        <w:pStyle w:val="CareStudyBody"/>
        <w:spacing w:line="360" w:lineRule="auto"/>
        <w:ind w:firstLine="0"/>
        <w:jc w:val="both"/>
      </w:pPr>
      <w:r>
        <w:rPr>
          <w:rFonts w:ascii="Times New Roman" w:hAnsi="Times New Roman"/>
          <w:b/>
          <w:i w:val="0"/>
          <w:u w:val="none"/>
        </w:rPr>
        <w:t>Short-term objectives</w:t>
      </w:r>
    </w:p>
    <w:p>
      <w:pPr>
        <w:pStyle w:val="ListBullet"/>
        <w:numPr>
          <w:ilvl w:val="0"/>
          <w:numId w:val="10"/>
        </w:numPr>
        <w:spacing w:line="360" w:lineRule="auto"/>
        <w:ind w:left="720" w:hanging="360"/>
        <w:jc w:val="both"/>
      </w:pPr>
      <w:r>
        <w:rPr>
          <w:rFonts w:ascii="Times New Roman" w:hAnsi="Times New Roman"/>
          <w:b w:val="0"/>
          <w:i w:val="0"/>
          <w:u w:val="none"/>
        </w:rPr>
        <w:t>Patient will attain a normal body temperature within 24 hours as evidenced by; A) patient verbalising absence of body hotness and shivering; B) nurse recording a temperature within 36.2–37.2°C.</w:t>
      </w:r>
    </w:p>
    <w:p>
      <w:pPr>
        <w:pStyle w:val="ListBullet"/>
        <w:numPr>
          <w:ilvl w:val="0"/>
          <w:numId w:val="10"/>
        </w:numPr>
        <w:spacing w:line="360" w:lineRule="auto"/>
        <w:ind w:left="720" w:hanging="360"/>
        <w:jc w:val="both"/>
      </w:pPr>
      <w:r>
        <w:rPr>
          <w:rFonts w:ascii="Times New Roman" w:hAnsi="Times New Roman"/>
          <w:b w:val="0"/>
          <w:i w:val="0"/>
          <w:u w:val="none"/>
        </w:rPr>
        <w:t>Patient will attain and maintain normal hydration within 24 hours as evidenced by; A) patient taking fluids willingly; B) nurse observing good skin turgor and moist mucous membranes.</w:t>
      </w:r>
    </w:p>
    <w:p>
      <w:pPr>
        <w:pStyle w:val="ListBullet"/>
        <w:numPr>
          <w:ilvl w:val="0"/>
          <w:numId w:val="10"/>
        </w:numPr>
        <w:spacing w:line="360" w:lineRule="auto"/>
        <w:ind w:left="720" w:hanging="360"/>
        <w:jc w:val="both"/>
      </w:pPr>
      <w:r>
        <w:rPr>
          <w:rFonts w:ascii="Times New Roman" w:hAnsi="Times New Roman"/>
          <w:b w:val="0"/>
          <w:i w:val="0"/>
          <w:u w:val="none"/>
        </w:rPr>
        <w:t>Patient will remain free from falls within 24 hours as evidenced by; A) patient verbalising absence of dizziness; B) nurse observing patient move about safely without falling.</w:t>
      </w:r>
    </w:p>
    <w:p>
      <w:pPr>
        <w:pStyle w:val="ListBullet"/>
        <w:numPr>
          <w:ilvl w:val="0"/>
          <w:numId w:val="10"/>
        </w:numPr>
        <w:spacing w:line="360" w:lineRule="auto"/>
        <w:ind w:left="720" w:hanging="360"/>
        <w:jc w:val="both"/>
      </w:pPr>
      <w:r>
        <w:rPr>
          <w:rFonts w:ascii="Times New Roman" w:hAnsi="Times New Roman"/>
          <w:b w:val="0"/>
          <w:i w:val="0"/>
          <w:u w:val="none"/>
        </w:rPr>
        <w:t>Patient will be relieved of the pain within 30 minutes to 1 hour as evidenced by; A) patient verbalising relief from the pain; B) nurse observing a relaxed facial expression and comfortable posture.</w:t>
      </w:r>
    </w:p>
    <w:p>
      <w:pPr>
        <w:pStyle w:val="ListBullet"/>
        <w:numPr>
          <w:ilvl w:val="0"/>
          <w:numId w:val="10"/>
        </w:numPr>
        <w:spacing w:line="360" w:lineRule="auto"/>
        <w:ind w:left="720" w:hanging="360"/>
        <w:jc w:val="both"/>
      </w:pPr>
      <w:r>
        <w:rPr>
          <w:rFonts w:ascii="Times New Roman" w:hAnsi="Times New Roman"/>
          <w:b w:val="0"/>
          <w:i w:val="0"/>
          <w:u w:val="none"/>
        </w:rPr>
        <w:t>Patient will attain and maintain adequate nutrition within 72 hours as evidenced by; A) patient verbalising improved appetite; B) nurse observing patient finishing meals and gaining weight.</w:t>
      </w:r>
    </w:p>
    <w:p>
      <w:pPr>
        <w:pStyle w:val="ListBullet"/>
        <w:numPr>
          <w:ilvl w:val="0"/>
          <w:numId w:val="10"/>
        </w:numPr>
        <w:spacing w:line="360" w:lineRule="auto"/>
        <w:ind w:left="720" w:hanging="360"/>
        <w:jc w:val="both"/>
      </w:pPr>
      <w:r>
        <w:rPr>
          <w:rFonts w:ascii="Times New Roman" w:hAnsi="Times New Roman"/>
          <w:b w:val="0"/>
          <w:i w:val="0"/>
          <w:u w:val="none"/>
        </w:rPr>
        <w:t>Patient will remain free from falls within 24 hours as evidenced by; A) patient verbalising absence of dizziness; B) nurse observing patient move about safely without falling.</w:t>
      </w:r>
    </w:p>
    <w:p>
      <w:pPr>
        <w:pStyle w:val="CareStudyBody"/>
        <w:spacing w:line="360" w:lineRule="auto"/>
        <w:ind w:firstLine="0"/>
        <w:jc w:val="both"/>
      </w:pPr>
      <w:r>
        <w:rPr>
          <w:rFonts w:ascii="Times New Roman" w:hAnsi="Times New Roman"/>
          <w:b/>
          <w:i w:val="0"/>
          <w:u w:val="none"/>
        </w:rPr>
        <w:t>Outcome criteria</w:t>
      </w:r>
    </w:p>
    <w:p>
      <w:pPr>
        <w:pStyle w:val="ListBullet"/>
        <w:numPr>
          <w:ilvl w:val="0"/>
          <w:numId w:val="10"/>
        </w:numPr>
        <w:spacing w:line="360" w:lineRule="auto"/>
        <w:ind w:left="720" w:hanging="360"/>
        <w:jc w:val="both"/>
      </w:pPr>
      <w:r>
        <w:rPr>
          <w:rFonts w:ascii="Times New Roman" w:hAnsi="Times New Roman"/>
          <w:b w:val="0"/>
          <w:i w:val="0"/>
          <w:u w:val="none"/>
        </w:rPr>
        <w:t>Patient will have baseline, target, date/time, patient response, and measurement against the objective recorded as evidenced by; A) nurse documenting baseline and target; B) nurse recording patient response and measurement.</w:t>
      </w:r>
    </w:p>
    <w:p>
      <w:pPr>
        <w:pStyle w:val="ListBullet"/>
        <w:numPr>
          <w:ilvl w:val="0"/>
          <w:numId w:val="10"/>
        </w:numPr>
        <w:spacing w:line="360" w:lineRule="auto"/>
        <w:ind w:left="720" w:hanging="360"/>
        <w:jc w:val="both"/>
      </w:pPr>
      <w:r>
        <w:rPr>
          <w:rFonts w:ascii="Times New Roman" w:hAnsi="Times New Roman"/>
          <w:b w:val="0"/>
          <w:i w:val="0"/>
          <w:u w:val="none"/>
        </w:rPr>
        <w:t>Patient will have baseline, target, date/time, patient response, and measurement against the objective recorded as evidenced by; A) nurse documenting baseline and target; B) nurse recording patient response and measurement.</w:t>
      </w:r>
    </w:p>
    <w:p>
      <w:pPr>
        <w:pStyle w:val="ListBullet"/>
        <w:numPr>
          <w:ilvl w:val="0"/>
          <w:numId w:val="10"/>
        </w:numPr>
        <w:spacing w:line="360" w:lineRule="auto"/>
        <w:ind w:left="720" w:hanging="360"/>
        <w:jc w:val="both"/>
      </w:pPr>
      <w:r>
        <w:rPr>
          <w:rFonts w:ascii="Times New Roman" w:hAnsi="Times New Roman"/>
          <w:b w:val="0"/>
          <w:i w:val="0"/>
          <w:u w:val="none"/>
        </w:rPr>
        <w:t>Patient will have baseline, target, date/time, patient response, and measurement against the objective recorded as evidenced by; A) nurse documenting baseline and target; B) nurse recording patient response and measurement.</w:t>
      </w:r>
    </w:p>
    <w:p>
      <w:pPr>
        <w:pStyle w:val="ListBullet"/>
        <w:numPr>
          <w:ilvl w:val="0"/>
          <w:numId w:val="10"/>
        </w:numPr>
        <w:spacing w:line="360" w:lineRule="auto"/>
        <w:ind w:left="720" w:hanging="360"/>
        <w:jc w:val="both"/>
      </w:pPr>
      <w:r>
        <w:rPr>
          <w:rFonts w:ascii="Times New Roman" w:hAnsi="Times New Roman"/>
          <w:b w:val="0"/>
          <w:i w:val="0"/>
          <w:u w:val="none"/>
        </w:rPr>
        <w:t>Patient will have baseline, target, date/time, patient response, and measurement against the objective recorded as evidenced by; A) nurse documenting baseline and target; B) nurse recording patient response and measurement.</w:t>
      </w:r>
    </w:p>
    <w:p>
      <w:pPr>
        <w:pStyle w:val="ListBullet"/>
        <w:numPr>
          <w:ilvl w:val="0"/>
          <w:numId w:val="10"/>
        </w:numPr>
        <w:spacing w:line="360" w:lineRule="auto"/>
        <w:ind w:left="720" w:hanging="360"/>
        <w:jc w:val="both"/>
      </w:pPr>
      <w:r>
        <w:rPr>
          <w:rFonts w:ascii="Times New Roman" w:hAnsi="Times New Roman"/>
          <w:b w:val="0"/>
          <w:i w:val="0"/>
          <w:u w:val="none"/>
        </w:rPr>
        <w:t>Patient will have baseline, target, date/time, patient response, and measurement against the objective recorded as evidenced by; A) nurse documenting baseline and target; B) nurse recording patient response and measurement.</w:t>
      </w:r>
    </w:p>
    <w:p>
      <w:pPr>
        <w:pStyle w:val="ListBullet"/>
        <w:numPr>
          <w:ilvl w:val="0"/>
          <w:numId w:val="10"/>
        </w:numPr>
        <w:spacing w:line="360" w:lineRule="auto"/>
        <w:ind w:left="720" w:hanging="360"/>
        <w:jc w:val="both"/>
      </w:pPr>
      <w:r>
        <w:rPr>
          <w:rFonts w:ascii="Times New Roman" w:hAnsi="Times New Roman"/>
          <w:b w:val="0"/>
          <w:i w:val="0"/>
          <w:u w:val="none"/>
        </w:rPr>
        <w:t>Patient will have baseline, target, date/time, patient response, and measurement against the objective recorded as evidenced by; A) nurse documenting baseline and target; B) nurse recording patient response and measurement.</w:t>
      </w:r>
    </w:p>
    <w:p>
      <w:r>
        <w:br w:type="page"/>
      </w:r>
    </w:p>
    <w:p>
      <w:pPr>
        <w:sectPr>
          <w:pgSz w:w="15840" w:h="12240" w:orient="landscape"/>
          <w:pgMar w:top="1440" w:right="1440" w:bottom="1440" w:left="1440" w:header="720" w:footer="720" w:gutter="0"/>
          <w:cols w:space="720"/>
          <w:docGrid w:linePitch="360"/>
        </w:sectPr>
      </w:pPr>
    </w:p>
    <w:p>
      <w:pPr>
        <w:pStyle w:val="CareStudyHeading2"/>
      </w:pPr>
      <w:r>
        <w:rPr>
          <w:rFonts w:ascii="Times New Roman" w:hAnsi="Times New Roman"/>
          <w:b w:val="0"/>
          <w:i w:val="0"/>
          <w:u w:val="none"/>
        </w:rPr>
        <w:t>3.2</w:t>
      </w:r>
    </w:p>
    <w:p>
      <w:pPr>
        <w:pStyle w:val="CareStudyBody"/>
        <w:spacing w:line="360" w:lineRule="auto"/>
        <w:ind w:firstLine="0"/>
        <w:jc w:val="both"/>
      </w:pPr>
      <w:r>
        <w:rPr>
          <w:rFonts w:ascii="Times New Roman" w:hAnsi="Times New Roman"/>
          <w:b w:val="0"/>
          <w:i w:val="0"/>
          <w:u w:val="none"/>
        </w:rPr>
        <w:t>The nursing care plan documents the systematic approach used to address the patient's identified problems, outlining diagnoses, objectives, orders, interventions, and evaluations to ensure coordinated, evidence‑based care. (Open RN, 2024)</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D9D9D9"/>
          </w:tcPr>
          <w:p>
            <w:pPr>
              <w:pStyle w:val="CareStudyTableHeader"/>
            </w:pPr>
            <w:r/>
            <w:r>
              <w:rPr>
                <w:rFonts w:ascii="Times New Roman" w:hAnsi="Times New Roman"/>
                <w:b w:val="0"/>
                <w:i w:val="0"/>
                <w:u w:val="none"/>
              </w:rPr>
              <w:t>Date / time</w:t>
            </w:r>
          </w:p>
        </w:tc>
        <w:tc>
          <w:tcPr>
            <w:tcW w:type="dxa" w:w="1170"/>
            <w:shd w:val="clear" w:color="auto" w:fill="D9D9D9"/>
          </w:tcPr>
          <w:p>
            <w:pPr>
              <w:pStyle w:val="CareStudyTableHeader"/>
            </w:pPr>
            <w:r/>
            <w:r>
              <w:rPr>
                <w:rFonts w:ascii="Times New Roman" w:hAnsi="Times New Roman"/>
                <w:b w:val="0"/>
                <w:i w:val="0"/>
                <w:u w:val="none"/>
              </w:rPr>
              <w:t>Nursing diagnosis</w:t>
            </w:r>
          </w:p>
        </w:tc>
        <w:tc>
          <w:tcPr>
            <w:tcW w:type="dxa" w:w="1170"/>
            <w:shd w:val="clear" w:color="auto" w:fill="D9D9D9"/>
          </w:tcPr>
          <w:p>
            <w:pPr>
              <w:pStyle w:val="CareStudyTableHeader"/>
            </w:pPr>
            <w:r/>
            <w:r>
              <w:rPr>
                <w:rFonts w:ascii="Times New Roman" w:hAnsi="Times New Roman"/>
                <w:b w:val="0"/>
                <w:i w:val="0"/>
                <w:u w:val="none"/>
              </w:rPr>
              <w:t>Objectives / outcome criteria</w:t>
            </w:r>
          </w:p>
        </w:tc>
        <w:tc>
          <w:tcPr>
            <w:tcW w:type="dxa" w:w="1170"/>
            <w:shd w:val="clear" w:color="auto" w:fill="D9D9D9"/>
          </w:tcPr>
          <w:p>
            <w:pPr>
              <w:pStyle w:val="CareStudyTableHeader"/>
            </w:pPr>
            <w:r/>
            <w:r>
              <w:rPr>
                <w:rFonts w:ascii="Times New Roman" w:hAnsi="Times New Roman"/>
                <w:b w:val="0"/>
                <w:i w:val="0"/>
                <w:u w:val="none"/>
              </w:rPr>
              <w:t>Nursing orders</w:t>
            </w:r>
          </w:p>
        </w:tc>
        <w:tc>
          <w:tcPr>
            <w:tcW w:type="dxa" w:w="1170"/>
            <w:shd w:val="clear" w:color="auto" w:fill="D9D9D9"/>
          </w:tcPr>
          <w:p>
            <w:pPr>
              <w:pStyle w:val="CareStudyTableHeader"/>
            </w:pPr>
            <w:r/>
            <w:r>
              <w:rPr>
                <w:rFonts w:ascii="Times New Roman" w:hAnsi="Times New Roman"/>
                <w:b w:val="0"/>
                <w:i w:val="0"/>
                <w:u w:val="none"/>
              </w:rPr>
              <w:t>Nursing interventions</w:t>
            </w:r>
          </w:p>
        </w:tc>
        <w:tc>
          <w:tcPr>
            <w:tcW w:type="dxa" w:w="1170"/>
            <w:shd w:val="clear" w:color="auto" w:fill="D9D9D9"/>
          </w:tcPr>
          <w:p>
            <w:pPr>
              <w:pStyle w:val="CareStudyTableHeader"/>
            </w:pPr>
            <w:r/>
            <w:r>
              <w:rPr>
                <w:rFonts w:ascii="Times New Roman" w:hAnsi="Times New Roman"/>
                <w:b w:val="0"/>
                <w:i w:val="0"/>
                <w:u w:val="none"/>
              </w:rPr>
              <w:t>Date / time — evaluation</w:t>
            </w:r>
          </w:p>
        </w:tc>
        <w:tc>
          <w:tcPr>
            <w:tcW w:type="dxa" w:w="1170"/>
            <w:shd w:val="clear" w:color="auto" w:fill="D9D9D9"/>
          </w:tcPr>
          <w:p>
            <w:pPr>
              <w:pStyle w:val="CareStudyTableHeader"/>
            </w:pPr>
            <w:r/>
            <w:r>
              <w:rPr>
                <w:rFonts w:ascii="Times New Roman" w:hAnsi="Times New Roman"/>
                <w:b w:val="0"/>
                <w:i w:val="0"/>
                <w:u w:val="none"/>
              </w:rPr>
              <w:t>Evaluation</w:t>
            </w:r>
          </w:p>
        </w:tc>
        <w:tc>
          <w:tcPr>
            <w:tcW w:type="dxa" w:w="1170"/>
            <w:shd w:val="clear" w:color="auto" w:fill="D9D9D9"/>
          </w:tcPr>
          <w:p>
            <w:pPr>
              <w:pStyle w:val="CareStudyTableHeader"/>
            </w:pPr>
            <w:r/>
            <w:r>
              <w:rPr>
                <w:rFonts w:ascii="Times New Roman" w:hAnsi="Times New Roman"/>
                <w:b w:val="0"/>
                <w:i w:val="0"/>
                <w:u w:val="none"/>
              </w:rPr>
              <w:t>Rationale</w:t>
            </w:r>
          </w:p>
        </w:tc>
      </w:tr>
      <w:tr>
        <w:tc>
          <w:tcPr>
            <w:tcW w:type="dxa" w:w="1170"/>
          </w:tcPr>
          <w:p>
            <w:pPr>
              <w:pStyle w:val="CareStudyTableCell"/>
            </w:pPr>
            <w:r/>
            <w:r>
              <w:rPr>
                <w:rFonts w:ascii="Times New Roman" w:hAnsi="Times New Roman"/>
                <w:b w:val="0"/>
                <w:i w:val="0"/>
                <w:u w:val="none"/>
              </w:rPr>
              <w:t>—</w:t>
            </w:r>
          </w:p>
        </w:tc>
        <w:tc>
          <w:tcPr>
            <w:tcW w:type="dxa" w:w="1170"/>
          </w:tcPr>
          <w:p>
            <w:pPr>
              <w:pStyle w:val="CareStudyTableCell"/>
            </w:pPr>
            <w:r/>
            <w:r>
              <w:rPr>
                <w:rFonts w:ascii="Times New Roman" w:hAnsi="Times New Roman"/>
                <w:b w:val="0"/>
                <w:i w:val="0"/>
                <w:u w:val="none"/>
              </w:rPr>
              <w:t>Hyperthermia related to malaria infection as evidenced by body temperature of 38.8°C</w:t>
            </w:r>
          </w:p>
        </w:tc>
        <w:tc>
          <w:tcPr>
            <w:tcW w:type="dxa" w:w="1170"/>
          </w:tcPr>
          <w:p>
            <w:pPr>
              <w:pStyle w:val="CareStudyTableCell"/>
            </w:pPr>
            <w:r/>
            <w:r>
              <w:rPr>
                <w:rFonts w:ascii="Times New Roman" w:hAnsi="Times New Roman"/>
                <w:b w:val="0"/>
                <w:i w:val="0"/>
                <w:u w:val="none"/>
              </w:rPr>
              <w:t>Patient will attain a normal body temperature within 24 hours as evidenced by: A) patient verbalising absence of body hotness and shivering; B) nurse recording a temperature within 36.2–37.2°C.</w:t>
            </w:r>
          </w:p>
        </w:tc>
        <w:tc>
          <w:tcPr>
            <w:tcW w:type="dxa" w:w="1170"/>
          </w:tcPr>
          <w:p>
            <w:pPr>
              <w:pStyle w:val="CareStudyTableCell"/>
            </w:pPr>
            <w:r/>
            <w:r>
              <w:rPr>
                <w:rFonts w:ascii="Times New Roman" w:hAnsi="Times New Roman"/>
                <w:b w:val="0"/>
                <w:i w:val="0"/>
                <w:u w:val="none"/>
              </w:rPr>
              <w:t>1) Reassure patient that temperature will be reduced to normal. 2) Monitor and record patient's temperature every 4 hours. 3) Ensure adequate ventilation – open windows, remove excess clothing, and use a fan. 4) Perform tepid sponging to promote heat loss by conduction. 5) Encourage patient to consume cool oral fluids to replace losses. 6) Administer prescribed antipyretic as ordered and evaluate its effect.</w:t>
            </w:r>
          </w:p>
        </w:tc>
        <w:tc>
          <w:tcPr>
            <w:tcW w:type="dxa" w:w="1170"/>
          </w:tcPr>
          <w:p>
            <w:pPr>
              <w:pStyle w:val="CareStudyTableCell"/>
            </w:pPr>
            <w:r/>
            <w:r>
              <w:rPr>
                <w:rFonts w:ascii="Times New Roman" w:hAnsi="Times New Roman"/>
                <w:b w:val="0"/>
                <w:i w:val="0"/>
                <w:u w:val="none"/>
              </w:rPr>
              <w:t>1) Patient was reassured that temperature would be reduced to normal. 2) Patient's temperature was monitored and recorded every 4 hours. 3) Adequate ventilation was ensured – windows opened, excess clothing removed, and fan provided. 4) Patient was tepid sponged to promote heat loss by conduction. 5) Patient was encouraged to consume cool oral fluids. 6) IM diclofenac 75 mg stat was administered as prescribed and the temperature response was evaluated.</w:t>
            </w:r>
          </w:p>
        </w:tc>
        <w:tc>
          <w:tcPr>
            <w:tcW w:type="dxa" w:w="1170"/>
          </w:tcPr>
          <w:p>
            <w:pPr>
              <w:pStyle w:val="CareStudyTableCell"/>
            </w:pPr>
            <w:r/>
            <w:r>
              <w:rPr>
                <w:rFonts w:ascii="Times New Roman" w:hAnsi="Times New Roman"/>
                <w:b w:val="0"/>
                <w:i w:val="0"/>
                <w:u w:val="none"/>
              </w:rPr>
              <w:t>1</w:t>
            </w:r>
            <w:r>
              <w:rPr>
                <w:rFonts w:ascii="Times New Roman" w:hAnsi="Times New Roman"/>
                <w:b w:val="0"/>
                <w:i w:val="0"/>
                <w:u w:val="none"/>
                <w:vertAlign w:val="superscript"/>
              </w:rPr>
              <w:t>st</w:t>
            </w:r>
            <w:r>
              <w:rPr>
                <w:rFonts w:ascii="Times New Roman" w:hAnsi="Times New Roman"/>
                <w:b w:val="0"/>
                <w:i w:val="0"/>
                <w:u w:val="none"/>
              </w:rPr>
              <w:t xml:space="preserve"> June 2026 17:00</w:t>
            </w:r>
          </w:p>
        </w:tc>
        <w:tc>
          <w:tcPr>
            <w:tcW w:type="dxa" w:w="1170"/>
          </w:tcPr>
          <w:p>
            <w:pPr>
              <w:pStyle w:val="CareStudyTableCell"/>
            </w:pPr>
            <w:r/>
            <w:r>
              <w:rPr>
                <w:rFonts w:ascii="Times New Roman" w:hAnsi="Times New Roman"/>
                <w:b w:val="0"/>
                <w:i w:val="0"/>
                <w:u w:val="none"/>
              </w:rPr>
              <w:t>Pending implementation and patient response.</w:t>
            </w:r>
          </w:p>
        </w:tc>
        <w:tc>
          <w:tcPr>
            <w:tcW w:type="dxa" w:w="1170"/>
          </w:tcPr>
          <w:p>
            <w:pPr>
              <w:pStyle w:val="CareStudyTableCell"/>
            </w:pPr>
            <w:r/>
            <w:r>
              <w:rPr>
                <w:rFonts w:ascii="Times New Roman" w:hAnsi="Times New Roman"/>
                <w:b w:val="0"/>
                <w:i w:val="0"/>
                <w:u w:val="none"/>
              </w:rPr>
              <w:t>Orders direct the planned activities toward the temperature objective, and the interventions record that each activity was carried out, supporting timely reassessment of the hyperthermia diagnosis.</w:t>
            </w:r>
          </w:p>
        </w:tc>
      </w:tr>
      <w:tr>
        <w:tc>
          <w:tcPr>
            <w:tcW w:type="dxa" w:w="1170"/>
          </w:tcPr>
          <w:p>
            <w:pPr>
              <w:pStyle w:val="CareStudyTableCell"/>
            </w:pPr>
            <w:r/>
            <w:r>
              <w:rPr>
                <w:rFonts w:ascii="Times New Roman" w:hAnsi="Times New Roman"/>
                <w:b w:val="0"/>
                <w:i w:val="0"/>
                <w:u w:val="none"/>
              </w:rPr>
              <w:t>—</w:t>
            </w:r>
          </w:p>
        </w:tc>
        <w:tc>
          <w:tcPr>
            <w:tcW w:type="dxa" w:w="1170"/>
          </w:tcPr>
          <w:p>
            <w:pPr>
              <w:pStyle w:val="CareStudyTableCell"/>
            </w:pPr>
            <w:r/>
            <w:r>
              <w:rPr>
                <w:rFonts w:ascii="Times New Roman" w:hAnsi="Times New Roman"/>
                <w:b w:val="0"/>
                <w:i w:val="0"/>
                <w:u w:val="none"/>
              </w:rPr>
              <w:t>Risk for Fluid Volume Deficit related to fever and decreased oral intake</w:t>
            </w:r>
          </w:p>
        </w:tc>
        <w:tc>
          <w:tcPr>
            <w:tcW w:type="dxa" w:w="1170"/>
          </w:tcPr>
          <w:p>
            <w:pPr>
              <w:pStyle w:val="CareStudyTableCell"/>
            </w:pPr>
            <w:r/>
            <w:r>
              <w:rPr>
                <w:rFonts w:ascii="Times New Roman" w:hAnsi="Times New Roman"/>
                <w:b w:val="0"/>
                <w:i w:val="0"/>
                <w:u w:val="none"/>
              </w:rPr>
              <w:t>Patient will attain and maintain normal hydration within 24 hours as evidenced by: A) patient taking fluids willingly; B) nurse observing good skin turgor and moist mucous membranes.</w:t>
            </w:r>
          </w:p>
        </w:tc>
        <w:tc>
          <w:tcPr>
            <w:tcW w:type="dxa" w:w="1170"/>
          </w:tcPr>
          <w:p>
            <w:pPr>
              <w:pStyle w:val="CareStudyTableCell"/>
            </w:pPr>
            <w:r/>
            <w:r>
              <w:rPr>
                <w:rFonts w:ascii="Times New Roman" w:hAnsi="Times New Roman"/>
                <w:b w:val="0"/>
                <w:i w:val="0"/>
                <w:u w:val="none"/>
              </w:rPr>
              <w:t>1) Reassure patient that preventive measures will be put in place to avert fluid volume deficit. 2) Assess and record patient's hydration status – skin turgor, mucous membranes, and urine output. 3) Encourage patient to take oral fluids as tolerated and record intake and output. 4) Administer prescribed intravenous fluids as ordered and regulate the rate. 5) Educate patient and family on the signs of dehydration to report, such as dry mouth and dark urine. 6) Weigh patient daily at the same time to monitor fluid balance.</w:t>
            </w:r>
          </w:p>
        </w:tc>
        <w:tc>
          <w:tcPr>
            <w:tcW w:type="dxa" w:w="1170"/>
          </w:tcPr>
          <w:p>
            <w:pPr>
              <w:pStyle w:val="CareStudyTableCell"/>
            </w:pPr>
            <w:r/>
            <w:r>
              <w:rPr>
                <w:rFonts w:ascii="Times New Roman" w:hAnsi="Times New Roman"/>
                <w:b w:val="0"/>
                <w:i w:val="0"/>
                <w:u w:val="none"/>
              </w:rPr>
              <w:t>1) Patient was reassured that measures had been put in place to restore hydration. 2) Patient's hydration status – skin turgor, mucous membranes, and urine output – was assessed and recorded. 3) Patient was encouraged to take oral fluids as tolerated, and intake and output were recorded. 4) IV Sodium Chloride infusion 500 mL stat was administered as prescribed and the rate regulated. 5) Patient and family were educated on the signs of dehydration to report, such as dry mouth and dark urine. 6) Patient was weighed daily at the same time to monitor fluid balance.</w:t>
            </w:r>
          </w:p>
        </w:tc>
        <w:tc>
          <w:tcPr>
            <w:tcW w:type="dxa" w:w="1170"/>
          </w:tcPr>
          <w:p>
            <w:pPr>
              <w:pStyle w:val="CareStudyTableCell"/>
            </w:pPr>
            <w:r/>
            <w:r>
              <w:rPr>
                <w:rFonts w:ascii="Times New Roman" w:hAnsi="Times New Roman"/>
                <w:b w:val="0"/>
                <w:i w:val="0"/>
                <w:u w:val="none"/>
              </w:rPr>
              <w:t>5</w:t>
            </w:r>
            <w:r>
              <w:rPr>
                <w:rFonts w:ascii="Times New Roman" w:hAnsi="Times New Roman"/>
                <w:b w:val="0"/>
                <w:i w:val="0"/>
                <w:u w:val="none"/>
                <w:vertAlign w:val="superscript"/>
              </w:rPr>
              <w:t>th</w:t>
            </w:r>
            <w:r>
              <w:rPr>
                <w:rFonts w:ascii="Times New Roman" w:hAnsi="Times New Roman"/>
                <w:b w:val="0"/>
                <w:i w:val="0"/>
                <w:u w:val="none"/>
              </w:rPr>
              <w:t xml:space="preserve"> June 2026 10:45</w:t>
            </w:r>
          </w:p>
        </w:tc>
        <w:tc>
          <w:tcPr>
            <w:tcW w:type="dxa" w:w="1170"/>
          </w:tcPr>
          <w:p>
            <w:pPr>
              <w:pStyle w:val="CareStudyTableCell"/>
            </w:pPr>
            <w:r/>
            <w:r>
              <w:rPr>
                <w:rFonts w:ascii="Times New Roman" w:hAnsi="Times New Roman"/>
                <w:b w:val="0"/>
                <w:i w:val="0"/>
                <w:u w:val="none"/>
              </w:rPr>
              <w:t>Pending implementation and patient response.</w:t>
            </w:r>
          </w:p>
        </w:tc>
        <w:tc>
          <w:tcPr>
            <w:tcW w:type="dxa" w:w="1170"/>
          </w:tcPr>
          <w:p>
            <w:pPr>
              <w:pStyle w:val="CareStudyTableCell"/>
            </w:pPr>
            <w:r/>
            <w:r>
              <w:rPr>
                <w:rFonts w:ascii="Times New Roman" w:hAnsi="Times New Roman"/>
                <w:b w:val="0"/>
                <w:i w:val="0"/>
                <w:u w:val="none"/>
              </w:rPr>
              <w:t>Orders align with the hydration objective, and the interventions document execution, supporting reassessment of fluid volume deficit risk.</w:t>
            </w:r>
          </w:p>
        </w:tc>
      </w:tr>
      <w:tr>
        <w:tc>
          <w:tcPr>
            <w:tcW w:type="dxa" w:w="1170"/>
          </w:tcPr>
          <w:p>
            <w:pPr>
              <w:pStyle w:val="CareStudyTableCell"/>
            </w:pPr>
            <w:r/>
            <w:r>
              <w:rPr>
                <w:rFonts w:ascii="Times New Roman" w:hAnsi="Times New Roman"/>
                <w:b w:val="0"/>
                <w:i w:val="0"/>
                <w:u w:val="none"/>
              </w:rPr>
              <w:t>—</w:t>
            </w:r>
          </w:p>
        </w:tc>
        <w:tc>
          <w:tcPr>
            <w:tcW w:type="dxa" w:w="1170"/>
          </w:tcPr>
          <w:p>
            <w:pPr>
              <w:pStyle w:val="CareStudyTableCell"/>
            </w:pPr>
            <w:r/>
            <w:r>
              <w:rPr>
                <w:rFonts w:ascii="Times New Roman" w:hAnsi="Times New Roman"/>
                <w:b w:val="0"/>
                <w:i w:val="0"/>
                <w:u w:val="none"/>
              </w:rPr>
              <w:t>Risk for Falls related to generalized weakness</w:t>
            </w:r>
          </w:p>
        </w:tc>
        <w:tc>
          <w:tcPr>
            <w:tcW w:type="dxa" w:w="1170"/>
          </w:tcPr>
          <w:p>
            <w:pPr>
              <w:pStyle w:val="CareStudyTableCell"/>
            </w:pPr>
            <w:r/>
            <w:r>
              <w:rPr>
                <w:rFonts w:ascii="Times New Roman" w:hAnsi="Times New Roman"/>
                <w:b w:val="0"/>
                <w:i w:val="0"/>
                <w:u w:val="none"/>
              </w:rPr>
              <w:t>Patient will remain free from falls within 24 hours as evidenced by: A) patient verbalising absence of dizziness; B) nurse observing patient move about safely without falling.</w:t>
            </w:r>
          </w:p>
        </w:tc>
        <w:tc>
          <w:tcPr>
            <w:tcW w:type="dxa" w:w="1170"/>
          </w:tcPr>
          <w:p>
            <w:pPr>
              <w:pStyle w:val="CareStudyTableCell"/>
            </w:pPr>
            <w:r/>
            <w:r>
              <w:rPr>
                <w:rFonts w:ascii="Times New Roman" w:hAnsi="Times New Roman"/>
                <w:b w:val="0"/>
                <w:i w:val="0"/>
                <w:u w:val="none"/>
              </w:rPr>
              <w:t>1) Reassure patient that preventive measures will be put in place to avert falls. 2) Monitor vital signs, especially blood pressure, every 4 hours. 3) Raise bedside rails and keep the bed in its lowest position. 4) Keep patient's personal items within easy reach. 5) Assist patient with daily activities such as ambulating and changing positions slowly. 6) Switch on adequate lighting and keep the floor clear and dry.</w:t>
            </w:r>
          </w:p>
        </w:tc>
        <w:tc>
          <w:tcPr>
            <w:tcW w:type="dxa" w:w="1170"/>
          </w:tcPr>
          <w:p>
            <w:pPr>
              <w:pStyle w:val="CareStudyTableCell"/>
            </w:pPr>
            <w:r/>
            <w:r>
              <w:rPr>
                <w:rFonts w:ascii="Times New Roman" w:hAnsi="Times New Roman"/>
                <w:b w:val="0"/>
                <w:i w:val="0"/>
                <w:u w:val="none"/>
              </w:rPr>
              <w:t>1) Patient was reassured that safety measures had been put in place to allay fears and anxiety. 2) Vital signs, especially blood pressure, were monitored every 4 hours and recorded. 3) Bedside rails were raised and the bed kept in its lowest position to prevent falls. 4) Patient's personal items were kept within easy reach. 5) Patient was assisted with daily activities and to change positions slowly. 6) Adequate lighting was provided and the floor kept clear and dry.</w:t>
            </w:r>
          </w:p>
        </w:tc>
        <w:tc>
          <w:tcPr>
            <w:tcW w:type="dxa" w:w="1170"/>
          </w:tcPr>
          <w:p>
            <w:pPr>
              <w:pStyle w:val="CareStudyTableCell"/>
            </w:pPr>
            <w:r/>
            <w:r>
              <w:rPr>
                <w:rFonts w:ascii="Times New Roman" w:hAnsi="Times New Roman"/>
                <w:b w:val="0"/>
                <w:i w:val="0"/>
                <w:u w:val="none"/>
              </w:rPr>
              <w:t>3</w:t>
            </w:r>
            <w:r>
              <w:rPr>
                <w:rFonts w:ascii="Times New Roman" w:hAnsi="Times New Roman"/>
                <w:b w:val="0"/>
                <w:i w:val="0"/>
                <w:u w:val="none"/>
                <w:vertAlign w:val="superscript"/>
              </w:rPr>
              <w:t>rd</w:t>
            </w:r>
            <w:r>
              <w:rPr>
                <w:rFonts w:ascii="Times New Roman" w:hAnsi="Times New Roman"/>
                <w:b w:val="0"/>
                <w:i w:val="0"/>
                <w:u w:val="none"/>
              </w:rPr>
              <w:t xml:space="preserve"> June 2026 06:00</w:t>
            </w:r>
          </w:p>
        </w:tc>
        <w:tc>
          <w:tcPr>
            <w:tcW w:type="dxa" w:w="1170"/>
          </w:tcPr>
          <w:p>
            <w:pPr>
              <w:pStyle w:val="CareStudyTableCell"/>
            </w:pPr>
            <w:r/>
            <w:r>
              <w:rPr>
                <w:rFonts w:ascii="Times New Roman" w:hAnsi="Times New Roman"/>
                <w:b w:val="0"/>
                <w:i w:val="0"/>
                <w:u w:val="none"/>
              </w:rPr>
              <w:t>Pending implementation and patient response.</w:t>
            </w:r>
          </w:p>
        </w:tc>
        <w:tc>
          <w:tcPr>
            <w:tcW w:type="dxa" w:w="1170"/>
          </w:tcPr>
          <w:p>
            <w:pPr>
              <w:pStyle w:val="CareStudyTableCell"/>
            </w:pPr>
            <w:r/>
            <w:r>
              <w:rPr>
                <w:rFonts w:ascii="Times New Roman" w:hAnsi="Times New Roman"/>
                <w:b w:val="0"/>
                <w:i w:val="0"/>
                <w:u w:val="none"/>
              </w:rPr>
              <w:t>Orders support fall‑prevention goals, and the interventions record implementation, aiding reassessment of the fall risk.</w:t>
            </w:r>
          </w:p>
        </w:tc>
      </w:tr>
      <w:tr>
        <w:tc>
          <w:tcPr>
            <w:tcW w:type="dxa" w:w="1170"/>
          </w:tcPr>
          <w:p>
            <w:pPr>
              <w:pStyle w:val="CareStudyTableCell"/>
            </w:pPr>
            <w:r/>
            <w:r>
              <w:rPr>
                <w:rFonts w:ascii="Times New Roman" w:hAnsi="Times New Roman"/>
                <w:b w:val="0"/>
                <w:i w:val="0"/>
                <w:u w:val="none"/>
              </w:rPr>
              <w:t>—</w:t>
            </w:r>
          </w:p>
        </w:tc>
        <w:tc>
          <w:tcPr>
            <w:tcW w:type="dxa" w:w="1170"/>
          </w:tcPr>
          <w:p>
            <w:pPr>
              <w:pStyle w:val="CareStudyTableCell"/>
            </w:pPr>
            <w:r/>
            <w:r>
              <w:rPr>
                <w:rFonts w:ascii="Times New Roman" w:hAnsi="Times New Roman"/>
                <w:b w:val="0"/>
                <w:i w:val="0"/>
                <w:u w:val="none"/>
              </w:rPr>
              <w:t>Acute Pain related to malaria infection as evidenced by patient reports of headache and abdominal pain</w:t>
            </w:r>
          </w:p>
        </w:tc>
        <w:tc>
          <w:tcPr>
            <w:tcW w:type="dxa" w:w="1170"/>
          </w:tcPr>
          <w:p>
            <w:pPr>
              <w:pStyle w:val="CareStudyTableCell"/>
            </w:pPr>
            <w:r/>
            <w:r>
              <w:rPr>
                <w:rFonts w:ascii="Times New Roman" w:hAnsi="Times New Roman"/>
                <w:b w:val="0"/>
                <w:i w:val="0"/>
                <w:u w:val="none"/>
              </w:rPr>
              <w:t>Patient will be relieved of the pain within 30 minutes to 1 hour as evidenced by: A) patient verbalising relief from the pain; B) nurse observing a relaxed facial expression and comfortable posture.</w:t>
            </w:r>
          </w:p>
        </w:tc>
        <w:tc>
          <w:tcPr>
            <w:tcW w:type="dxa" w:w="1170"/>
          </w:tcPr>
          <w:p>
            <w:pPr>
              <w:pStyle w:val="CareStudyTableCell"/>
            </w:pPr>
            <w:r/>
            <w:r>
              <w:rPr>
                <w:rFonts w:ascii="Times New Roman" w:hAnsi="Times New Roman"/>
                <w:b w:val="0"/>
                <w:i w:val="0"/>
                <w:u w:val="none"/>
              </w:rPr>
              <w:t>1) Reassure patient that the pain will be relieved with the nursing measures that will be put in place. 2) Assess pain level using the pain scale (0–10) including onset, location, character, and aggravating factors. 3) Let patient assume a position of comfort of choice. 4) Check and record vital signs to serve as baseline data for future comparison. 5) Give diversional therapy to take patient's mind off the pain. 6) Nurse patient in a calm, quiet environment and restrict visitors. 7) Administer prescribed analgesic as ordered and evaluate its effect.</w:t>
            </w:r>
          </w:p>
        </w:tc>
        <w:tc>
          <w:tcPr>
            <w:tcW w:type="dxa" w:w="1170"/>
          </w:tcPr>
          <w:p>
            <w:pPr>
              <w:pStyle w:val="CareStudyTableCell"/>
            </w:pPr>
            <w:r/>
            <w:r>
              <w:rPr>
                <w:rFonts w:ascii="Times New Roman" w:hAnsi="Times New Roman"/>
                <w:b w:val="0"/>
                <w:i w:val="0"/>
                <w:u w:val="none"/>
              </w:rPr>
              <w:t>1) Patient was reassured that the pain will be relieved with the nursing measures put in place. 2) Pain level was assessed using the 0–10 pain scale, including onset, location, and character</w:t>
            </w:r>
          </w:p>
        </w:tc>
        <w:tc>
          <w:tcPr>
            <w:tcW w:type="dxa" w:w="1170"/>
          </w:tcPr>
          <w:p>
            <w:pPr>
              <w:pStyle w:val="CareStudyTableCell"/>
            </w:pPr>
            <w:r/>
            <w:r>
              <w:rPr>
                <w:rFonts w:ascii="Times New Roman" w:hAnsi="Times New Roman"/>
                <w:b w:val="0"/>
                <w:i w:val="0"/>
                <w:u w:val="none"/>
              </w:rPr>
              <w:t>—</w:t>
            </w:r>
          </w:p>
        </w:tc>
        <w:tc>
          <w:tcPr>
            <w:tcW w:type="dxa" w:w="1170"/>
          </w:tcPr>
          <w:p>
            <w:pPr>
              <w:pStyle w:val="CareStudyTableCell"/>
            </w:pPr>
            <w:r/>
            <w:r>
              <w:rPr>
                <w:rFonts w:ascii="Times New Roman" w:hAnsi="Times New Roman"/>
                <w:b w:val="0"/>
                <w:i w:val="0"/>
                <w:u w:val="none"/>
              </w:rPr>
              <w:t>—</w:t>
            </w:r>
          </w:p>
        </w:tc>
        <w:tc>
          <w:tcPr>
            <w:tcW w:type="dxa" w:w="1170"/>
          </w:tcPr>
          <w:p>
            <w:pPr>
              <w:pStyle w:val="CareStudyTableCell"/>
            </w:pPr>
            <w:r/>
            <w:r>
              <w:rPr>
                <w:rFonts w:ascii="Times New Roman" w:hAnsi="Times New Roman"/>
                <w:b w:val="0"/>
                <w:i w:val="0"/>
                <w:u w:val="none"/>
              </w:rPr>
              <w:t>—</w:t>
            </w:r>
          </w:p>
        </w:tc>
      </w:tr>
    </w:tbl>
    <w:p>
      <w:r>
        <w:br w:type="page"/>
      </w:r>
    </w:p>
    <w:p>
      <w:pPr>
        <w:pStyle w:val="CareStudyHeading1"/>
        <w:jc w:val="center"/>
      </w:pPr>
      <w:r>
        <w:rPr>
          <w:rFonts w:ascii="Times New Roman" w:hAnsi="Times New Roman"/>
          <w:b w:val="0"/>
          <w:i w:val="0"/>
          <w:u w:val="none"/>
        </w:rPr>
        <w:t>CHAPTER FOUR</w:t>
        <w:br/>
        <w:t>IMPLEMENTATION OF PATIENT/FAMILY CARE</w:t>
      </w:r>
    </w:p>
    <w:p>
      <w:pPr>
        <w:pStyle w:val="CareStudyBody"/>
        <w:spacing w:line="360" w:lineRule="auto"/>
        <w:ind w:firstLine="0"/>
        <w:jc w:val="both"/>
      </w:pPr>
      <w:r>
        <w:rPr>
          <w:rFonts w:ascii="Times New Roman" w:hAnsi="Times New Roman"/>
          <w:b w:val="0"/>
          <w:i w:val="0"/>
          <w:u w:val="none"/>
        </w:rPr>
        <w:t>Implementation is the phase of the nursing process where planned nursing interventions are carried out (Open RN, 2024). This chapter documents the actual nursing care provided on a day‑by‑day basis, including specific procedures, treatments, and patient and family education that were performed during the hospitalization. It also describes how the patient and family were prepared for discharge and rehabilitation, outlining the teaching, planning, and coordination activities undertaken to facilitate a safe transition home. Finally, the chapter details any pre‑discharge or post‑discharge follow‑up, home visits, or continuity‑of‑care measures that were arranged to support ongoing recovery and prevent readmission. By presenting these actions, the chapter illustrates the translation of the nursing plan into practice and provides a basis for evaluating intervention effectiveness and planning post‑hospital support.</w:t>
      </w:r>
    </w:p>
    <w:p>
      <w:pPr>
        <w:pStyle w:val="CareStudyHeading2"/>
      </w:pPr>
      <w:r>
        <w:rPr>
          <w:rFonts w:ascii="Times New Roman" w:hAnsi="Times New Roman"/>
          <w:b w:val="0"/>
          <w:i w:val="0"/>
          <w:u w:val="none"/>
        </w:rPr>
        <w:t>4.1</w:t>
      </w:r>
    </w:p>
    <w:p>
      <w:pPr>
        <w:pStyle w:val="CareStudyBody"/>
        <w:spacing w:line="360" w:lineRule="auto"/>
        <w:ind w:firstLine="0"/>
        <w:jc w:val="both"/>
      </w:pPr>
      <w:r>
        <w:rPr>
          <w:rFonts w:ascii="Times New Roman" w:hAnsi="Times New Roman"/>
          <w:b w:val="0"/>
          <w:i w:val="0"/>
          <w:u w:val="none"/>
        </w:rPr>
        <w:t>Comprehensive nursing care was given to MR KT from 1</w:t>
      </w:r>
      <w:r>
        <w:rPr>
          <w:rFonts w:ascii="Times New Roman" w:hAnsi="Times New Roman"/>
          <w:b w:val="0"/>
          <w:i w:val="0"/>
          <w:u w:val="none"/>
          <w:vertAlign w:val="superscript"/>
        </w:rPr>
        <w:t>st</w:t>
      </w:r>
      <w:r>
        <w:rPr>
          <w:rFonts w:ascii="Times New Roman" w:hAnsi="Times New Roman"/>
          <w:b w:val="0"/>
          <w:i w:val="0"/>
          <w:u w:val="none"/>
        </w:rPr>
        <w:t xml:space="preserve"> June 2025 at 10:00 to the day of discharge at the Males' ward. MR KT was admitted through the Outpatient Department (OPD) on 1</w:t>
      </w:r>
      <w:r>
        <w:rPr>
          <w:rFonts w:ascii="Times New Roman" w:hAnsi="Times New Roman"/>
          <w:b w:val="0"/>
          <w:i w:val="0"/>
          <w:u w:val="none"/>
          <w:vertAlign w:val="superscript"/>
        </w:rPr>
        <w:t>st</w:t>
      </w:r>
      <w:r>
        <w:rPr>
          <w:rFonts w:ascii="Times New Roman" w:hAnsi="Times New Roman"/>
          <w:b w:val="0"/>
          <w:i w:val="0"/>
          <w:u w:val="none"/>
        </w:rPr>
        <w:t xml:space="preserve"> June 2025 at 10:00 with the health problems of hyperthermia related to malaria infection as evidenced by a body temperature of 38.8°C, risk for fluid volume deficit related to fever and decreased oral intake, risk for falls related to generalized weakness, acute pain related to malaria infection as evidenced by patient reports of headache and abdominal pain, imbalanced nutrition: less than body requirements related to loss of appetite, and activity intolerance related to generalized weakness. Prescribed treatment included IM diclofenac 75 mg stat, IV artesunate amodiaquine 182.4 mg every 12 hours, and IV sodium chloride infusion 500 mL stat. Investigations requested on admission were a full blood count (FBC), blood film for malaria parasite, Widal test, and H-pylori test.</w:t>
      </w:r>
    </w:p>
    <w:p>
      <w:pPr>
        <w:pStyle w:val="CareStudyBody"/>
        <w:spacing w:line="360" w:lineRule="auto"/>
        <w:ind w:firstLine="0"/>
        <w:jc w:val="both"/>
      </w:pPr>
      <w:r>
        <w:rPr>
          <w:rFonts w:ascii="Times New Roman" w:hAnsi="Times New Roman"/>
          <w:b/>
          <w:i w:val="0"/>
          <w:u w:val="none"/>
        </w:rPr>
        <w:t>Day of Admission (1&lt;sup&gt;st&lt;/sup&gt; June 2025)</w:t>
      </w:r>
    </w:p>
    <w:p>
      <w:pPr>
        <w:pStyle w:val="CareStudyBody"/>
        <w:spacing w:line="360" w:lineRule="auto"/>
        <w:ind w:firstLine="0"/>
        <w:jc w:val="both"/>
      </w:pPr>
      <w:r>
        <w:rPr>
          <w:rFonts w:ascii="Times New Roman" w:hAnsi="Times New Roman"/>
          <w:b w:val="0"/>
          <w:i w:val="0"/>
          <w:u w:val="none"/>
        </w:rPr>
        <w:t>On 1</w:t>
      </w:r>
      <w:r>
        <w:rPr>
          <w:rFonts w:ascii="Times New Roman" w:hAnsi="Times New Roman"/>
          <w:b w:val="0"/>
          <w:i w:val="0"/>
          <w:u w:val="none"/>
          <w:vertAlign w:val="superscript"/>
        </w:rPr>
        <w:t>st</w:t>
      </w:r>
      <w:r>
        <w:rPr>
          <w:rFonts w:ascii="Times New Roman" w:hAnsi="Times New Roman"/>
          <w:b w:val="0"/>
          <w:i w:val="0"/>
          <w:u w:val="none"/>
        </w:rPr>
        <w:t xml:space="preserve"> June 2025 at 10:00, MR KT was admitted through the OPD and received a warm welcome to the ward, reassurance, and orientation to the ward and its anexes. An admission bed was prepared and provided, vital signs were checked and recorded, and the prescribed medications were administered. The vital signs recorded on admission were a temperature of 38.8°C, a pulse of 130, a respiration rate of 26, a blood pressure of 123/78, an oxygen saturation of 99%, and a weight of 76. For the care of hyperthermia related to malaria infection, the patient was reassured that the temperature would be reduced to normal; the patient's temperature was monitored and recorded every 4 hours; adequate ventilation was ensured by opening windows, removing excess clothing, and providing a fan; the patient was tepid sponged to promote heat loss by conduction; the patient was encouraged to consume cool oral fluids; and IM diclofenac 75 mg stat was administered as prescribed and the temperature response was evaluated. For the care of risk for fluid volume deficit related to fever and decreased oral intake, the patient was reassured that preventive measures had been put in place to restore hydration; the patient's hydration status, including skin turgor, mucous membranes, and urine output, was assessed and recorded; the patient was encouraged to take oral fluids as tolerated and intake and output were recorded; IV sodium chloride infusion 500 mL stat was administered as prescribed and the rate was regulated; the patient and family were educated on the signs of dehydration to report, such as dry mouth and dark urine; and the patient was weighed daily at the same time to monitor fluid balance. For the care of risk for falls related to generalized weakness, the patient was reassured that safety measures had been put in place to allay fears and anxiety; vital signs, especially blood pressure, were monitored every 4 hours and recorded; bedside rails were raised and the bed was kept in its lowest position; the patient's personal items were kept within easy reach; the patient was assisted with daily activities and to change positions slowly; and adequate lighting was provided and the floor was kept clear and dry. For the care of acute pain related to malaria infection as evidenced by headache and abdominal pain, the patient was reassured that the pain would be relieved with the nursing measures put in place; pain level was assessed using the 0–10 pain scale, including onset, location, and character; the patient was allowed to assume a position of comfort of choice; vital signs were checked and recorded to serve as baseline data for future comparison; diversional therapy was given to take the patient's mind off the pain; the patient was nursed in a calm, quiet environment and visitors were restricted; and IM diclofenac 75 mg stat was administered as prescribed and its effect was evaluated. For the care of imbalanced nutrition: less than body requirements related to loss of appetite, the patient's nutritional status was assessed using weight, BMI, and dietary history; the patient was educated on a nutritious diet rich in the required nutrients; the patient was encouraged to eat small, frequent meals as tolerated; oral care was provided before meals to enhance appetite; the dietitian or family was involved in meal planning and serving; and the patient's weight and intake were monitored and recorded regularly. For the care of activity intolerance related to generalized weakness, the patient was reassured that safety measures had been put in place to allay fears and anxiety; vital signs, especially blood pressure, were monitored every 4 hours and recorded; bedside rails were raised and the bed was kept in its lowest position; the patient's personal items were kept within easy reach; the patient was assisted with daily activities and to change positions slowly; and adequate lighting was provided and the floor was kept clear and dry. The date and time each objective was set and met, and the evidence observed, was to be documented at the time of care. The vital-signs range recorded on the day of admission was a temperature of 38.8°C, a pulse of 130, a respiration rate of 26, a blood pressure of 123/78, and an oxygen saturation of 99%.</w:t>
      </w:r>
    </w:p>
    <w:p>
      <w:pPr>
        <w:pStyle w:val="CareStudyBody"/>
        <w:spacing w:line="360" w:lineRule="auto"/>
        <w:ind w:firstLine="0"/>
        <w:jc w:val="both"/>
      </w:pPr>
      <w:r>
        <w:rPr>
          <w:rFonts w:ascii="Times New Roman" w:hAnsi="Times New Roman"/>
          <w:b/>
          <w:i w:val="0"/>
          <w:u w:val="none"/>
        </w:rPr>
        <w:t>Day of Discharge ([date])</w:t>
      </w:r>
    </w:p>
    <w:p>
      <w:pPr>
        <w:pStyle w:val="CareStudyBody"/>
        <w:spacing w:line="360" w:lineRule="auto"/>
        <w:ind w:firstLine="0"/>
        <w:jc w:val="both"/>
      </w:pPr>
      <w:r>
        <w:rPr>
          <w:rFonts w:ascii="Times New Roman" w:hAnsi="Times New Roman"/>
          <w:b w:val="0"/>
          <w:i w:val="0"/>
          <w:u w:val="none"/>
        </w:rPr>
        <w:t>[document the care given this day]</w:t>
      </w:r>
    </w:p>
    <w:p>
      <w:pPr>
        <w:pStyle w:val="CareStudyHeading2"/>
      </w:pPr>
      <w:r>
        <w:rPr>
          <w:rFonts w:ascii="Times New Roman" w:hAnsi="Times New Roman"/>
          <w:b w:val="0"/>
          <w:i w:val="0"/>
          <w:u w:val="none"/>
        </w:rPr>
        <w:t>4.2</w:t>
      </w:r>
    </w:p>
    <w:p>
      <w:pPr>
        <w:pStyle w:val="CareStudyBody"/>
        <w:spacing w:line="360" w:lineRule="auto"/>
        <w:ind w:firstLine="0"/>
        <w:jc w:val="both"/>
      </w:pPr>
      <w:r>
        <w:rPr>
          <w:rFonts w:ascii="Times New Roman" w:hAnsi="Times New Roman"/>
          <w:b w:val="0"/>
          <w:i w:val="0"/>
          <w:u w:val="none"/>
        </w:rPr>
        <w:t>Preparation of patient and family for discharge and rehabilitation commenced on the day of admission (1</w:t>
      </w:r>
      <w:r>
        <w:rPr>
          <w:rFonts w:ascii="Times New Roman" w:hAnsi="Times New Roman"/>
          <w:b w:val="0"/>
          <w:i w:val="0"/>
          <w:u w:val="none"/>
          <w:vertAlign w:val="superscript"/>
        </w:rPr>
        <w:t>st</w:t>
      </w:r>
      <w:r>
        <w:rPr>
          <w:rFonts w:ascii="Times New Roman" w:hAnsi="Times New Roman"/>
          <w:b w:val="0"/>
          <w:i w:val="0"/>
          <w:u w:val="none"/>
        </w:rPr>
        <w:t xml:space="preserve"> June 2026 at 10:00) and continued throughout the hospital stay. The patient and family received education on malaria, including its causative agent, typical signs and symptoms, potential complications, and preventive measures. Medication instruction covered each prescribed drug’s name, purpose, dose, route, frequency, the importance of completing the full course, and the prohibition against sharing leftover medication. Dietary guidance was provided, outlining foods to encourage and those to limit based on the patient’s nutritional status. Family members were taught the danger signs that necessitate immediate hospital contact—[state the specific danger signs taught]. A review appointment was communicated to the patient and family—19</w:t>
      </w:r>
      <w:r>
        <w:rPr>
          <w:rFonts w:ascii="Times New Roman" w:hAnsi="Times New Roman"/>
          <w:b w:val="0"/>
          <w:i w:val="0"/>
          <w:u w:val="none"/>
          <w:vertAlign w:val="superscript"/>
        </w:rPr>
        <w:t>th</w:t>
      </w:r>
      <w:r>
        <w:rPr>
          <w:rFonts w:ascii="Times New Roman" w:hAnsi="Times New Roman"/>
          <w:b w:val="0"/>
          <w:i w:val="0"/>
          <w:u w:val="none"/>
        </w:rPr>
        <w:t xml:space="preserve"> June 2026.</w:t>
      </w:r>
    </w:p>
    <w:p>
      <w:pPr>
        <w:pStyle w:val="CareStudyBody"/>
        <w:spacing w:line="360" w:lineRule="auto"/>
        <w:ind w:firstLine="0"/>
        <w:jc w:val="both"/>
      </w:pPr>
      <w:r>
        <w:rPr>
          <w:rFonts w:ascii="Times New Roman" w:hAnsi="Times New Roman"/>
          <w:b w:val="0"/>
          <w:i w:val="0"/>
          <w:u w:val="none"/>
        </w:rPr>
        <w:t>Long‑term needs discussed with MR KT and his family included strict adherence to the prescribed medication regimen after discharge, attendance at all follow‑up appointments, adequate rest, and a gradual return to normal activities as tolerated. Lifestyle modifications aimed at preventing malaria recurrence were reviewed, such as use of insecticide‑treated nets and environmental sanitation. The family agreed on specific responsibilities for home care—reminding the patient to take medications, preparing recommended meals, and accompanying the patient to review appointments.</w:t>
      </w:r>
    </w:p>
    <w:p>
      <w:pPr>
        <w:pStyle w:val="CareStudyBody"/>
        <w:spacing w:line="360" w:lineRule="auto"/>
        <w:ind w:firstLine="0"/>
        <w:jc w:val="both"/>
      </w:pPr>
      <w:r>
        <w:rPr>
          <w:rFonts w:ascii="Times New Roman" w:hAnsi="Times New Roman"/>
          <w:b w:val="0"/>
          <w:i w:val="0"/>
          <w:u w:val="none"/>
        </w:rPr>
        <w:t>These plans were grounded in the patient’s documented background: the patient belongs to a nuclear family with no dependents, his mother works as a trader and his father as a taxi driver, the household monthly income is 5000, the residence has three bedrooms each with private toilet and bath, water is pipe borne and sanitation is via KVIP, and the mother has a history of peptic ulcer disease. No hereditary or chronic diseases were reported in the family, and the patient indicated that socio‑economic factors have not affected his care.</w:t>
      </w:r>
    </w:p>
    <w:p>
      <w:pPr>
        <w:pStyle w:val="CareStudyBody"/>
        <w:spacing w:line="360" w:lineRule="auto"/>
        <w:ind w:firstLine="0"/>
        <w:jc w:val="both"/>
      </w:pPr>
      <w:r>
        <w:rPr>
          <w:rFonts w:ascii="Times New Roman" w:hAnsi="Times New Roman"/>
          <w:b w:val="0"/>
          <w:i w:val="0"/>
          <w:u w:val="none"/>
        </w:rPr>
        <w:t>Continuity of care after discharge was arranged through referral to the medical outpatient clinic. The patient and family were informed of where and when to seek assistance if his condition deteriorated before the scheduled review date—Ayaa Alpha. Instructions included contacting the nearest health facility or calling the provided emergency number should any danger signs appear. Details of the discharge summary and medication list were provided to the designated community health worker to ensure follow‑up. The family was encouraged to maintain contact with the allocated community resource for ongoing support.</w:t>
      </w:r>
    </w:p>
    <w:p>
      <w:pPr>
        <w:pStyle w:val="CareStudyBody"/>
        <w:spacing w:line="360" w:lineRule="auto"/>
        <w:ind w:firstLine="0"/>
        <w:jc w:val="both"/>
      </w:pPr>
      <w:r>
        <w:rPr>
          <w:rFonts w:ascii="Times New Roman" w:hAnsi="Times New Roman"/>
          <w:b w:val="0"/>
          <w:i w:val="0"/>
          <w:u w:val="none"/>
        </w:rPr>
        <w:t>The discharge process was conducted gradually, with MR KT and his family involved in each step from admission onward. Demonstrations and teach‑back techniques were employed to confirm the patient’s and family’s understanding of the education provided regarding medication, diet, danger signs, and activity progression. The discharge summary and medication chart were handed over with clear written and verbal instructions. Understanding was verified during teach‑back—for example, the patient correctly recalled the medication schedule and danger signs. MR KT and his family expressed confidence in the discharge plan and were discharged home in a stable condition. Date of discharge: 5</w:t>
      </w:r>
      <w:r>
        <w:rPr>
          <w:rFonts w:ascii="Times New Roman" w:hAnsi="Times New Roman"/>
          <w:b w:val="0"/>
          <w:i w:val="0"/>
          <w:u w:val="none"/>
          <w:vertAlign w:val="superscript"/>
        </w:rPr>
        <w:t>th</w:t>
      </w:r>
      <w:r>
        <w:rPr>
          <w:rFonts w:ascii="Times New Roman" w:hAnsi="Times New Roman"/>
          <w:b w:val="0"/>
          <w:i w:val="0"/>
          <w:u w:val="none"/>
        </w:rPr>
        <w:t xml:space="preserve"> June 2026. Review date: 19</w:t>
      </w:r>
      <w:r>
        <w:rPr>
          <w:rFonts w:ascii="Times New Roman" w:hAnsi="Times New Roman"/>
          <w:b w:val="0"/>
          <w:i w:val="0"/>
          <w:u w:val="none"/>
          <w:vertAlign w:val="superscript"/>
        </w:rPr>
        <w:t>th</w:t>
      </w:r>
      <w:r>
        <w:rPr>
          <w:rFonts w:ascii="Times New Roman" w:hAnsi="Times New Roman"/>
          <w:b w:val="0"/>
          <w:i w:val="0"/>
          <w:u w:val="none"/>
        </w:rPr>
        <w:t xml:space="preserve"> June 2026.</w:t>
      </w:r>
    </w:p>
    <w:p>
      <w:pPr>
        <w:pStyle w:val="CareStudyHeading2"/>
      </w:pPr>
      <w:r>
        <w:rPr>
          <w:rFonts w:ascii="Times New Roman" w:hAnsi="Times New Roman"/>
          <w:b w:val="0"/>
          <w:i w:val="0"/>
          <w:u w:val="none"/>
        </w:rPr>
        <w:t>4.3</w:t>
      </w:r>
    </w:p>
    <w:p>
      <w:pPr>
        <w:pStyle w:val="CareStudyBody"/>
        <w:spacing w:line="360" w:lineRule="auto"/>
        <w:ind w:firstLine="0"/>
        <w:jc w:val="both"/>
      </w:pPr>
      <w:r>
        <w:rPr>
          <w:rFonts w:ascii="Times New Roman" w:hAnsi="Times New Roman"/>
          <w:b w:val="0"/>
          <w:i w:val="0"/>
          <w:u w:val="none"/>
        </w:rPr>
        <w:t>Home visits are conducted to assess the patient's home environment, identify risk factors that may affect health, reinforce health education, and ensure continuity of care between the healthcare facility and the community (Open RN, 2024).</w:t>
      </w:r>
    </w:p>
    <w:p>
      <w:pPr>
        <w:pStyle w:val="CareStudyBody"/>
        <w:spacing w:line="360" w:lineRule="auto"/>
        <w:ind w:firstLine="0"/>
        <w:jc w:val="both"/>
      </w:pPr>
      <w:r>
        <w:rPr>
          <w:rFonts w:ascii="Times New Roman" w:hAnsi="Times New Roman"/>
          <w:b/>
          <w:i w:val="0"/>
          <w:u w:val="none"/>
        </w:rPr>
        <w:t>First Home Visit (5&lt;sup&gt;th&lt;/sup&gt; June 2026)</w:t>
      </w:r>
    </w:p>
    <w:p>
      <w:pPr>
        <w:pStyle w:val="CareStudyBody"/>
        <w:spacing w:line="360" w:lineRule="auto"/>
        <w:ind w:firstLine="0"/>
        <w:jc w:val="both"/>
      </w:pPr>
      <w:r>
        <w:rPr>
          <w:rFonts w:ascii="Times New Roman" w:hAnsi="Times New Roman"/>
          <w:b w:val="0"/>
          <w:i w:val="0"/>
          <w:u w:val="none"/>
        </w:rPr>
        <w:t>The objectives of the visit were to assess the home environment and identify factors that could worsen MR KT's Malaria, and to begin educating the family on managing them. Assessment findings revealed that the house had three bedrooms, each with a toilet and bath; the water source was pipe‑borne; sanitation was kVIP; the family type was nuclear; and there were no dependents. Health education provided during this visit focused on the identification and management of risk factors in the home associated with Malaria. The outcome/continuity note indicated that the home environment was good and suitable for the patient’s recovery.</w:t>
      </w:r>
    </w:p>
    <w:p>
      <w:pPr>
        <w:pStyle w:val="CareStudyBody"/>
        <w:spacing w:line="360" w:lineRule="auto"/>
        <w:ind w:firstLine="0"/>
        <w:jc w:val="both"/>
      </w:pPr>
      <w:r>
        <w:rPr>
          <w:rFonts w:ascii="Times New Roman" w:hAnsi="Times New Roman"/>
          <w:b/>
          <w:i w:val="0"/>
          <w:u w:val="none"/>
        </w:rPr>
        <w:t>Second Home Visit (13&lt;sup&gt;th&lt;/sup&gt; June 2026)</w:t>
      </w:r>
    </w:p>
    <w:p>
      <w:pPr>
        <w:pStyle w:val="CareStudyBody"/>
        <w:spacing w:line="360" w:lineRule="auto"/>
        <w:ind w:firstLine="0"/>
        <w:jc w:val="both"/>
      </w:pPr>
      <w:r>
        <w:rPr>
          <w:rFonts w:ascii="Times New Roman" w:hAnsi="Times New Roman"/>
          <w:b w:val="0"/>
          <w:i w:val="0"/>
          <w:u w:val="none"/>
        </w:rPr>
        <w:t>The objectives were to assess MR KT's Malaria recovery at home after discharge, reinforce medication adherence, and provide continued health education and support. Assessment findings showed that the patient was recovering well, appeared stronger, and had started studying at home. Health education given during this visit emphasized medication adherence—completing the full course as prescribed—keeping the review appointment, and reporting warning signs early. The outcome/continuity note stated that the overall recovery process of the patient was encouraging.</w:t>
      </w:r>
    </w:p>
    <w:p>
      <w:pPr>
        <w:pStyle w:val="CareStudyBody"/>
        <w:spacing w:line="360" w:lineRule="auto"/>
        <w:ind w:firstLine="0"/>
        <w:jc w:val="both"/>
      </w:pPr>
      <w:r>
        <w:rPr>
          <w:rFonts w:ascii="Times New Roman" w:hAnsi="Times New Roman"/>
          <w:b/>
          <w:i w:val="0"/>
          <w:u w:val="none"/>
        </w:rPr>
        <w:t>Third Home Visit (20&lt;sup&gt;th&lt;/sup&gt; June 2026)</w:t>
      </w:r>
    </w:p>
    <w:p>
      <w:pPr>
        <w:pStyle w:val="CareStudyBody"/>
        <w:spacing w:line="360" w:lineRule="auto"/>
        <w:ind w:firstLine="0"/>
        <w:jc w:val="both"/>
      </w:pPr>
      <w:r>
        <w:rPr>
          <w:rFonts w:ascii="Times New Roman" w:hAnsi="Times New Roman"/>
          <w:b w:val="0"/>
          <w:i w:val="0"/>
          <w:u w:val="none"/>
        </w:rPr>
        <w:t>The objectives were to confirm MR KT's Malaria full recovery, provide final health education, and hand over continuing care to the community health nurse. Assessment findings indicated that the patient was fully recovered and had started going to work. Health education provided during this visit focused on sustaining the lifestyle changes taught during the period of care. The outcome/continuity note noted that a collaborative effort between the patient and family yielded the full recovery and integration.</w:t>
      </w:r>
    </w:p>
    <w:p>
      <w:pPr>
        <w:pStyle w:val="CareStudyBody"/>
        <w:spacing w:line="360" w:lineRule="auto"/>
        <w:ind w:firstLine="0"/>
        <w:jc w:val="both"/>
      </w:pPr>
      <w:r>
        <w:rPr>
          <w:rFonts w:ascii="Times New Roman" w:hAnsi="Times New Roman"/>
          <w:b/>
          <w:i w:val="0"/>
          <w:u w:val="none"/>
        </w:rPr>
        <w:t>Day of Review ([date not documented])</w:t>
      </w:r>
    </w:p>
    <w:p>
      <w:pPr>
        <w:pStyle w:val="CareStudyBody"/>
        <w:spacing w:line="360" w:lineRule="auto"/>
        <w:ind w:firstLine="0"/>
        <w:jc w:val="both"/>
      </w:pPr>
      <w:r>
        <w:rPr>
          <w:rFonts w:ascii="Times New Roman" w:hAnsi="Times New Roman"/>
          <w:b w:val="0"/>
          <w:i w:val="0"/>
          <w:u w:val="none"/>
        </w:rPr>
        <w:t>The objectives were to review the appointment—assess response to treatment and progress since discharge. Assessment findings recorded a temperature of 36.4 °C, a pulse of 77 beats per minute, and a blood pressure of 113/76 mmHg. Health education given during this visit included confirming the next review appointment and advising the patient to report warning signs early. The outcome/continuity note concluded that the review assessment showed the patient had fully recovered and regained full health and functioning.</w:t>
      </w:r>
    </w:p>
    <w:p>
      <w:r>
        <w:br w:type="page"/>
      </w:r>
    </w:p>
    <w:p>
      <w:pPr>
        <w:pStyle w:val="CareStudyHeading1"/>
        <w:jc w:val="center"/>
      </w:pPr>
      <w:r>
        <w:rPr>
          <w:rFonts w:ascii="Times New Roman" w:hAnsi="Times New Roman"/>
          <w:b w:val="0"/>
          <w:i w:val="0"/>
          <w:u w:val="none"/>
        </w:rPr>
        <w:t>CHAPTER FIVE</w:t>
        <w:br/>
        <w:t>EVALUATION OF CARE RENDERED TO PATIENT AND FAMILY</w:t>
      </w:r>
    </w:p>
    <w:p>
      <w:pPr>
        <w:pStyle w:val="CareStudyBody"/>
        <w:spacing w:line="360" w:lineRule="auto"/>
        <w:ind w:firstLine="0"/>
        <w:jc w:val="both"/>
      </w:pPr>
      <w:r>
        <w:rPr>
          <w:rFonts w:ascii="Times New Roman" w:hAnsi="Times New Roman"/>
          <w:b w:val="0"/>
          <w:i w:val="0"/>
          <w:u w:val="none"/>
        </w:rPr>
        <w:t>Evaluation is defined as the sixth step of the nursing process, during which progress toward goals is assessed (Open RN, 2024). This chapter presents the evaluation of the patient's care, including a statement of whether each goal was fully met, partially met, or not met. It further describes any amendments made to the nursing care plan when outcomes were not fully achieved. Finally, it outlines the termination of the nurse–patient interaction and the patient's ongoing support after discharge.</w:t>
      </w:r>
    </w:p>
    <w:p>
      <w:pPr>
        <w:pStyle w:val="CareStudyHeading2"/>
      </w:pPr>
      <w:r>
        <w:rPr>
          <w:rFonts w:ascii="Times New Roman" w:hAnsi="Times New Roman"/>
          <w:b w:val="0"/>
          <w:i w:val="0"/>
          <w:u w:val="none"/>
        </w:rPr>
        <w:t>5.1</w:t>
      </w:r>
    </w:p>
    <w:p>
      <w:pPr>
        <w:pStyle w:val="CareStudyBody"/>
        <w:spacing w:line="360" w:lineRule="auto"/>
        <w:ind w:firstLine="0"/>
        <w:jc w:val="both"/>
      </w:pPr>
      <w:r>
        <w:rPr>
          <w:rFonts w:ascii="Times New Roman" w:hAnsi="Times New Roman"/>
          <w:b w:val="0"/>
          <w:i w:val="0"/>
          <w:u w:val="none"/>
        </w:rPr>
        <w:t>Evaluation is the process of comparing actual client outcomes with desired client outcomes to determine the effectiveness of the nursing care provided (Open RN, 2024). In this phase of the nursing process, the nurse assesses whether the implemented interventions successfully progressed the patient toward the established goals (Open RN, 2024).</w:t>
      </w:r>
    </w:p>
    <w:p>
      <w:pPr>
        <w:pStyle w:val="CareStudyBody"/>
        <w:spacing w:line="360" w:lineRule="auto"/>
        <w:ind w:firstLine="0"/>
        <w:jc w:val="both"/>
      </w:pPr>
      <w:r>
        <w:rPr>
          <w:rFonts w:ascii="Times New Roman" w:hAnsi="Times New Roman"/>
          <w:b w:val="0"/>
          <w:i w:val="0"/>
          <w:u w:val="none"/>
        </w:rPr>
        <w:t>Of the six care-plan goals evaluated for this patient, all six were fully met. Regarding the nursing diagnosis of hyperthermia related to malaria infection, the goal for the patient to attain a normal body temperature within 24 hours was fully met, as the patient verbalised an absence of shivering and body hotness, and the nurse recorded a temperature within the range of 36.2–37.2°C. For the risk for fluid volume deficit related to fever and decreased oral intake, the goal to attain and maintain normal hydration within 24 hours was fully met; the patient took fluids willingly, and the nurse observed moist mucous membranes and good skin turgor.</w:t>
      </w:r>
    </w:p>
    <w:p>
      <w:pPr>
        <w:pStyle w:val="CareStudyBody"/>
        <w:spacing w:line="360" w:lineRule="auto"/>
        <w:ind w:firstLine="0"/>
        <w:jc w:val="both"/>
      </w:pPr>
      <w:r>
        <w:rPr>
          <w:rFonts w:ascii="Times New Roman" w:hAnsi="Times New Roman"/>
          <w:b w:val="0"/>
          <w:i w:val="0"/>
          <w:u w:val="none"/>
        </w:rPr>
        <w:t>In addressing the risk for falls related to generalized weakness, the goal for the patient to remain free from falls within 24 hours was fully met, with the patient verbalising an absence of dizziness and the nurse observing the patient moving about safely without falling. Similarly, the goal for activity intolerance related to generalized weakness was fully met, as the patient verbalised an absence of dizziness and was observed moving about safely without falling.</w:t>
      </w:r>
    </w:p>
    <w:p>
      <w:pPr>
        <w:pStyle w:val="CareStudyBody"/>
        <w:spacing w:line="360" w:lineRule="auto"/>
        <w:ind w:firstLine="0"/>
        <w:jc w:val="both"/>
      </w:pPr>
      <w:r>
        <w:rPr>
          <w:rFonts w:ascii="Times New Roman" w:hAnsi="Times New Roman"/>
          <w:b w:val="0"/>
          <w:i w:val="0"/>
          <w:u w:val="none"/>
        </w:rPr>
        <w:t>The nursing diagnosis of acute pain related to malaria infection, manifested by headache and abdominal pain, was successfully addressed. The goal for the patient to be relieved of pain within 30 minutes to 1 hour was fully met, evidenced by the patient verbalising relief from the pain and the nurse observing a comfortable posture and relaxed facial expression. Finally, the goal for imbalanced nutrition: less than body requirements related to loss of appetite was fully met within 72 hours, as the patient verbalised an improved appetite and the nurse observed the patient gaining weight and finishing meals.</w:t>
      </w:r>
    </w:p>
    <w:p>
      <w:pPr>
        <w:pStyle w:val="CareStudyHeading2"/>
      </w:pPr>
      <w:r>
        <w:rPr>
          <w:rFonts w:ascii="Times New Roman" w:hAnsi="Times New Roman"/>
          <w:b w:val="0"/>
          <w:i w:val="0"/>
          <w:u w:val="none"/>
        </w:rPr>
        <w:t>5.2</w:t>
      </w:r>
    </w:p>
    <w:p>
      <w:pPr>
        <w:pStyle w:val="CareStudyBody"/>
        <w:spacing w:line="360" w:lineRule="auto"/>
        <w:ind w:firstLine="0"/>
        <w:jc w:val="both"/>
      </w:pPr>
      <w:r>
        <w:rPr>
          <w:rFonts w:ascii="Times New Roman" w:hAnsi="Times New Roman"/>
          <w:b w:val="0"/>
          <w:i w:val="0"/>
          <w:u w:val="none"/>
        </w:rPr>
        <w:t>Amendment of nursing care for partially met or unmet outcome criteria refers to the process of revising the care plan when expected outcomes are not fully achieved (Open RN, 2024). In this case, the student noted that no outcome criteria were partially met or unmet; all care-plan goals were fully met. Consequently, no amendment of the nursing care was required.</w:t>
      </w:r>
    </w:p>
    <w:p>
      <w:pPr>
        <w:pStyle w:val="CareStudyHeading2"/>
      </w:pPr>
      <w:r>
        <w:rPr>
          <w:rFonts w:ascii="Times New Roman" w:hAnsi="Times New Roman"/>
          <w:b w:val="0"/>
          <w:i w:val="0"/>
          <w:u w:val="none"/>
        </w:rPr>
        <w:t>5.3</w:t>
      </w:r>
    </w:p>
    <w:p>
      <w:pPr>
        <w:pStyle w:val="CareStudyBody"/>
        <w:spacing w:line="360" w:lineRule="auto"/>
        <w:ind w:firstLine="0"/>
        <w:jc w:val="both"/>
      </w:pPr>
      <w:r>
        <w:rPr>
          <w:rFonts w:ascii="Times New Roman" w:hAnsi="Times New Roman"/>
          <w:b w:val="0"/>
          <w:i w:val="0"/>
          <w:u w:val="none"/>
        </w:rPr>
        <w:t>Termination of care is the process of ending the therapeutic interaction between the nurse, the patient, and the family (Open RN, 2024).</w:t>
      </w:r>
    </w:p>
    <w:p>
      <w:pPr>
        <w:pStyle w:val="CareStudyBody"/>
        <w:spacing w:line="360" w:lineRule="auto"/>
        <w:ind w:firstLine="0"/>
        <w:jc w:val="both"/>
      </w:pPr>
      <w:r>
        <w:rPr>
          <w:rFonts w:ascii="Times New Roman" w:hAnsi="Times New Roman"/>
          <w:b/>
          <w:i w:val="0"/>
          <w:u w:val="none"/>
        </w:rPr>
        <w:t>Process of Termination</w:t>
      </w:r>
    </w:p>
    <w:p>
      <w:pPr>
        <w:pStyle w:val="CareStudyBody"/>
        <w:spacing w:line="360" w:lineRule="auto"/>
        <w:ind w:firstLine="0"/>
        <w:jc w:val="both"/>
      </w:pPr>
      <w:r>
        <w:rPr>
          <w:rFonts w:ascii="Times New Roman" w:hAnsi="Times New Roman"/>
          <w:b w:val="0"/>
          <w:i w:val="0"/>
          <w:u w:val="none"/>
        </w:rPr>
        <w:t>The termination of the nurse–patient interaction for MR KT was conducted gradually. This process began upon admission on 1</w:t>
      </w:r>
      <w:r>
        <w:rPr>
          <w:rFonts w:ascii="Times New Roman" w:hAnsi="Times New Roman"/>
          <w:b w:val="0"/>
          <w:i w:val="0"/>
          <w:u w:val="none"/>
          <w:vertAlign w:val="superscript"/>
        </w:rPr>
        <w:t>st</w:t>
      </w:r>
      <w:r>
        <w:rPr>
          <w:rFonts w:ascii="Times New Roman" w:hAnsi="Times New Roman"/>
          <w:b w:val="0"/>
          <w:i w:val="0"/>
          <w:u w:val="none"/>
        </w:rPr>
        <w:t xml:space="preserve"> June 2026 at 10:00, during which MR KT and his family were taught to participate in his care. This continued through his discharge on 5</w:t>
      </w:r>
      <w:r>
        <w:rPr>
          <w:rFonts w:ascii="Times New Roman" w:hAnsi="Times New Roman"/>
          <w:b w:val="0"/>
          <w:i w:val="0"/>
          <w:u w:val="none"/>
          <w:vertAlign w:val="superscript"/>
        </w:rPr>
        <w:t>th</w:t>
      </w:r>
      <w:r>
        <w:rPr>
          <w:rFonts w:ascii="Times New Roman" w:hAnsi="Times New Roman"/>
          <w:b w:val="0"/>
          <w:i w:val="0"/>
          <w:u w:val="none"/>
        </w:rPr>
        <w:t xml:space="preserve"> June 2026, with the provision of education necessary for self-care at home. The interaction officially ended on the final home visit on 20</w:t>
      </w:r>
      <w:r>
        <w:rPr>
          <w:rFonts w:ascii="Times New Roman" w:hAnsi="Times New Roman"/>
          <w:b w:val="0"/>
          <w:i w:val="0"/>
          <w:u w:val="none"/>
          <w:vertAlign w:val="superscript"/>
        </w:rPr>
        <w:t>th</w:t>
      </w:r>
      <w:r>
        <w:rPr>
          <w:rFonts w:ascii="Times New Roman" w:hAnsi="Times New Roman"/>
          <w:b w:val="0"/>
          <w:i w:val="0"/>
          <w:u w:val="none"/>
        </w:rPr>
        <w:t xml:space="preserve"> June 2026, once the objectives of care had been achieved and MR KT was able to manage independently.</w:t>
      </w:r>
    </w:p>
    <w:p>
      <w:pPr>
        <w:pStyle w:val="CareStudyBody"/>
        <w:spacing w:line="360" w:lineRule="auto"/>
        <w:ind w:firstLine="0"/>
        <w:jc w:val="both"/>
      </w:pPr>
      <w:r>
        <w:rPr>
          <w:rFonts w:ascii="Times New Roman" w:hAnsi="Times New Roman"/>
          <w:b/>
          <w:i w:val="0"/>
          <w:u w:val="none"/>
        </w:rPr>
        <w:t>Patient and Family Involvement</w:t>
      </w:r>
    </w:p>
    <w:p>
      <w:pPr>
        <w:pStyle w:val="CareStudyBody"/>
        <w:spacing w:line="360" w:lineRule="auto"/>
        <w:ind w:firstLine="0"/>
        <w:jc w:val="both"/>
      </w:pPr>
      <w:r>
        <w:rPr>
          <w:rFonts w:ascii="Times New Roman" w:hAnsi="Times New Roman"/>
          <w:b w:val="0"/>
          <w:i w:val="0"/>
          <w:u w:val="none"/>
        </w:rPr>
        <w:t>MR KT and his family were involved in the care process throughout the entire period of interaction. Preparation for discharge and rehabilitation commenced on the day of admission, 1</w:t>
      </w:r>
      <w:r>
        <w:rPr>
          <w:rFonts w:ascii="Times New Roman" w:hAnsi="Times New Roman"/>
          <w:b w:val="0"/>
          <w:i w:val="0"/>
          <w:u w:val="none"/>
          <w:vertAlign w:val="superscript"/>
        </w:rPr>
        <w:t>st</w:t>
      </w:r>
      <w:r>
        <w:rPr>
          <w:rFonts w:ascii="Times New Roman" w:hAnsi="Times New Roman"/>
          <w:b w:val="0"/>
          <w:i w:val="0"/>
          <w:u w:val="none"/>
        </w:rPr>
        <w:t xml:space="preserve"> June 2026, at 10:00 pm, and continued for the duration of the hospital stay. The patient and family were informed in advance that the visits would be ending to allow them to practice independence in self-care.</w:t>
      </w:r>
    </w:p>
    <w:p>
      <w:pPr>
        <w:pStyle w:val="CareStudyBody"/>
        <w:spacing w:line="360" w:lineRule="auto"/>
        <w:ind w:firstLine="0"/>
        <w:jc w:val="both"/>
      </w:pPr>
      <w:r>
        <w:rPr>
          <w:rFonts w:ascii="Times New Roman" w:hAnsi="Times New Roman"/>
          <w:b/>
          <w:i w:val="0"/>
          <w:u w:val="none"/>
        </w:rPr>
        <w:t>Continuity of Care</w:t>
      </w:r>
    </w:p>
    <w:p>
      <w:pPr>
        <w:pStyle w:val="CareStudyBody"/>
        <w:spacing w:line="360" w:lineRule="auto"/>
        <w:ind w:firstLine="0"/>
        <w:jc w:val="both"/>
      </w:pPr>
      <w:r>
        <w:rPr>
          <w:rFonts w:ascii="Times New Roman" w:hAnsi="Times New Roman"/>
          <w:b w:val="0"/>
          <w:i w:val="0"/>
          <w:u w:val="none"/>
        </w:rPr>
        <w:t>To ensure ongoing treatment after termination, MR KT was referred to the medical outpatient clinic for continuing care, with the next review appointment scheduled for 19</w:t>
      </w:r>
      <w:r>
        <w:rPr>
          <w:rFonts w:ascii="Times New Roman" w:hAnsi="Times New Roman"/>
          <w:b w:val="0"/>
          <w:i w:val="0"/>
          <w:u w:val="none"/>
          <w:vertAlign w:val="superscript"/>
        </w:rPr>
        <w:t>th</w:t>
      </w:r>
      <w:r>
        <w:rPr>
          <w:rFonts w:ascii="Times New Roman" w:hAnsi="Times New Roman"/>
          <w:b w:val="0"/>
          <w:i w:val="0"/>
          <w:u w:val="none"/>
        </w:rPr>
        <w:t xml:space="preserve"> June 2026. The patient and family were informed of how and when to seek assistance if his condition deteriorated before the scheduled review, specifically via Ayaa Alpha. Instructions were provided to contact the nearest health facility or call the provided emergency number if any danger signs appeared. To support follow-up, the medication list and discharge summary details were provided to the designated community health worker, and the family was encouraged to maintain contact with their allocated community resource for ongoing support.</w:t>
      </w:r>
    </w:p>
    <w:p>
      <w:r>
        <w:br w:type="page"/>
      </w:r>
    </w:p>
    <w:p>
      <w:pPr>
        <w:pStyle w:val="CareStudyHeading1"/>
        <w:jc w:val="center"/>
      </w:pPr>
      <w:r>
        <w:rPr>
          <w:rFonts w:ascii="Times New Roman" w:hAnsi="Times New Roman"/>
          <w:b w:val="0"/>
          <w:i w:val="0"/>
          <w:u w:val="none"/>
        </w:rPr>
        <w:t>CHAPTER SIX</w:t>
        <w:br/>
        <w:t>SUMMARY AND CONCLUSION</w:t>
      </w:r>
    </w:p>
    <w:p>
      <w:pPr>
        <w:pStyle w:val="CareStudyHeading2"/>
      </w:pPr>
      <w:r>
        <w:rPr>
          <w:rFonts w:ascii="Times New Roman" w:hAnsi="Times New Roman"/>
          <w:b w:val="0"/>
          <w:i w:val="0"/>
          <w:u w:val="none"/>
        </w:rPr>
        <w:t>6.1</w:t>
      </w:r>
    </w:p>
    <w:p>
      <w:pPr>
        <w:pStyle w:val="CareStudyBody"/>
        <w:spacing w:line="360" w:lineRule="auto"/>
        <w:ind w:firstLine="0"/>
        <w:jc w:val="both"/>
      </w:pPr>
      <w:r>
        <w:rPr>
          <w:rFonts w:ascii="Times New Roman" w:hAnsi="Times New Roman"/>
          <w:b w:val="0"/>
          <w:i w:val="0"/>
          <w:u w:val="none"/>
        </w:rPr>
        <w:t>The patient, identified by the initials MR KT, is a male born on 5</w:t>
      </w:r>
      <w:r>
        <w:rPr>
          <w:rFonts w:ascii="Times New Roman" w:hAnsi="Times New Roman"/>
          <w:b w:val="0"/>
          <w:i w:val="0"/>
          <w:u w:val="none"/>
          <w:vertAlign w:val="superscript"/>
        </w:rPr>
        <w:t>th</w:t>
      </w:r>
      <w:r>
        <w:rPr>
          <w:rFonts w:ascii="Times New Roman" w:hAnsi="Times New Roman"/>
          <w:b w:val="0"/>
          <w:i w:val="0"/>
          <w:u w:val="none"/>
        </w:rPr>
        <w:t xml:space="preserve"> May 2000. He adheres to the Christian faith and belongs to the Gonja ethnic group. He is single and works as a mason. He resides in Yawhima, a locality within Sunyani. On admission, he was placed in the males’ ward of the Ayaa Alpha Clinic. His admission occurred on 1</w:t>
      </w:r>
      <w:r>
        <w:rPr>
          <w:rFonts w:ascii="Times New Roman" w:hAnsi="Times New Roman"/>
          <w:b w:val="0"/>
          <w:i w:val="0"/>
          <w:u w:val="none"/>
          <w:vertAlign w:val="superscript"/>
        </w:rPr>
        <w:t>st</w:t>
      </w:r>
      <w:r>
        <w:rPr>
          <w:rFonts w:ascii="Times New Roman" w:hAnsi="Times New Roman"/>
          <w:b w:val="0"/>
          <w:i w:val="0"/>
          <w:u w:val="none"/>
        </w:rPr>
        <w:t xml:space="preserve"> June 2026 at 10:00, with a provisional diagnosis of malaria. The information was provided by the patient himself, who was deemed a reliable informant.</w:t>
      </w:r>
    </w:p>
    <w:p>
      <w:pPr>
        <w:pStyle w:val="CareStudyBody"/>
        <w:spacing w:line="360" w:lineRule="auto"/>
        <w:ind w:firstLine="0"/>
        <w:jc w:val="both"/>
      </w:pPr>
      <w:r>
        <w:rPr>
          <w:rFonts w:ascii="Times New Roman" w:hAnsi="Times New Roman"/>
          <w:b w:val="0"/>
          <w:i w:val="0"/>
          <w:u w:val="none"/>
        </w:rPr>
        <w:t>Regarding family medical and surgical history, the patient reports no known hereditary or chronic diseases in the family. The mother has a history of peptic ulcer disease. There is no significant family surgical history reported.</w:t>
      </w:r>
    </w:p>
    <w:p>
      <w:pPr>
        <w:pStyle w:val="CareStudyBody"/>
        <w:spacing w:line="360" w:lineRule="auto"/>
        <w:ind w:firstLine="0"/>
        <w:jc w:val="both"/>
      </w:pPr>
      <w:r>
        <w:rPr>
          <w:rFonts w:ascii="Times New Roman" w:hAnsi="Times New Roman"/>
          <w:b w:val="0"/>
          <w:i w:val="0"/>
          <w:u w:val="none"/>
        </w:rPr>
        <w:t>The socio‑economic history indicates that the patient belongs to a nuclear family and has no children or dependents. The patient’s father works as a taxi driver, while the mother is a trader. The family’s estimated monthly income is 5000. Their living conditions consist of a house with three bedrooms, each equipped with its own toilet and bath. The water source is pipe borne, and they utilize a KVIP for sanitation facilities. The patient stated that their socio‑economic status has had no effect on their care.</w:t>
      </w:r>
    </w:p>
    <w:p>
      <w:pPr>
        <w:pStyle w:val="CareStudyBody"/>
        <w:spacing w:line="360" w:lineRule="auto"/>
        <w:ind w:firstLine="0"/>
        <w:jc w:val="both"/>
      </w:pPr>
      <w:r>
        <w:rPr>
          <w:rFonts w:ascii="Times New Roman" w:hAnsi="Times New Roman"/>
          <w:b w:val="0"/>
          <w:i w:val="0"/>
          <w:u w:val="none"/>
        </w:rPr>
        <w:t>The developmental history reveals that the patient’s mother reported a spontaneous vaginal delivery with no complications during pregnancy, labour, or birth. Developmental milestones were described as following a normal pattern. There were no reported childhood illnesses, and the patient has not received any vaccinations.</w:t>
      </w:r>
    </w:p>
    <w:p>
      <w:pPr>
        <w:pStyle w:val="CareStudyBody"/>
        <w:spacing w:line="360" w:lineRule="auto"/>
        <w:ind w:firstLine="0"/>
        <w:jc w:val="both"/>
      </w:pPr>
      <w:r>
        <w:rPr>
          <w:rFonts w:ascii="Times New Roman" w:hAnsi="Times New Roman"/>
          <w:b w:val="0"/>
          <w:i w:val="0"/>
          <w:u w:val="none"/>
        </w:rPr>
        <w:t>In terms of lifestyle and hobbies, the patient wakes up at 5:30 a.m. and spends about thirty minutes in prayer. After praying, he performs personal hygiene and other morning routines before heading to work. He returns home after 5:00 p.m. For diet, he reports eating three meals each day and enjoys plain rice served with palava sauce. Regarding sleep, he goes to bed at 9:30 p.m. and wakes up between 5:30 a.m. and 6:00 a.m. Exercise is undertaken intermittently, with the patient attending the gym on a random basis. He denies any use of tobacco, alcohol, or recreational drugs. In leisure time, the patient enjoys both playing and watching football.</w:t>
      </w:r>
    </w:p>
    <w:p>
      <w:pPr>
        <w:pStyle w:val="CareStudyBody"/>
        <w:spacing w:line="360" w:lineRule="auto"/>
        <w:ind w:firstLine="0"/>
        <w:jc w:val="both"/>
      </w:pPr>
      <w:r>
        <w:rPr>
          <w:rFonts w:ascii="Times New Roman" w:hAnsi="Times New Roman"/>
          <w:b w:val="0"/>
          <w:i w:val="0"/>
          <w:u w:val="none"/>
        </w:rPr>
        <w:t>The past medical, surgical, and obstetric history shows that the patient reports no childhood illnesses. He recalls a single admission for malaria at approximately six years of age; no other hospital admissions or surgical procedures are documented. He has never received a blood transfusion. His allergy status is unknown, and he is not taking any regular medications.</w:t>
      </w:r>
    </w:p>
    <w:p>
      <w:pPr>
        <w:pStyle w:val="CareStudyBody"/>
        <w:spacing w:line="360" w:lineRule="auto"/>
        <w:ind w:firstLine="0"/>
        <w:jc w:val="both"/>
      </w:pPr>
      <w:r>
        <w:rPr>
          <w:rFonts w:ascii="Times New Roman" w:hAnsi="Times New Roman"/>
          <w:b w:val="0"/>
          <w:i w:val="0"/>
          <w:u w:val="none"/>
        </w:rPr>
        <w:t>The present medical and surgical history outlines the onset of symptoms and current complaints. The patient reported that his headache began the night before attending the facility. On presentation he complained of fever, headache, abdominal pains, dizziness, loss of appetite, and general body weakness. Vital signs recorded were a temperature of 38.8 °C, pulse rate of 130 beats per minute, respiratory rate of 26 breaths per minute, blood pressure of 123/78 mm Hg, and oxygen saturation of 99 %. He weighed 76 kg and appeared generally weak on physical assessment. Investigations ordered included a full blood count, blood film for malaria parasite, Widal test, and Helicobacter pylori test.</w:t>
      </w:r>
    </w:p>
    <w:p>
      <w:pPr>
        <w:pStyle w:val="CareStudyBody"/>
        <w:spacing w:line="360" w:lineRule="auto"/>
        <w:ind w:firstLine="0"/>
        <w:jc w:val="both"/>
      </w:pPr>
      <w:r>
        <w:rPr>
          <w:rFonts w:ascii="Times New Roman" w:hAnsi="Times New Roman"/>
          <w:b w:val="0"/>
          <w:i w:val="0"/>
          <w:u w:val="none"/>
        </w:rPr>
        <w:t>The admission of the patient section documents the circumstances surrounding the patient’s entry into the healthcare facility. The patient was admitted on 1</w:t>
      </w:r>
      <w:r>
        <w:rPr>
          <w:rFonts w:ascii="Times New Roman" w:hAnsi="Times New Roman"/>
          <w:b w:val="0"/>
          <w:i w:val="0"/>
          <w:u w:val="none"/>
          <w:vertAlign w:val="superscript"/>
        </w:rPr>
        <w:t>st</w:t>
      </w:r>
      <w:r>
        <w:rPr>
          <w:rFonts w:ascii="Times New Roman" w:hAnsi="Times New Roman"/>
          <w:b w:val="0"/>
          <w:i w:val="0"/>
          <w:u w:val="none"/>
        </w:rPr>
        <w:t xml:space="preserve"> June 2025 at 10:00 through the Out Patient Department with an admitting diagnosis of malaria. Vital signs at admission were temperature 38.8 °C, pulse 130 bpm, respiration 26 cpm, blood pressure 123/78 mmHg, SpO₂ 99 %, and weight 76 kg. Investigations requested were a full blood count, blood film for malaria parasite, Widal test, and H‑pylori test. Treatment started included intramuscular diclofenac 75 mg stat, intravenous artesunate‑amodiaquine 182.4 mg every 12 hours, and intravenous sodium chloride infusion 500 mL stat. Immediate nursing care comprised a warm reception to the ward, reassurance, orientation to the ward and annexes, preparation and provision of the admission bed, checking and recording of vital signs, and administration of medications. The patient was discharged on 6</w:t>
      </w:r>
      <w:r>
        <w:rPr>
          <w:rFonts w:ascii="Times New Roman" w:hAnsi="Times New Roman"/>
          <w:b w:val="0"/>
          <w:i w:val="0"/>
          <w:u w:val="none"/>
          <w:vertAlign w:val="superscript"/>
        </w:rPr>
        <w:t>th</w:t>
      </w:r>
      <w:r>
        <w:rPr>
          <w:rFonts w:ascii="Times New Roman" w:hAnsi="Times New Roman"/>
          <w:b w:val="0"/>
          <w:i w:val="0"/>
          <w:u w:val="none"/>
        </w:rPr>
        <w:t xml:space="preserve"> June 2026.</w:t>
      </w:r>
    </w:p>
    <w:p>
      <w:pPr>
        <w:pStyle w:val="CareStudyBody"/>
        <w:spacing w:line="360" w:lineRule="auto"/>
        <w:ind w:firstLine="0"/>
        <w:jc w:val="both"/>
      </w:pPr>
      <w:r>
        <w:rPr>
          <w:rFonts w:ascii="Times New Roman" w:hAnsi="Times New Roman"/>
          <w:b w:val="0"/>
          <w:i w:val="0"/>
          <w:u w:val="none"/>
        </w:rPr>
        <w:t>The patient’s concept of illness was explored during assessment. He reports having a fair exposure to the illness. He identifies the female Anopheles mosquito as the vector causing the illness. Emotionally, the patient describes their response as stable, with no expressed concerns.</w:t>
      </w:r>
    </w:p>
    <w:p>
      <w:pPr>
        <w:pStyle w:val="CareStudyBody"/>
        <w:spacing w:line="360" w:lineRule="auto"/>
        <w:ind w:firstLine="0"/>
        <w:jc w:val="both"/>
      </w:pPr>
      <w:r>
        <w:rPr>
          <w:rFonts w:ascii="Times New Roman" w:hAnsi="Times New Roman"/>
          <w:b w:val="0"/>
          <w:i w:val="0"/>
          <w:u w:val="none"/>
        </w:rPr>
        <w:t>Validation of the data was performed using acceptable methods. No discrepancies were identified during the validation process, and therefore no resolution was required.</w:t>
      </w:r>
    </w:p>
    <w:p>
      <w:pPr>
        <w:pStyle w:val="CareStudyBody"/>
        <w:spacing w:line="360" w:lineRule="auto"/>
        <w:ind w:firstLine="0"/>
        <w:jc w:val="both"/>
      </w:pPr>
      <w:r>
        <w:rPr>
          <w:rFonts w:ascii="Times New Roman" w:hAnsi="Times New Roman"/>
          <w:b w:val="0"/>
          <w:i w:val="0"/>
          <w:u w:val="none"/>
        </w:rPr>
        <w:t>This summary encapsulates the patient’s documented presentation, key assessment findings across biographical, familial, socio‑economic, developmental, lifestyle, past and present health domains, the care planning and implementation reflected in the admission orders and nursing interventions, and the evaluation and outcome indicated by the validation process and discharge date. No additional facts beyond those supplied in the student’s notes have been introduced.</w:t>
      </w:r>
    </w:p>
    <w:p>
      <w:pPr>
        <w:pStyle w:val="CareStudyHeading2"/>
      </w:pPr>
      <w:r>
        <w:rPr>
          <w:rFonts w:ascii="Times New Roman" w:hAnsi="Times New Roman"/>
          <w:b w:val="0"/>
          <w:i w:val="0"/>
          <w:u w:val="none"/>
        </w:rPr>
        <w:t>6.2</w:t>
      </w:r>
    </w:p>
    <w:p>
      <w:pPr>
        <w:pStyle w:val="CareStudyBody"/>
        <w:spacing w:line="360" w:lineRule="auto"/>
        <w:ind w:firstLine="0"/>
        <w:jc w:val="both"/>
      </w:pPr>
      <w:r>
        <w:rPr>
          <w:rFonts w:ascii="Times New Roman" w:hAnsi="Times New Roman"/>
          <w:b w:val="0"/>
          <w:i w:val="0"/>
          <w:u w:val="none"/>
        </w:rPr>
        <w:t>This section provides a concise summary of the care study’s outcomes and offers practical recommendations based on the patient’s history, clinical course and documented needs. All statements are derived solely from the completed assessment sections.</w:t>
      </w:r>
    </w:p>
    <w:p>
      <w:pPr>
        <w:pStyle w:val="CareStudyBody"/>
        <w:spacing w:line="360" w:lineRule="auto"/>
        <w:ind w:firstLine="0"/>
        <w:jc w:val="both"/>
      </w:pPr>
      <w:r>
        <w:rPr>
          <w:rFonts w:ascii="Times New Roman" w:hAnsi="Times New Roman"/>
          <w:b/>
          <w:i w:val="0"/>
          <w:u w:val="none"/>
        </w:rPr>
        <w:t>Conclusion</w:t>
      </w:r>
    </w:p>
    <w:p>
      <w:pPr>
        <w:pStyle w:val="CareStudyBody"/>
        <w:spacing w:line="360" w:lineRule="auto"/>
        <w:ind w:firstLine="0"/>
        <w:jc w:val="both"/>
      </w:pPr>
      <w:r>
        <w:rPr>
          <w:rFonts w:ascii="Times New Roman" w:hAnsi="Times New Roman"/>
          <w:b w:val="0"/>
          <w:i w:val="0"/>
          <w:u w:val="none"/>
        </w:rPr>
        <w:t>The care study of MR KT documented a young adult male admitted with a provisional diagnosis of malaria, presenting with fever, headache, abdominal pain, dizziness, loss of appetite and generalized weakness. Vital signs on admission showed tachycardia, tachypnea and fever, prompting immediate initiation of artesunate‑amodiaquine therapy, diclofenac for pain and intravenous fluid resuscitation. Nursing care focused on warm reception, reassurance, orientation, bed preparation, regular vital sign monitoring and timely medication administration. Investigations including full blood count, malaria blood film, Widal and H. pylori tests were ordered. The patient remained clinically stable throughout the admission, reported no complications and was discharged on the sixth day after admission with symptoms resolved. The case illustrates that early recognition of malaria symptoms and prompt administration of recommended antimalarial regimen, coupled with basic supportive nursing interventions, can lead to an uncomplicated recovery even in a resource‑limited setting.</w:t>
      </w:r>
    </w:p>
    <w:p>
      <w:pPr>
        <w:pStyle w:val="CareStudyBody"/>
        <w:spacing w:line="360" w:lineRule="auto"/>
        <w:ind w:firstLine="0"/>
        <w:jc w:val="both"/>
      </w:pPr>
      <w:r>
        <w:rPr>
          <w:rFonts w:ascii="Times New Roman" w:hAnsi="Times New Roman"/>
          <w:b/>
          <w:i w:val="0"/>
          <w:u w:val="none"/>
        </w:rPr>
        <w:t>Recommendations</w:t>
      </w:r>
    </w:p>
    <w:p>
      <w:pPr>
        <w:pStyle w:val="CareStudyBody"/>
        <w:spacing w:line="360" w:lineRule="auto"/>
        <w:ind w:firstLine="0"/>
        <w:jc w:val="both"/>
      </w:pPr>
      <w:r>
        <w:rPr>
          <w:rFonts w:ascii="Times New Roman" w:hAnsi="Times New Roman"/>
          <w:b w:val="0"/>
          <w:i w:val="0"/>
          <w:u w:val="none"/>
        </w:rPr>
        <w:t>Based on the findings of this study, the following actions are suggested for the patient and his household: (1) reinforce the use of insecticide‑treated nets and window screens to reduce mosquito bites, given the patient’s occupation as a mason that may involve outdoor work during peak biting times; (2) educate the family on early signs of malaria recurrence and the importance of seeking care within 24 hours of symptom onset; (3) ensure completion of any prescribed follow‑up antimalarial course to prevent recrudescence; (4) discuss with a health worker the suitability of seasonal malaria chemoprevention or the RTS,S/AS01 vaccine for eligible household members, particularly children; (5) improve household sanitation by maintaining KVIP facilities and covering water storage containers to limit mosquito breeding sites; (6) encourage the patient to continue his routine of three balanced meals daily and adequate hydration, which support recovery and overall health; (7) advise the father, who works as a taxi driver, to use personal protective measures such as repellents during evening shifts; and (8) schedule a follow‑up visit at the outpatient clinic within two weeks to confirm parasite clearance and address any residual fatigue or anaemia. These recommendations are drawn directly from the patient’s documented history, lifestyle and the clinical course observed during admission.</w:t>
      </w:r>
    </w:p>
    <w:p>
      <w:pPr>
        <w:pStyle w:val="CareStudyHeading2"/>
      </w:pPr>
      <w:r>
        <w:rPr>
          <w:rFonts w:ascii="Times New Roman" w:hAnsi="Times New Roman"/>
          <w:b w:val="0"/>
          <w:i w:val="0"/>
          <w:u w:val="none"/>
        </w:rPr>
        <w:t>6.3</w:t>
      </w:r>
    </w:p>
    <w:p>
      <w:pPr>
        <w:pStyle w:val="CareStudyBody"/>
        <w:spacing w:line="360" w:lineRule="auto"/>
        <w:ind w:firstLine="0"/>
        <w:jc w:val="both"/>
      </w:pPr>
      <w:r>
        <w:rPr>
          <w:rFonts w:ascii="Times New Roman" w:hAnsi="Times New Roman"/>
          <w:b w:val="0"/>
          <w:i w:val="0"/>
          <w:u w:val="none"/>
        </w:rPr>
        <w:t>The bibliography provides a comprehensive list of the academic and clinical sources used to ground the evidence-based care provided in this study (Potter &amp; Perry, 2021).</w:t>
      </w:r>
    </w:p>
    <w:p>
      <w:pPr>
        <w:pStyle w:val="CareStudyBody"/>
        <w:spacing w:before="120" w:after="80"/>
      </w:pPr>
      <w:r>
        <w:rPr>
          <w:rFonts w:ascii="Times New Roman" w:hAnsi="Times New Roman"/>
          <w:b/>
          <w:i w:val="0"/>
          <w:sz w:val="22"/>
          <w:u w:val="none"/>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lvl>
  </w:abstractNum>
  <w:abstractNum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eStudyBody">
    <w:name w:val="Care Study Body"/>
    <w:basedOn w:val="Normal"/>
    <w:pPr>
      <w:spacing w:line="360" w:lineRule="auto" w:after="120"/>
      <w:jc w:val="both"/>
    </w:pPr>
  </w:style>
  <w:style w:type="paragraph" w:customStyle="1" w:styleId="CareStudyHeading1">
    <w:name w:val="Care Study Heading 1"/>
    <w:basedOn w:val="Normal"/>
    <w:pPr>
      <w:keepNext/>
      <w:spacing w:before="280" w:after="160"/>
      <w:outlineLvl w:val="0"/>
    </w:pPr>
    <w:rPr>
      <w:rFonts w:ascii="Times New Roman" w:hAnsi="Times New Roman" w:cs="Times New Roman"/>
      <w:b/>
      <w:color w:val="000000"/>
      <w:sz w:val="28"/>
    </w:rPr>
  </w:style>
  <w:style w:type="paragraph" w:customStyle="1" w:styleId="CareStudyHeading2">
    <w:name w:val="Care Study Heading 2"/>
    <w:basedOn w:val="Normal"/>
    <w:pPr>
      <w:keepNext/>
      <w:spacing w:before="200" w:after="80"/>
      <w:outlineLvl w:val="1"/>
    </w:pPr>
    <w:rPr>
      <w:rFonts w:ascii="Times New Roman" w:hAnsi="Times New Roman" w:cs="Times New Roman"/>
      <w:b/>
      <w:color w:val="000000"/>
      <w:sz w:val="24"/>
    </w:rPr>
  </w:style>
  <w:style w:type="paragraph" w:customStyle="1" w:styleId="CareStudyTableHeader">
    <w:name w:val="Care Study Table Header"/>
    <w:basedOn w:val="Normal"/>
    <w:rPr>
      <w:rFonts w:ascii="Times New Roman" w:hAnsi="Times New Roman" w:cs="Times New Roman"/>
      <w:b/>
      <w:color w:val="000000"/>
      <w:sz w:val="20"/>
    </w:rPr>
  </w:style>
  <w:style w:type="paragraph" w:customStyle="1" w:styleId="CareStudyTableCell">
    <w:name w:val="Care Study Table Cell"/>
    <w:basedOn w:val="Normal"/>
    <w:rPr>
      <w:rFonts w:ascii="Times New Roman" w:hAnsi="Times New Roman" w:cs="Times New Roman"/>
      <w:sz w:val="20"/>
    </w:rPr>
  </w:style>
  <w:style w:type="paragraph" w:customStyle="1" w:styleId="CareStudyTOCTitle">
    <w:name w:val="Care Study TOC Title"/>
    <w:basedOn w:val="Normal"/>
    <w:pPr>
      <w:jc w:val="center"/>
    </w:pPr>
    <w:rPr>
      <w:rFonts w:ascii="Times New Roman" w:hAnsi="Times New Roman" w:cs="Times New Roman"/>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