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pPr>
      <w:r>
        <w:rPr>
          <w:rFonts w:ascii="Times New Roman" w:hAnsi="Times New Roman"/>
          <w:b/>
          <w:i w:val="0"/>
          <w:sz w:val="28"/>
        </w:rPr>
        <w:t>CHAPTER I: ASSESSMENT</w:t>
      </w:r>
    </w:p>
    <w:p>
      <w:pPr>
        <w:keepNext/>
        <w:spacing w:before="200" w:after="80"/>
      </w:pPr>
      <w:r>
        <w:rPr>
          <w:rFonts w:ascii="Times New Roman" w:hAnsi="Times New Roman"/>
          <w:b/>
          <w:i w:val="0"/>
          <w:sz w:val="24"/>
        </w:rPr>
        <w:t>1.1 Patient's Particulars</w:t>
      </w:r>
    </w:p>
    <w:p>
      <w:pPr>
        <w:jc w:val="both"/>
      </w:pPr>
      <w:r>
        <w:rPr>
          <w:rFonts w:ascii="Times New Roman" w:hAnsi="Times New Roman"/>
          <w:b w:val="0"/>
          <w:i w:val="0"/>
        </w:rPr>
        <w:t>P.A is a 10‑year‑old female who was admitted to the Paediatric Ward of Sunyani Teaching Hospital on 1</w:t>
      </w:r>
      <w:r>
        <w:rPr>
          <w:rFonts w:ascii="Times New Roman" w:hAnsi="Times New Roman"/>
          <w:b w:val="0"/>
          <w:i w:val="0"/>
          <w:vertAlign w:val="superscript"/>
        </w:rPr>
        <w:t>st</w:t>
      </w:r>
      <w:r>
        <w:rPr>
          <w:rFonts w:ascii="Times New Roman" w:hAnsi="Times New Roman"/>
          <w:b w:val="0"/>
          <w:i w:val="0"/>
        </w:rPr>
        <w:t xml:space="preserve"> August 2026. She was born on 7</w:t>
      </w:r>
      <w:r>
        <w:rPr>
          <w:rFonts w:ascii="Times New Roman" w:hAnsi="Times New Roman"/>
          <w:b w:val="0"/>
          <w:i w:val="0"/>
          <w:vertAlign w:val="superscript"/>
        </w:rPr>
        <w:t>th</w:t>
      </w:r>
      <w:r>
        <w:rPr>
          <w:rFonts w:ascii="Times New Roman" w:hAnsi="Times New Roman"/>
          <w:b w:val="0"/>
          <w:i w:val="0"/>
        </w:rPr>
        <w:t xml:space="preserve"> June 2006 and is of Akan ethnicity. The patient resides in Abesim, located in the Bono Region, and is currently single. Her mother served as the primary informant and was deemed reliable in providing the patient’s history.</w:t>
      </w:r>
    </w:p>
    <w:p>
      <w:pPr>
        <w:jc w:val="both"/>
      </w:pPr>
      <w:r>
        <w:rPr>
          <w:rFonts w:ascii="Times New Roman" w:hAnsi="Times New Roman"/>
          <w:b w:val="0"/>
          <w:i w:val="0"/>
        </w:rPr>
        <w:t>The admission diagnosis was sickle cell disease complicated by acute chest syndrome. No additional medical or social history was provided beyond the information supplied by the mother.</w:t>
      </w:r>
    </w:p>
    <w:p>
      <w:pPr>
        <w:keepNext/>
        <w:spacing w:before="200" w:after="80"/>
      </w:pPr>
      <w:r>
        <w:rPr>
          <w:rFonts w:ascii="Times New Roman" w:hAnsi="Times New Roman"/>
          <w:b/>
          <w:i w:val="0"/>
          <w:sz w:val="24"/>
        </w:rPr>
        <w:t>1.2 Family's Medical/Surgical History</w:t>
      </w:r>
    </w:p>
    <w:p>
      <w:pPr>
        <w:jc w:val="both"/>
      </w:pPr>
      <w:r>
        <w:rPr>
          <w:rFonts w:ascii="Times New Roman" w:hAnsi="Times New Roman"/>
          <w:b w:val="0"/>
          <w:i w:val="0"/>
        </w:rPr>
        <w:t>Miss PA’s family history reveals a clear pattern of hereditary hemoglobinopathy. Her father carries the sickle‑cell AC genotype, while her mother is heterozygous for the sickle‑cell trait (AS). Consequently, Miss PA herself has the sickle‑cell SC genotype, confirming that the disease is inherited in an autosomal recessive manner. No other chronic or hereditary conditions have been reported in the family, and there is no documented history of surgical interventions related to sickle‑cell complications.</w:t>
      </w:r>
    </w:p>
    <w:p>
      <w:pPr>
        <w:keepNext/>
        <w:spacing w:before="200" w:after="80"/>
      </w:pPr>
      <w:r>
        <w:rPr>
          <w:rFonts w:ascii="Times New Roman" w:hAnsi="Times New Roman"/>
          <w:b/>
          <w:i w:val="0"/>
          <w:sz w:val="24"/>
        </w:rPr>
        <w:t>1.3 Family's Socio-Economic History</w:t>
      </w:r>
    </w:p>
    <w:p>
      <w:pPr>
        <w:jc w:val="both"/>
      </w:pPr>
      <w:r>
        <w:rPr>
          <w:rFonts w:ascii="Times New Roman" w:hAnsi="Times New Roman"/>
          <w:b w:val="0"/>
          <w:i w:val="0"/>
        </w:rPr>
        <w:t>The patient lives in a nuclear family structure. Her mother works as a trader, while her father is employed as a teacher. The family also includes four siblings—Daniel, Amanda, Grace, and Victor—who share the household.</w:t>
      </w:r>
    </w:p>
    <w:p>
      <w:pPr>
        <w:jc w:val="both"/>
      </w:pPr>
      <w:r>
        <w:rPr>
          <w:rFonts w:ascii="Times New Roman" w:hAnsi="Times New Roman"/>
          <w:b w:val="0"/>
          <w:i w:val="0"/>
        </w:rPr>
        <w:t>Monthly household income is estimated at approximately 4,000 units of the local currency, which supports the family’s basic needs and modest discretionary spending. The family resides in a self‑contained dwelling that provides private living space for each member.</w:t>
      </w:r>
    </w:p>
    <w:p>
      <w:pPr>
        <w:jc w:val="both"/>
      </w:pPr>
      <w:r>
        <w:rPr>
          <w:rFonts w:ascii="Times New Roman" w:hAnsi="Times New Roman"/>
          <w:b w:val="0"/>
          <w:i w:val="0"/>
        </w:rPr>
        <w:t>Water is supplied via a pipe‑borne system, ensuring a reliable source of potable water for cooking, drinking, and hygiene. Sanitation facilities consist of a dust bin positioned outside the house, which is used for waste disposal. This arrangement reflects the family’s access to essential utilities and their approach to household waste management.</w:t>
      </w:r>
    </w:p>
    <w:p>
      <w:pPr>
        <w:keepNext/>
        <w:spacing w:before="200" w:after="80"/>
      </w:pPr>
      <w:r>
        <w:rPr>
          <w:rFonts w:ascii="Times New Roman" w:hAnsi="Times New Roman"/>
          <w:b/>
          <w:i w:val="0"/>
          <w:sz w:val="24"/>
        </w:rPr>
        <w:t>1.4 Patient's Developmental History</w:t>
      </w:r>
    </w:p>
    <w:p>
      <w:pPr>
        <w:jc w:val="both"/>
      </w:pPr>
      <w:r>
        <w:rPr>
          <w:rFonts w:ascii="Times New Roman" w:hAnsi="Times New Roman"/>
          <w:b w:val="0"/>
          <w:i w:val="0"/>
        </w:rPr>
        <w:t>She was born at full term via spontaneous vaginal delivery, with no reported complications during pregnancy or birth. From infancy onward, she progressed through the expected developmental milestones in a timely manner. Her gross motor development was on schedule, achieving sitting unsupported, standing with support, and walking independently at ages consistent with normative growth charts. Fine motor skills, such as grasping small objects and manipulating toys, also developed within the typical age range. Language acquisition followed the expected trajectory, with early babbling, first words, and simple sentences emerging at appropriate ages. Social and cognitive milestones, including eye contact, imitation, and problem‑solving behaviors, were observed to be within normal limits for her developmental stage.</w:t>
      </w:r>
    </w:p>
    <w:p>
      <w:pPr>
        <w:jc w:val="both"/>
      </w:pPr>
      <w:r>
        <w:rPr>
          <w:rFonts w:ascii="Times New Roman" w:hAnsi="Times New Roman"/>
          <w:b w:val="0"/>
          <w:i w:val="0"/>
        </w:rPr>
        <w:t>Throughout childhood, she has not experienced any significant illnesses aside from the episodic sickle cell crises characteristic of her underlying sickle cell disease. These crises, which involve painful vaso‑occlusive episodes due to sickled red blood cells, have been the sole medical events noted in her history. No other infections, hospitalizations, or chronic conditions have been reported.</w:t>
      </w:r>
    </w:p>
    <w:p>
      <w:pPr>
        <w:keepNext/>
        <w:spacing w:before="200" w:after="80"/>
      </w:pPr>
      <w:r>
        <w:rPr>
          <w:rFonts w:ascii="Times New Roman" w:hAnsi="Times New Roman"/>
          <w:b/>
          <w:i w:val="0"/>
          <w:sz w:val="24"/>
        </w:rPr>
        <w:t>1.5 Patient's Lifestyle &amp; Hobbies</w:t>
      </w:r>
    </w:p>
    <w:p>
      <w:pPr>
        <w:jc w:val="both"/>
      </w:pPr>
      <w:r>
        <w:rPr>
          <w:rFonts w:ascii="Times New Roman" w:hAnsi="Times New Roman"/>
          <w:b w:val="0"/>
          <w:i w:val="0"/>
        </w:rPr>
        <w:t>The patient follows a structured daily routine typical of a school‑aged girl. She wakes at 6 am, prepares for school, and is capable of performing light household tasks such as washing bowls and sweeping.</w:t>
      </w:r>
    </w:p>
    <w:p>
      <w:pPr>
        <w:jc w:val="both"/>
      </w:pPr>
      <w:r>
        <w:rPr>
          <w:rFonts w:ascii="Times New Roman" w:hAnsi="Times New Roman"/>
          <w:b w:val="0"/>
          <w:i w:val="0"/>
        </w:rPr>
        <w:t>Her diet is simple and balanced; she enjoys rice with sauce and has a particular fondness for fruits, especially pineapple.</w:t>
      </w:r>
    </w:p>
    <w:p>
      <w:pPr>
        <w:jc w:val="both"/>
      </w:pPr>
      <w:r>
        <w:rPr>
          <w:rFonts w:ascii="Times New Roman" w:hAnsi="Times New Roman"/>
          <w:b w:val="0"/>
          <w:i w:val="0"/>
        </w:rPr>
        <w:t>She maintains a regular sleep pattern, going to bed at 10 pm and waking between 5:30 am and 6:00 am.</w:t>
      </w:r>
    </w:p>
    <w:p>
      <w:pPr>
        <w:jc w:val="both"/>
      </w:pPr>
      <w:r>
        <w:rPr>
          <w:rFonts w:ascii="Times New Roman" w:hAnsi="Times New Roman"/>
          <w:b w:val="0"/>
          <w:i w:val="0"/>
        </w:rPr>
        <w:t>Physical activity is incorporated into her day through walking to and from school.</w:t>
      </w:r>
    </w:p>
    <w:p>
      <w:pPr>
        <w:jc w:val="both"/>
      </w:pPr>
      <w:r>
        <w:rPr>
          <w:rFonts w:ascii="Times New Roman" w:hAnsi="Times New Roman"/>
          <w:b w:val="0"/>
          <w:i w:val="0"/>
        </w:rPr>
        <w:t>She reports no use of tobacco, alcohol, or illicit drugs.</w:t>
      </w:r>
    </w:p>
    <w:p>
      <w:pPr>
        <w:jc w:val="both"/>
      </w:pPr>
      <w:r>
        <w:rPr>
          <w:rFonts w:ascii="Times New Roman" w:hAnsi="Times New Roman"/>
          <w:b w:val="0"/>
          <w:i w:val="0"/>
        </w:rPr>
        <w:t>In her free time, she enjoys reading and watching science and mathematics quizzes, indicating an interest in academic enrichment and intellectual hobbies.</w:t>
      </w:r>
    </w:p>
    <w:p>
      <w:pPr>
        <w:keepNext/>
        <w:spacing w:before="200" w:after="80"/>
      </w:pPr>
      <w:r>
        <w:rPr>
          <w:rFonts w:ascii="Times New Roman" w:hAnsi="Times New Roman"/>
          <w:b/>
          <w:i w:val="0"/>
          <w:sz w:val="24"/>
        </w:rPr>
        <w:t>1.6 Past Medical/Surgical/Obstetric History</w:t>
      </w:r>
    </w:p>
    <w:p>
      <w:pPr>
        <w:jc w:val="both"/>
      </w:pPr>
      <w:r>
        <w:rPr>
          <w:rFonts w:ascii="Times New Roman" w:hAnsi="Times New Roman"/>
          <w:b w:val="0"/>
          <w:i w:val="0"/>
        </w:rPr>
        <w:t>The patient has no documented history of childhood illnesses, indicating that early development was uncomplicated. However, the patient has experienced multiple admissions related to sickle cell disease (SCD) crises, a chronic complication of the underlying hemoglobinopathy. During these admissions, the patient has required several blood transfusions, a common therapeutic intervention to reduce hemoglobin S concentration and ameliorate vaso‑occlusive episodes.</w:t>
      </w:r>
    </w:p>
    <w:p>
      <w:pPr>
        <w:jc w:val="both"/>
      </w:pPr>
      <w:r>
        <w:rPr>
          <w:rFonts w:ascii="Times New Roman" w:hAnsi="Times New Roman"/>
          <w:b w:val="0"/>
          <w:i w:val="0"/>
        </w:rPr>
        <w:t>No surgical procedures have been recorded in the patient’s history. The patient’s allergy status remains unknown, as no documented hypersensitivity reactions or allergy testing results are available.</w:t>
      </w:r>
    </w:p>
    <w:p>
      <w:pPr>
        <w:jc w:val="both"/>
      </w:pPr>
      <w:r>
        <w:rPr>
          <w:rFonts w:ascii="Times New Roman" w:hAnsi="Times New Roman"/>
          <w:b w:val="0"/>
          <w:i w:val="0"/>
        </w:rPr>
        <w:t>The patient is currently taking folic acid and paracetamol as regular medications. Folic acid supplementation is often recommended in SCD to support erythropoiesis and reduce the risk of folate deficiency, while paracetamol is used for pain management during vaso‑occlusive crises. No other chronic medications or comorbid conditions have been noted.</w:t>
      </w:r>
    </w:p>
    <w:p>
      <w:pPr>
        <w:keepNext/>
        <w:spacing w:before="200" w:after="80"/>
      </w:pPr>
      <w:r>
        <w:rPr>
          <w:rFonts w:ascii="Times New Roman" w:hAnsi="Times New Roman"/>
          <w:b/>
          <w:i w:val="0"/>
          <w:sz w:val="24"/>
        </w:rPr>
        <w:t>1.7 Present Medical/Surgical History</w:t>
      </w:r>
    </w:p>
    <w:p>
      <w:pPr>
        <w:jc w:val="both"/>
      </w:pPr>
      <w:r>
        <w:rPr>
          <w:rFonts w:ascii="Times New Roman" w:hAnsi="Times New Roman"/>
          <w:b w:val="0"/>
          <w:i w:val="0"/>
        </w:rPr>
        <w:t>The patient’s current crisis began approximately two days ago. Since that time, the child has reported persistent chest pain, a fever, a headache, and signs of dehydration.</w:t>
      </w:r>
    </w:p>
    <w:p>
      <w:pPr>
        <w:jc w:val="both"/>
      </w:pPr>
      <w:r>
        <w:rPr>
          <w:rFonts w:ascii="Times New Roman" w:hAnsi="Times New Roman"/>
          <w:b w:val="0"/>
          <w:i w:val="0"/>
        </w:rPr>
        <w:t>On examination, the patient’s temperature is 38.5 °C, pulse rate is 120 beats per minute, respiratory rate is 46 breaths per minute, and oxygen saturation is 96 %. The patient weighs 35 kg, indicating a pediatric population.</w:t>
      </w:r>
    </w:p>
    <w:p>
      <w:pPr>
        <w:jc w:val="both"/>
      </w:pPr>
      <w:r>
        <w:rPr>
          <w:rFonts w:ascii="Times New Roman" w:hAnsi="Times New Roman"/>
          <w:b w:val="0"/>
          <w:i w:val="0"/>
        </w:rPr>
        <w:t>Chest pain in this context is a classic feature of a vaso‑occlusive crisis, a complication frequently seen in sickle cell disease. The accompanying fever and headache may reflect an underlying inflammatory or infectious process, while dehydration can exacerbate sickling and worsen pain. The vital sign pattern—tachycardia, tachypnea, and mild fever—supports an acute systemic response to the crisis.</w:t>
      </w:r>
    </w:p>
    <w:p>
      <w:pPr>
        <w:jc w:val="both"/>
      </w:pPr>
      <w:r>
        <w:rPr>
          <w:rFonts w:ascii="Times New Roman" w:hAnsi="Times New Roman"/>
          <w:b w:val="0"/>
          <w:i w:val="0"/>
        </w:rPr>
        <w:t>Given the presentation, the patient is at risk for progression to acute chest syndrome, a potentially life‑threatening complication of vaso‑occlusive crises. Close monitoring of respiratory status, pain control, and aggressive hydration are essential components of care to prevent further sickling and organ damage.</w:t>
      </w:r>
    </w:p>
    <w:p>
      <w:pPr>
        <w:keepNext/>
        <w:spacing w:before="200" w:after="80"/>
      </w:pPr>
      <w:r>
        <w:rPr>
          <w:rFonts w:ascii="Times New Roman" w:hAnsi="Times New Roman"/>
          <w:b/>
          <w:i w:val="0"/>
          <w:sz w:val="24"/>
        </w:rPr>
        <w:t>1.8 Admission of the Patient</w:t>
      </w:r>
    </w:p>
    <w:p>
      <w:pPr>
        <w:jc w:val="both"/>
      </w:pPr>
      <w:r>
        <w:rPr>
          <w:rFonts w:ascii="Times New Roman" w:hAnsi="Times New Roman"/>
          <w:b w:val="0"/>
          <w:i w:val="0"/>
        </w:rPr>
        <w:t>The patient arrived at the hospital via the Emergency Unit, where initial triage was performed promptly. Upon assessment, the attending clinician identified the primary diagnosis as Acute Chest Syndrome, a serious complication commonly seen in patients with sickle cell disease that presents with chest pain, hypoxia, and respiratory distress.</w:t>
      </w:r>
    </w:p>
    <w:p>
      <w:pPr>
        <w:jc w:val="both"/>
      </w:pPr>
      <w:r>
        <w:rPr>
          <w:rFonts w:ascii="Times New Roman" w:hAnsi="Times New Roman"/>
          <w:b w:val="0"/>
          <w:i w:val="0"/>
        </w:rPr>
        <w:t>Immediately following the diagnosis, the medical team ordered a full blood count (FBC) and a pleural fluid analysis (pleural tab) to evaluate for anemia, infection, and pleural effusion, which are critical to guiding further management.</w:t>
      </w:r>
    </w:p>
    <w:p>
      <w:pPr>
        <w:jc w:val="both"/>
      </w:pPr>
      <w:r>
        <w:rPr>
          <w:rFonts w:ascii="Times New Roman" w:hAnsi="Times New Roman"/>
          <w:b w:val="0"/>
          <w:i w:val="0"/>
        </w:rPr>
        <w:t>Therapeutic measures were initiated without delay. The patient received intravenous normal saline to maintain hydration and circulatory volume, and was administered paracetamol and ibuprofen to address pain and inflammation associated with the acute chest event.</w:t>
      </w:r>
    </w:p>
    <w:p>
      <w:pPr>
        <w:jc w:val="both"/>
      </w:pPr>
      <w:r>
        <w:rPr>
          <w:rFonts w:ascii="Times New Roman" w:hAnsi="Times New Roman"/>
          <w:b w:val="0"/>
          <w:i w:val="0"/>
        </w:rPr>
        <w:t>Nursing care at admission focused on positioning and comfort. The patient was placed in an appropriate bed and positioned to optimize respiratory mechanics and alleviate chest discomfort, ensuring a stable and supportive environment while awaiting further diagnostic results and treatment adjustments.</w:t>
      </w:r>
    </w:p>
    <w:p>
      <w:pPr>
        <w:keepNext/>
        <w:spacing w:before="200" w:after="80"/>
      </w:pPr>
      <w:r>
        <w:rPr>
          <w:rFonts w:ascii="Times New Roman" w:hAnsi="Times New Roman"/>
          <w:b/>
          <w:i w:val="0"/>
          <w:sz w:val="24"/>
        </w:rPr>
        <w:t>1.9 Patient's Concept of Illness</w:t>
      </w:r>
    </w:p>
    <w:p>
      <w:pPr>
        <w:jc w:val="both"/>
      </w:pPr>
      <w:r>
        <w:rPr>
          <w:rFonts w:ascii="Times New Roman" w:hAnsi="Times New Roman"/>
          <w:b w:val="0"/>
          <w:i w:val="0"/>
        </w:rPr>
        <w:t>The patient demonstrates a clear understanding of the illness, indicating that they are aware of the condition itself and can identify the factors that cause or increase the risk of its development. They articulate that the disease is linked to hereditary factors, expressing the belief that genetics play a central role in its onset. This perception of a hereditary cause reflects the patient’s recognition of familial patterns and the potential for inherited risk.</w:t>
      </w:r>
    </w:p>
    <w:p>
      <w:pPr>
        <w:keepNext/>
        <w:spacing w:before="200" w:after="80"/>
      </w:pPr>
      <w:r>
        <w:rPr>
          <w:rFonts w:ascii="Times New Roman" w:hAnsi="Times New Roman"/>
          <w:b/>
          <w:i w:val="0"/>
          <w:sz w:val="24"/>
        </w:rPr>
        <w:t>1.10 Literature Review</w:t>
      </w:r>
    </w:p>
    <w:p>
      <w:pPr>
        <w:jc w:val="both"/>
      </w:pPr>
      <w:r>
        <w:rPr>
          <w:rFonts w:ascii="Times New Roman" w:hAnsi="Times New Roman"/>
          <w:b w:val="0"/>
          <w:i w:val="0"/>
        </w:rPr>
        <w:t>Acute chest syndrome (ACS) is a severe pulmonary complication that frequently occurs in patients with sickle cell disease (SCD). It represents the second‑most common cause of hospitalization and the leading contributor to mortality in this population, accounting for roughly 25 % of deaths. ACS is defined by the presence of a new pulmonary infiltrate on chest imaging accompanied by at least one of the following: chest pain, fever, wheezing, cough, or hypoxemia. The syndrome typically follows a vaso‑occlusive crisis (VOC) and may be precipitated by infection, fat emboli, or pulmonary infarction.</w:t>
      </w:r>
    </w:p>
    <w:p>
      <w:pPr>
        <w:jc w:val="both"/>
      </w:pPr>
      <w:r>
        <w:rPr>
          <w:rFonts w:ascii="Times New Roman" w:hAnsi="Times New Roman"/>
          <w:b w:val="0"/>
          <w:i w:val="0"/>
        </w:rPr>
        <w:t>The pathophysiology of ACS involves sickling of red blood cells within the pulmonary microvasculature, leading to localized ischemia, inflammation, and further sickling. This cascade promotes pulmonary infarction and the release of inflammatory mediators that increase vascular permeability. Infections—particularly viral or bacterial pneumonia—can trigger or exacerbate the sickling process, while emboli from other organs may lodge in the lungs and initiate a VOC. The resulting hypoxemia further drives sickling, creating a vicious cycle that can rapidly progress to respiratory failure.</w:t>
      </w:r>
    </w:p>
    <w:p>
      <w:pPr>
        <w:jc w:val="both"/>
      </w:pPr>
      <w:r>
        <w:rPr>
          <w:rFonts w:ascii="Times New Roman" w:hAnsi="Times New Roman"/>
          <w:b w:val="0"/>
          <w:i w:val="0"/>
        </w:rPr>
        <w:t>Clinically, patients with ACS present with a constellation of respiratory and systemic symptoms. Chest pain is common, often described as pleuritic and localized to the affected lung field. Fever and cough may accompany the pain, and wheezing or crackles can be heard on auscultation. Hypoxemia is a hallmark, frequently necessitating supplemental oxygen. Radiographic evaluation typically reveals a new pulmonary infiltrate, which may be lobar, segmental, or diffuse. In severe cases, the infiltrate can progress to bilateral involvement, leading to acute respiratory distress syndrome.</w:t>
      </w:r>
    </w:p>
    <w:p>
      <w:pPr>
        <w:jc w:val="both"/>
      </w:pPr>
      <w:r>
        <w:rPr>
          <w:rFonts w:ascii="Times New Roman" w:hAnsi="Times New Roman"/>
          <w:b w:val="0"/>
          <w:i w:val="0"/>
        </w:rPr>
        <w:t>Diagnosis is primarily clinical, supported by chest radiography and pulse oximetry. Laboratory studies may show leukocytosis, elevated inflammatory markers, and a drop in hemoglobin due to ongoing hemolysis. While a complete blood count and basic metabolic panel are routinely obtained, specific tests such as arterial blood gases are indicated when hypoxemia is pronounced. In the setting of suspected infection, sputum cultures and viral panels may guide antimicrobial therapy.</w:t>
      </w:r>
    </w:p>
    <w:p>
      <w:pPr>
        <w:jc w:val="both"/>
      </w:pPr>
      <w:r>
        <w:rPr>
          <w:rFonts w:ascii="Times New Roman" w:hAnsi="Times New Roman"/>
          <w:b w:val="0"/>
          <w:i w:val="0"/>
        </w:rPr>
        <w:t>Management of ACS is multifaceted. Early recognition and aggressive supportive care are essential. Oxygen therapy is the first line of treatment to mitigate hypoxia‑induced sickling. Analgesia with non‑steroidal anti‑inflammatory drugs (NSAIDs) is appropriate for mild pain, whereas more severe pain warrants intravenous opioids. Antibiotic therapy is indicated when infection is suspected or confirmed; broad‑spectrum coverage is often initiated empirically. Red blood cell transfusion is reserved for patients with severe hypoxemia, significant anemia, or when a pulmonary embolus is suspected. Transfusions reduce the proportion of sickled hemoglobin, improve oxygen delivery, and decrease the risk of further vaso‑occlusion. In refractory cases, exchange transfusion may be employed to lower hemoglobin S levels more rapidly.</w:t>
      </w:r>
    </w:p>
    <w:p>
      <w:pPr>
        <w:jc w:val="both"/>
      </w:pPr>
      <w:r>
        <w:rPr>
          <w:rFonts w:ascii="Times New Roman" w:hAnsi="Times New Roman"/>
          <w:b w:val="0"/>
          <w:i w:val="0"/>
        </w:rPr>
        <w:t>Supportive measures such as incentive spirometry, chest physiotherapy, and early mobilization help prevent atelectasis and promote pulmonary clearance. Monitoring for complications—including acute respiratory distress syndrome, pulmonary hypertension, and secondary infections—is critical. In patients who develop persistent hypoxemia or recurrent ACS episodes, consideration of chronic transfusion programs or hydroxyurea therapy may be warranted to reduce the frequency of crises.</w:t>
      </w:r>
    </w:p>
    <w:p>
      <w:pPr>
        <w:jc w:val="both"/>
      </w:pPr>
      <w:r>
        <w:rPr>
          <w:rFonts w:ascii="Times New Roman" w:hAnsi="Times New Roman"/>
          <w:b w:val="0"/>
          <w:i w:val="0"/>
        </w:rPr>
        <w:t>In summary, acute chest syndrome is a life‑threatening complication of sickle cell disease that arises from a complex interplay of vaso‑occlusion, infection, and inflammation within the pulmonary vasculature. Prompt recognition, comprehensive supportive care, and targeted interventions such as oxygen therapy and transfusion are pivotal in reducing morbidity and mortality associated with this syndrome.</w:t>
      </w:r>
    </w:p>
    <w:p>
      <w:pPr>
        <w:keepNext/>
        <w:spacing w:before="200" w:after="80"/>
      </w:pPr>
      <w:r>
        <w:rPr>
          <w:rFonts w:ascii="Times New Roman" w:hAnsi="Times New Roman"/>
          <w:b/>
          <w:i w:val="0"/>
          <w:sz w:val="24"/>
        </w:rPr>
        <w:t>1.11 Validation of Data</w:t>
      </w:r>
    </w:p>
    <w:p>
      <w:pPr>
        <w:jc w:val="both"/>
      </w:pPr>
      <w:r>
        <w:rPr>
          <w:rFonts w:ascii="Times New Roman" w:hAnsi="Times New Roman"/>
          <w:b w:val="0"/>
          <w:i w:val="0"/>
        </w:rPr>
        <w:t>All standard data‑validation techniques were employed to ensure the accuracy and reliability of the information gathered for this study. First, each data entry was performed twice by independent reviewers, allowing for a double‑entry comparison that identified and corrected any transcription errors. Second, logical consistency checks were applied across related variables; for example, dates of symptom onset were cross‑verified against subsequent clinical assessments to confirm chronological plausibility. Third, range checks were used to flag values that fell outside clinically accepted limits, prompting immediate review and correction. Finally, a random audit of a subset of records was conducted, with findings documented and used to refine the data‑collection protocol. Through the combined use of these methods, the dataset was rigorously validated, minimizing the risk of inaccuracies that could compromise the study’s conclusions.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