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29" w:rsidRDefault="004E7229">
      <w:pPr>
        <w:widowControl w:val="0"/>
        <w:pBdr>
          <w:top w:val="nil"/>
          <w:left w:val="nil"/>
          <w:bottom w:val="nil"/>
          <w:right w:val="nil"/>
          <w:between w:val="nil"/>
        </w:pBdr>
        <w:ind w:left="0"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5"/>
        <w:tblW w:w="9638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4E7229">
        <w:tc>
          <w:tcPr>
            <w:tcW w:w="9638" w:type="dxa"/>
            <w:shd w:val="clear" w:color="auto" w:fill="F2F2F2"/>
          </w:tcPr>
          <w:p w:rsidR="004E7229" w:rsidRDefault="0040148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b/>
                <w:color w:val="000000"/>
                <w:sz w:val="24"/>
                <w:szCs w:val="24"/>
              </w:rPr>
            </w:pPr>
            <w:sdt>
              <w:sdtPr>
                <w:tag w:val="goog_rdk_0"/>
                <w:id w:val="185869545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EE2400"/>
                    <w:sz w:val="24"/>
                    <w:szCs w:val="24"/>
                  </w:rPr>
                  <w:t>❚</w:t>
                </w:r>
              </w:sdtContent>
            </w:sdt>
            <w:r>
              <w:rPr>
                <w:b/>
                <w:color w:val="EE24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Présentation générale</w:t>
            </w:r>
          </w:p>
          <w:p w:rsidR="004E7229" w:rsidRDefault="00401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color w:val="000000"/>
              </w:rPr>
            </w:pPr>
            <w:r>
              <w:t>N</w:t>
            </w:r>
            <w:r>
              <w:rPr>
                <w:color w:val="000000"/>
              </w:rPr>
              <w:t xml:space="preserve">ous proposons </w:t>
            </w:r>
            <w:r>
              <w:t xml:space="preserve">à </w:t>
            </w:r>
            <w:r>
              <w:rPr>
                <w:color w:val="FF0000"/>
              </w:rPr>
              <w:t>[ STAGIAIRES CIBLES ]</w:t>
            </w:r>
            <w:r>
              <w:rPr>
                <w:color w:val="000000"/>
              </w:rPr>
              <w:t xml:space="preserve"> de nombreux modules </w:t>
            </w:r>
            <w:r>
              <w:t>de formation</w:t>
            </w:r>
            <w:r>
              <w:rPr>
                <w:color w:val="000000"/>
              </w:rPr>
              <w:t xml:space="preserve">. Ces formations sont évaluées à travers </w:t>
            </w:r>
            <w:r>
              <w:rPr>
                <w:color w:val="FF0000"/>
              </w:rPr>
              <w:t>[ MODALITÉS D’ÉVALUATION ]</w:t>
            </w:r>
            <w:r>
              <w:t>. L</w:t>
            </w:r>
            <w:r>
              <w:rPr>
                <w:color w:val="000000"/>
              </w:rPr>
              <w:t xml:space="preserve">e stagiaire validera la formation s'il obtient un taux de réussite minimum de </w:t>
            </w:r>
            <w:r>
              <w:rPr>
                <w:color w:val="FF0000"/>
              </w:rPr>
              <w:t>[ SCORE MINIMUM EXIGÉ ]</w:t>
            </w:r>
            <w:r>
              <w:t xml:space="preserve"> à cette évaluation</w:t>
            </w:r>
            <w:r>
              <w:rPr>
                <w:color w:val="000000"/>
              </w:rPr>
              <w:t>.</w:t>
            </w:r>
          </w:p>
        </w:tc>
      </w:tr>
    </w:tbl>
    <w:p w:rsidR="004E7229" w:rsidRDefault="00401485">
      <w:pPr>
        <w:ind w:left="0" w:hanging="2"/>
      </w:pPr>
      <w:r>
        <w:t xml:space="preserve"> </w:t>
      </w:r>
    </w:p>
    <w:p w:rsidR="004E7229" w:rsidRDefault="00401485">
      <w:pPr>
        <w:ind w:left="1" w:hanging="3"/>
        <w:jc w:val="center"/>
        <w:rPr>
          <w:sz w:val="32"/>
          <w:szCs w:val="32"/>
        </w:rPr>
      </w:pPr>
      <w:r>
        <w:rPr>
          <w:b/>
          <w:sz w:val="32"/>
          <w:szCs w:val="32"/>
        </w:rPr>
        <w:t>Objectifs et protocole d'évaluation de la formation</w:t>
      </w:r>
    </w:p>
    <w:p w:rsidR="004E7229" w:rsidRDefault="004E7229">
      <w:pPr>
        <w:ind w:left="0" w:hanging="2"/>
      </w:pPr>
      <w:bookmarkStart w:id="1" w:name="_heading=h.gjdgxs" w:colFirst="0" w:colLast="0"/>
      <w:bookmarkEnd w:id="1"/>
    </w:p>
    <w:p w:rsidR="004E7229" w:rsidRDefault="00401485">
      <w:pPr>
        <w:ind w:left="0" w:hanging="2"/>
      </w:pPr>
      <w:r>
        <w:t xml:space="preserve">La </w:t>
      </w:r>
      <w:r>
        <w:rPr>
          <w:color w:val="FF0000"/>
        </w:rPr>
        <w:t>[ NOM DE L’ORGANISME ]</w:t>
      </w:r>
      <w:r>
        <w:t xml:space="preserve"> réalise une évaluation du stagiaire. Cette évaluation a pour but de vérifier le niveau exigé par notre formation. Elle vise également à assurer la qualité de nos formations en assurant que celles-ci répondent aux objectifs qui lui ont été initialement ass</w:t>
      </w:r>
      <w:r>
        <w:t xml:space="preserve">ignés. </w:t>
      </w:r>
    </w:p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p w:rsidR="004E7229" w:rsidRDefault="00401485">
      <w:pPr>
        <w:ind w:left="0" w:hanging="2"/>
      </w:pPr>
      <w:r>
        <w:t xml:space="preserve">Objectif général de la formation : </w:t>
      </w:r>
    </w:p>
    <w:p w:rsidR="004E7229" w:rsidRDefault="00401485">
      <w:pPr>
        <w:ind w:left="0" w:hanging="2"/>
        <w:rPr>
          <w:color w:val="FF0000"/>
        </w:rPr>
      </w:pPr>
      <w:r>
        <w:rPr>
          <w:color w:val="FF0000"/>
        </w:rPr>
        <w:t>[ DESCRIPTION PAR L’ORGANISME DE L’OBJECTIF GLOBAL DE LA FORMATION ]</w:t>
      </w:r>
    </w:p>
    <w:p w:rsidR="004E7229" w:rsidRDefault="00401485">
      <w:pPr>
        <w:ind w:left="0" w:hanging="2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p w:rsidR="004E7229" w:rsidRDefault="00401485">
      <w:pPr>
        <w:ind w:left="0" w:hanging="2"/>
      </w:pPr>
      <w:r>
        <w:t xml:space="preserve">Déroulé de la formation : </w:t>
      </w:r>
    </w:p>
    <w:p w:rsidR="004E7229" w:rsidRDefault="00401485">
      <w:pPr>
        <w:ind w:left="0" w:hanging="2"/>
        <w:rPr>
          <w:color w:val="FF0000"/>
        </w:rPr>
      </w:pPr>
      <w:r>
        <w:rPr>
          <w:color w:val="FF0000"/>
        </w:rPr>
        <w:t>[ DESCRIPTION PAR L’ORGANISME DU DÉROULÉ DE LA FORMATION ]</w:t>
      </w:r>
    </w:p>
    <w:p w:rsidR="004E7229" w:rsidRDefault="00401485">
      <w:pPr>
        <w:ind w:left="0" w:hanging="2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p w:rsidR="004E7229" w:rsidRDefault="00401485">
      <w:pPr>
        <w:ind w:left="0" w:hanging="2"/>
      </w:pPr>
      <w:r>
        <w:lastRenderedPageBreak/>
        <w:t xml:space="preserve">Objectifs spécifiques et modalités d’évaluation des modules : </w:t>
      </w:r>
    </w:p>
    <w:p w:rsidR="004E7229" w:rsidRDefault="00401485">
      <w:pPr>
        <w:ind w:left="0" w:hanging="2"/>
        <w:rPr>
          <w:color w:val="FF0000"/>
        </w:rPr>
      </w:pPr>
      <w:r>
        <w:rPr>
          <w:color w:val="FF0000"/>
        </w:rPr>
        <w:t>[ DESCRIPTION PAR L’ORGANISME DU DÉROULÉ DE LA FORMATION ]</w:t>
      </w:r>
    </w:p>
    <w:p w:rsidR="004E7229" w:rsidRDefault="004E7229">
      <w:pPr>
        <w:ind w:left="0" w:hanging="2"/>
      </w:pPr>
    </w:p>
    <w:p w:rsidR="004E7229" w:rsidRDefault="00401485">
      <w:pPr>
        <w:ind w:left="0" w:hanging="2"/>
        <w:rPr>
          <w:color w:val="FF0000"/>
        </w:rPr>
      </w:pPr>
      <w:r>
        <w:t xml:space="preserve">Chapitre 1 : </w:t>
      </w:r>
      <w:r>
        <w:rPr>
          <w:color w:val="FF0000"/>
        </w:rPr>
        <w:t>[ INTITULÉ DU CHAPITRE 1 ]</w:t>
      </w:r>
    </w:p>
    <w:p w:rsidR="004E7229" w:rsidRDefault="00401485">
      <w:pPr>
        <w:ind w:left="0" w:hanging="2"/>
        <w:rPr>
          <w:sz w:val="16"/>
          <w:szCs w:val="16"/>
        </w:rPr>
      </w:pPr>
      <w:r>
        <w:t xml:space="preserve">Objectif du Chapitre 1 : </w:t>
      </w:r>
      <w:r>
        <w:rPr>
          <w:color w:val="FF0000"/>
          <w:sz w:val="16"/>
          <w:szCs w:val="16"/>
        </w:rPr>
        <w:t>[ OBJECTIF SPÉCIFIQUE DU CHAPITRE 1 À DÉTAILLER ]</w:t>
      </w:r>
    </w:p>
    <w:p w:rsidR="004E7229" w:rsidRDefault="00401485">
      <w:pPr>
        <w:ind w:left="0" w:hanging="2"/>
        <w:rPr>
          <w:color w:val="FF0000"/>
          <w:sz w:val="16"/>
          <w:szCs w:val="16"/>
        </w:rPr>
      </w:pPr>
      <w:r>
        <w:tab/>
        <w:t xml:space="preserve">Modalités d’évaluation du Chapitre 1 : </w:t>
      </w:r>
      <w:r>
        <w:rPr>
          <w:color w:val="FF0000"/>
          <w:sz w:val="16"/>
          <w:szCs w:val="16"/>
        </w:rPr>
        <w:t>[ MODALITÉS D’ÉVALUATION DU CHAPITRE 1 À DÉTAILLER ]</w:t>
      </w:r>
    </w:p>
    <w:p w:rsidR="004E7229" w:rsidRDefault="00401485">
      <w:pPr>
        <w:ind w:left="0" w:hanging="2"/>
        <w:rPr>
          <w:color w:val="FF0000"/>
          <w:sz w:val="16"/>
          <w:szCs w:val="16"/>
        </w:rPr>
      </w:pPr>
      <w:r>
        <w:rPr>
          <w:color w:val="FF0000"/>
        </w:rPr>
        <w:tab/>
      </w:r>
      <w:r>
        <w:t xml:space="preserve">Compétence acquise à l’issue du Chapitre 1 : </w:t>
      </w:r>
      <w:r>
        <w:rPr>
          <w:color w:val="FF0000"/>
          <w:sz w:val="16"/>
          <w:szCs w:val="16"/>
        </w:rPr>
        <w:t>[ COMPÉTENCE ACQUISE À L’ISSUE DU CHAPITRE 1 À DÉTAILLER ]</w:t>
      </w:r>
    </w:p>
    <w:p w:rsidR="004E7229" w:rsidRDefault="004E7229">
      <w:pPr>
        <w:ind w:left="0" w:hanging="2"/>
      </w:pPr>
    </w:p>
    <w:p w:rsidR="004E7229" w:rsidRDefault="00401485">
      <w:pPr>
        <w:ind w:left="0" w:hanging="2"/>
        <w:rPr>
          <w:color w:val="FF0000"/>
        </w:rPr>
      </w:pPr>
      <w:r>
        <w:t xml:space="preserve">Chapitre 2 : </w:t>
      </w:r>
      <w:r>
        <w:rPr>
          <w:color w:val="FF0000"/>
        </w:rPr>
        <w:t>[ INTITULÉ DU CHAPITRE 2 ]</w:t>
      </w:r>
    </w:p>
    <w:p w:rsidR="004E7229" w:rsidRDefault="00401485">
      <w:pPr>
        <w:ind w:left="0" w:hanging="2"/>
        <w:rPr>
          <w:sz w:val="16"/>
          <w:szCs w:val="16"/>
        </w:rPr>
      </w:pPr>
      <w:r>
        <w:t xml:space="preserve">Objectif du Chapitre 2 : </w:t>
      </w:r>
      <w:r>
        <w:rPr>
          <w:color w:val="FF0000"/>
          <w:sz w:val="16"/>
          <w:szCs w:val="16"/>
        </w:rPr>
        <w:t>[ OBJECTIF SPÉCIFIQUE DU CHAPITR</w:t>
      </w:r>
      <w:r>
        <w:rPr>
          <w:color w:val="FF0000"/>
          <w:sz w:val="16"/>
          <w:szCs w:val="16"/>
        </w:rPr>
        <w:t>E 2 À DÉTAILLER ]</w:t>
      </w:r>
    </w:p>
    <w:p w:rsidR="004E7229" w:rsidRDefault="00401485">
      <w:pPr>
        <w:ind w:left="0" w:hanging="2"/>
        <w:rPr>
          <w:color w:val="FF0000"/>
          <w:sz w:val="16"/>
          <w:szCs w:val="16"/>
        </w:rPr>
      </w:pPr>
      <w:r>
        <w:tab/>
        <w:t xml:space="preserve">Modalités d’évaluation du Chapitre 2 : </w:t>
      </w:r>
      <w:r>
        <w:rPr>
          <w:color w:val="FF0000"/>
          <w:sz w:val="16"/>
          <w:szCs w:val="16"/>
        </w:rPr>
        <w:t>[ MODALITÉS D’ÉVALUATION DU CHAPITRE 2 À DÉTAILLER ]</w:t>
      </w:r>
    </w:p>
    <w:p w:rsidR="004E7229" w:rsidRDefault="00401485">
      <w:pPr>
        <w:ind w:left="0" w:hanging="2"/>
        <w:rPr>
          <w:color w:val="FF0000"/>
          <w:sz w:val="16"/>
          <w:szCs w:val="16"/>
        </w:rPr>
      </w:pPr>
      <w:r>
        <w:rPr>
          <w:color w:val="FF0000"/>
        </w:rPr>
        <w:tab/>
      </w:r>
      <w:r>
        <w:t xml:space="preserve">Compétence acquise à l’issue du Chapitre 2 : </w:t>
      </w:r>
      <w:r>
        <w:rPr>
          <w:color w:val="FF0000"/>
          <w:sz w:val="16"/>
          <w:szCs w:val="16"/>
        </w:rPr>
        <w:t>[ COMPÉTENCE ACQUISE À L’ISSUE DU CHAPITRE 2 À DÉTAILLER ]</w:t>
      </w:r>
    </w:p>
    <w:p w:rsidR="004E7229" w:rsidRDefault="004E7229">
      <w:pPr>
        <w:ind w:left="0" w:hanging="2"/>
      </w:pPr>
    </w:p>
    <w:p w:rsidR="004E7229" w:rsidRDefault="00401485">
      <w:pPr>
        <w:ind w:left="0" w:hanging="2"/>
        <w:rPr>
          <w:color w:val="FF0000"/>
        </w:rPr>
      </w:pPr>
      <w:r>
        <w:t xml:space="preserve">Chapitre 3 : </w:t>
      </w:r>
      <w:r>
        <w:rPr>
          <w:color w:val="FF0000"/>
        </w:rPr>
        <w:t>[ INTITULÉ DU CHAPITRE 3 ]</w:t>
      </w:r>
    </w:p>
    <w:p w:rsidR="004E7229" w:rsidRDefault="00401485">
      <w:pPr>
        <w:ind w:left="0" w:hanging="2"/>
        <w:rPr>
          <w:sz w:val="16"/>
          <w:szCs w:val="16"/>
        </w:rPr>
      </w:pPr>
      <w:r>
        <w:t xml:space="preserve">Objectif du Chapitre 3 : </w:t>
      </w:r>
      <w:r>
        <w:rPr>
          <w:color w:val="FF0000"/>
          <w:sz w:val="16"/>
          <w:szCs w:val="16"/>
        </w:rPr>
        <w:t>[ OBJECTIF SPÉCIFIQUE DU CHAPITRE 3 À DÉTAILLER ]</w:t>
      </w:r>
    </w:p>
    <w:p w:rsidR="004E7229" w:rsidRDefault="00401485">
      <w:pPr>
        <w:ind w:left="0" w:hanging="2"/>
        <w:rPr>
          <w:color w:val="FF0000"/>
          <w:sz w:val="16"/>
          <w:szCs w:val="16"/>
        </w:rPr>
      </w:pPr>
      <w:r>
        <w:tab/>
        <w:t xml:space="preserve">Modalités d’évaluation du Chapitre 3 : </w:t>
      </w:r>
      <w:r>
        <w:rPr>
          <w:color w:val="FF0000"/>
          <w:sz w:val="16"/>
          <w:szCs w:val="16"/>
        </w:rPr>
        <w:t>[ MODALITÉS D’ÉVALUATION DU CHAPITRE 3 À DÉTAILLER ]</w:t>
      </w:r>
    </w:p>
    <w:p w:rsidR="004E7229" w:rsidRDefault="00401485">
      <w:pPr>
        <w:ind w:left="0" w:hanging="2"/>
        <w:rPr>
          <w:color w:val="FF0000"/>
          <w:sz w:val="16"/>
          <w:szCs w:val="16"/>
        </w:rPr>
      </w:pPr>
      <w:r>
        <w:rPr>
          <w:color w:val="FF0000"/>
        </w:rPr>
        <w:tab/>
      </w:r>
      <w:r>
        <w:t xml:space="preserve">Compétence acquise à l’issue du Chapitre 3 : </w:t>
      </w:r>
      <w:r>
        <w:rPr>
          <w:color w:val="FF0000"/>
          <w:sz w:val="16"/>
          <w:szCs w:val="16"/>
        </w:rPr>
        <w:t>[ COMPÉTENCE ACQUISE À L’ISSUE DU CHAPITR</w:t>
      </w:r>
      <w:r>
        <w:rPr>
          <w:color w:val="FF0000"/>
          <w:sz w:val="16"/>
          <w:szCs w:val="16"/>
        </w:rPr>
        <w:t>E 3 À DÉTAILLER ]</w:t>
      </w:r>
    </w:p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p w:rsidR="004E7229" w:rsidRDefault="00401485">
      <w:pPr>
        <w:ind w:left="0" w:hanging="2"/>
      </w:pPr>
      <w:r>
        <w:rPr>
          <w:b/>
        </w:rPr>
        <w:t>Détail de l’évaluations des formations :</w:t>
      </w:r>
    </w:p>
    <w:p w:rsidR="004E7229" w:rsidRDefault="004E7229">
      <w:pPr>
        <w:ind w:left="0" w:hanging="2"/>
      </w:pPr>
    </w:p>
    <w:tbl>
      <w:tblPr>
        <w:tblStyle w:val="a6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3615"/>
        <w:gridCol w:w="3855"/>
      </w:tblGrid>
      <w:tr w:rsidR="004E7229">
        <w:trPr>
          <w:trHeight w:val="539"/>
        </w:trPr>
        <w:tc>
          <w:tcPr>
            <w:tcW w:w="2430" w:type="dxa"/>
          </w:tcPr>
          <w:p w:rsidR="004E7229" w:rsidRDefault="00401485">
            <w:pPr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Formations</w:t>
            </w:r>
          </w:p>
        </w:tc>
        <w:tc>
          <w:tcPr>
            <w:tcW w:w="3615" w:type="dxa"/>
          </w:tcPr>
          <w:p w:rsidR="004E7229" w:rsidRDefault="0040148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Objectif spécifique du chapitre</w:t>
            </w:r>
          </w:p>
        </w:tc>
        <w:tc>
          <w:tcPr>
            <w:tcW w:w="3855" w:type="dxa"/>
          </w:tcPr>
          <w:p w:rsidR="004E7229" w:rsidRDefault="00401485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Modalités d’évaluation</w:t>
            </w:r>
          </w:p>
        </w:tc>
      </w:tr>
      <w:tr w:rsidR="004E7229">
        <w:trPr>
          <w:trHeight w:val="539"/>
        </w:trPr>
        <w:tc>
          <w:tcPr>
            <w:tcW w:w="2430" w:type="dxa"/>
          </w:tcPr>
          <w:p w:rsidR="004E7229" w:rsidRDefault="00401485">
            <w:pPr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Chapitre 1 </w:t>
            </w:r>
          </w:p>
        </w:tc>
        <w:tc>
          <w:tcPr>
            <w:tcW w:w="3615" w:type="dxa"/>
            <w:vAlign w:val="center"/>
          </w:tcPr>
          <w:p w:rsidR="004E7229" w:rsidRDefault="004E722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3855" w:type="dxa"/>
            <w:vAlign w:val="center"/>
          </w:tcPr>
          <w:p w:rsidR="004E7229" w:rsidRDefault="004E722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4E7229">
        <w:tc>
          <w:tcPr>
            <w:tcW w:w="2430" w:type="dxa"/>
          </w:tcPr>
          <w:p w:rsidR="004E7229" w:rsidRDefault="00401485">
            <w:pPr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Chapitre 2</w:t>
            </w:r>
          </w:p>
        </w:tc>
        <w:tc>
          <w:tcPr>
            <w:tcW w:w="3615" w:type="dxa"/>
            <w:vAlign w:val="center"/>
          </w:tcPr>
          <w:p w:rsidR="004E7229" w:rsidRDefault="004E722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3855" w:type="dxa"/>
            <w:vAlign w:val="center"/>
          </w:tcPr>
          <w:p w:rsidR="004E7229" w:rsidRDefault="004E722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4E7229">
        <w:trPr>
          <w:trHeight w:val="539"/>
        </w:trPr>
        <w:tc>
          <w:tcPr>
            <w:tcW w:w="2430" w:type="dxa"/>
          </w:tcPr>
          <w:p w:rsidR="004E7229" w:rsidRDefault="00401485">
            <w:pPr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Chapitre 3</w:t>
            </w:r>
          </w:p>
        </w:tc>
        <w:tc>
          <w:tcPr>
            <w:tcW w:w="3615" w:type="dxa"/>
            <w:vAlign w:val="center"/>
          </w:tcPr>
          <w:p w:rsidR="004E7229" w:rsidRDefault="004E722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3855" w:type="dxa"/>
            <w:vAlign w:val="center"/>
          </w:tcPr>
          <w:p w:rsidR="004E7229" w:rsidRDefault="004E7229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</w:tbl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p w:rsidR="004E7229" w:rsidRDefault="00401485">
      <w:pPr>
        <w:ind w:left="0" w:hanging="2"/>
      </w:pPr>
      <w:r>
        <w:rPr>
          <w:color w:val="FF0000"/>
        </w:rPr>
        <w:t>[ FOURNIR UN SUPPORT D’ÉVALUATION DES CONNAISSANCES ]</w:t>
      </w:r>
    </w:p>
    <w:p w:rsidR="004E7229" w:rsidRDefault="00401485">
      <w:pPr>
        <w:ind w:left="0" w:hanging="2"/>
      </w:pPr>
      <w:r>
        <w:t xml:space="preserve">Exemple  de questionnaire d’évaluation des connaissances dans le secteur immobilier : </w:t>
      </w:r>
    </w:p>
    <w:p w:rsidR="004E7229" w:rsidRDefault="004E7229">
      <w:pPr>
        <w:ind w:left="0" w:hanging="2"/>
      </w:pPr>
    </w:p>
    <w:tbl>
      <w:tblPr>
        <w:tblStyle w:val="a7"/>
        <w:tblW w:w="10451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92"/>
        <w:gridCol w:w="1359"/>
      </w:tblGrid>
      <w:tr w:rsidR="004E7229">
        <w:tc>
          <w:tcPr>
            <w:tcW w:w="9092" w:type="dxa"/>
            <w:tcMar>
              <w:left w:w="93" w:type="dxa"/>
            </w:tcMar>
          </w:tcPr>
          <w:p w:rsidR="004E7229" w:rsidRDefault="004E7229">
            <w:pPr>
              <w:spacing w:line="360" w:lineRule="auto"/>
              <w:ind w:left="0" w:hanging="2"/>
              <w:rPr>
                <w:u w:val="single"/>
              </w:rPr>
            </w:pPr>
          </w:p>
        </w:tc>
        <w:tc>
          <w:tcPr>
            <w:tcW w:w="1359" w:type="dxa"/>
            <w:tcMar>
              <w:left w:w="93" w:type="dxa"/>
            </w:tcMar>
          </w:tcPr>
          <w:p w:rsidR="004E7229" w:rsidRDefault="0040148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Résultat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*</w:t>
            </w:r>
          </w:p>
          <w:p w:rsidR="004E7229" w:rsidRDefault="00401485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0 -1 -2- 3</w:t>
            </w:r>
          </w:p>
        </w:tc>
      </w:tr>
      <w:tr w:rsidR="004E7229">
        <w:tc>
          <w:tcPr>
            <w:tcW w:w="9092" w:type="dxa"/>
            <w:tcMar>
              <w:left w:w="93" w:type="dxa"/>
            </w:tcMar>
          </w:tcPr>
          <w:p w:rsidR="004E7229" w:rsidRDefault="004E7229">
            <w:pPr>
              <w:ind w:left="0" w:hanging="2"/>
              <w:rPr>
                <w:sz w:val="24"/>
                <w:szCs w:val="24"/>
              </w:rPr>
            </w:pPr>
          </w:p>
          <w:p w:rsidR="004E7229" w:rsidRDefault="00401485">
            <w:pPr>
              <w:ind w:left="0" w:hanging="2"/>
            </w:pPr>
            <w:r>
              <w:rPr>
                <w:sz w:val="24"/>
                <w:szCs w:val="24"/>
              </w:rPr>
              <w:t xml:space="preserve">1 – </w:t>
            </w:r>
            <w:r>
              <w:rPr>
                <w:sz w:val="24"/>
                <w:szCs w:val="24"/>
                <w:u w:val="single"/>
              </w:rPr>
              <w:t>Le décret</w:t>
            </w:r>
          </w:p>
          <w:p w:rsidR="004E7229" w:rsidRDefault="004E7229">
            <w:pPr>
              <w:ind w:left="0" w:hanging="2"/>
            </w:pPr>
          </w:p>
          <w:p w:rsidR="004E7229" w:rsidRDefault="00401485">
            <w:pPr>
              <w:ind w:left="0" w:hanging="2"/>
            </w:pPr>
            <w:bookmarkStart w:id="2" w:name="_heading=h.30j0zll" w:colFirst="0" w:colLast="0"/>
            <w:bookmarkEnd w:id="2"/>
            <w:r>
              <w:rPr>
                <w:rFonts w:ascii="Noto Sans Symbols" w:eastAsia="Noto Sans Symbols" w:hAnsi="Noto Sans Symbols" w:cs="Noto Sans Symbols"/>
              </w:rPr>
              <w:t>❒</w:t>
            </w:r>
            <w:r>
              <w:t xml:space="preserve"> Il a été publié en juillet 2014 suite à la loi ALUR</w:t>
            </w:r>
          </w:p>
          <w:p w:rsidR="004E7229" w:rsidRDefault="00401485">
            <w:pPr>
              <w:ind w:left="0" w:hanging="2"/>
            </w:pPr>
            <w:r>
              <w:rPr>
                <w:rFonts w:ascii="Noto Sans Symbols" w:eastAsia="Noto Sans Symbols" w:hAnsi="Noto Sans Symbols" w:cs="Noto Sans Symbols"/>
              </w:rPr>
              <w:t>⌧</w:t>
            </w:r>
            <w:r>
              <w:t xml:space="preserve"> Il a été signé par le premier ministre Manuel VALLS</w:t>
            </w:r>
          </w:p>
          <w:p w:rsidR="004E7229" w:rsidRDefault="00401485">
            <w:pPr>
              <w:ind w:left="0" w:hanging="2"/>
            </w:pPr>
            <w:r>
              <w:rPr>
                <w:rFonts w:ascii="Noto Sans Symbols" w:eastAsia="Noto Sans Symbols" w:hAnsi="Noto Sans Symbols" w:cs="Noto Sans Symbols"/>
              </w:rPr>
              <w:t>⌧</w:t>
            </w:r>
            <w:r>
              <w:t xml:space="preserve"> L’article 1 fait référence à l’article 1 de la loi HOGUET</w:t>
            </w:r>
          </w:p>
          <w:p w:rsidR="004E7229" w:rsidRDefault="004E7229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1359" w:type="dxa"/>
            <w:tcMar>
              <w:left w:w="93" w:type="dxa"/>
            </w:tcMar>
          </w:tcPr>
          <w:p w:rsidR="004E7229" w:rsidRDefault="004E7229">
            <w:pPr>
              <w:ind w:left="0" w:hanging="2"/>
            </w:pPr>
          </w:p>
        </w:tc>
      </w:tr>
      <w:tr w:rsidR="004E7229">
        <w:tc>
          <w:tcPr>
            <w:tcW w:w="9092" w:type="dxa"/>
            <w:tcMar>
              <w:left w:w="93" w:type="dxa"/>
            </w:tcMar>
          </w:tcPr>
          <w:p w:rsidR="004E7229" w:rsidRDefault="004E7229">
            <w:pPr>
              <w:ind w:left="0" w:hanging="2"/>
              <w:rPr>
                <w:sz w:val="24"/>
                <w:szCs w:val="24"/>
              </w:rPr>
            </w:pPr>
          </w:p>
          <w:p w:rsidR="004E7229" w:rsidRDefault="00401485">
            <w:pPr>
              <w:ind w:left="0" w:hanging="2"/>
            </w:pPr>
            <w:r>
              <w:rPr>
                <w:sz w:val="24"/>
                <w:szCs w:val="24"/>
              </w:rPr>
              <w:t xml:space="preserve">2 – </w:t>
            </w:r>
            <w:r>
              <w:rPr>
                <w:sz w:val="24"/>
                <w:szCs w:val="24"/>
                <w:u w:val="single"/>
              </w:rPr>
              <w:t>Les missions de l’agent immobilier</w:t>
            </w:r>
          </w:p>
          <w:p w:rsidR="004E7229" w:rsidRDefault="00401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</w:p>
          <w:p w:rsidR="004E7229" w:rsidRDefault="00401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Noto Sans Symbols" w:eastAsia="Noto Sans Symbols" w:hAnsi="Noto Sans Symbols" w:cs="Noto Sans Symbols"/>
                <w:color w:val="00000A"/>
              </w:rPr>
              <w:t>⌧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L’entremise entre un vendeur et un acquéreur ou un bailleur et un locataire</w:t>
            </w:r>
          </w:p>
          <w:p w:rsidR="004E7229" w:rsidRDefault="00401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Noto Sans Symbols" w:eastAsia="Noto Sans Symbols" w:hAnsi="Noto Sans Symbols" w:cs="Noto Sans Symbols"/>
                <w:color w:val="00000A"/>
              </w:rPr>
              <w:t>⌧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Le respect des intérêts économiques et sociaux des particuliers</w:t>
            </w:r>
          </w:p>
          <w:p w:rsidR="004E7229" w:rsidRDefault="00401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Noto Sans Symbols" w:eastAsia="Noto Sans Symbols" w:hAnsi="Noto Sans Symbols" w:cs="Noto Sans Symbols"/>
                <w:color w:val="00000A"/>
              </w:rPr>
              <w:t>❒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Le défaut de conseil  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</w:p>
          <w:p w:rsidR="004E7229" w:rsidRDefault="004E7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359" w:type="dxa"/>
            <w:tcMar>
              <w:left w:w="93" w:type="dxa"/>
            </w:tcMar>
          </w:tcPr>
          <w:p w:rsidR="004E7229" w:rsidRDefault="004E7229">
            <w:pPr>
              <w:ind w:left="0" w:hanging="2"/>
            </w:pPr>
          </w:p>
        </w:tc>
      </w:tr>
      <w:tr w:rsidR="004E7229">
        <w:tc>
          <w:tcPr>
            <w:tcW w:w="9092" w:type="dxa"/>
            <w:tcMar>
              <w:left w:w="93" w:type="dxa"/>
            </w:tcMar>
          </w:tcPr>
          <w:p w:rsidR="004E7229" w:rsidRDefault="004E7229">
            <w:pPr>
              <w:ind w:left="0" w:hanging="2"/>
              <w:rPr>
                <w:sz w:val="24"/>
                <w:szCs w:val="24"/>
              </w:rPr>
            </w:pPr>
          </w:p>
          <w:p w:rsidR="004E7229" w:rsidRDefault="00401485">
            <w:pPr>
              <w:ind w:left="0" w:hanging="2"/>
            </w:pPr>
            <w:r>
              <w:rPr>
                <w:sz w:val="24"/>
                <w:szCs w:val="24"/>
              </w:rPr>
              <w:t xml:space="preserve">3 – </w:t>
            </w:r>
            <w:r>
              <w:rPr>
                <w:sz w:val="24"/>
                <w:szCs w:val="24"/>
                <w:u w:val="single"/>
              </w:rPr>
              <w:t xml:space="preserve">Les bases de la déontologie en immobilier </w:t>
            </w:r>
          </w:p>
          <w:p w:rsidR="004E7229" w:rsidRDefault="00401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</w:p>
          <w:p w:rsidR="004E7229" w:rsidRDefault="00401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Noto Sans Symbols" w:eastAsia="Noto Sans Symbols" w:hAnsi="Noto Sans Symbols" w:cs="Noto Sans Symbols"/>
                <w:color w:val="00000A"/>
              </w:rPr>
              <w:t>⌧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La discrétion</w:t>
            </w:r>
          </w:p>
          <w:p w:rsidR="004E7229" w:rsidRDefault="00401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Noto Sans Symbols" w:eastAsia="Noto Sans Symbols" w:hAnsi="Noto Sans Symbols" w:cs="Noto Sans Symbols"/>
                <w:color w:val="00000A"/>
              </w:rPr>
              <w:t>❒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L’intérêt personnel de l’agent 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</w:p>
          <w:p w:rsidR="004E7229" w:rsidRDefault="00401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Noto Sans Symbols" w:eastAsia="Noto Sans Symbols" w:hAnsi="Noto Sans Symbols" w:cs="Noto Sans Symbols"/>
                <w:color w:val="00000A"/>
              </w:rPr>
              <w:t>⌧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La confiance réciproque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</w:p>
          <w:p w:rsidR="004E7229" w:rsidRDefault="004E7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A"/>
              </w:rPr>
            </w:pPr>
          </w:p>
          <w:p w:rsidR="004E7229" w:rsidRDefault="004E7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A"/>
              </w:rPr>
            </w:pPr>
          </w:p>
        </w:tc>
        <w:tc>
          <w:tcPr>
            <w:tcW w:w="1359" w:type="dxa"/>
            <w:tcMar>
              <w:left w:w="93" w:type="dxa"/>
            </w:tcMar>
          </w:tcPr>
          <w:p w:rsidR="004E7229" w:rsidRDefault="004E7229">
            <w:pPr>
              <w:ind w:left="0" w:hanging="2"/>
            </w:pPr>
          </w:p>
        </w:tc>
      </w:tr>
      <w:tr w:rsidR="004E7229">
        <w:tc>
          <w:tcPr>
            <w:tcW w:w="9092" w:type="dxa"/>
            <w:tcMar>
              <w:left w:w="93" w:type="dxa"/>
            </w:tcMar>
          </w:tcPr>
          <w:p w:rsidR="004E7229" w:rsidRDefault="004E7229">
            <w:pPr>
              <w:ind w:left="0" w:hanging="2"/>
              <w:rPr>
                <w:sz w:val="24"/>
                <w:szCs w:val="24"/>
              </w:rPr>
            </w:pPr>
          </w:p>
          <w:p w:rsidR="004E7229" w:rsidRDefault="00401485">
            <w:pPr>
              <w:ind w:left="0" w:hanging="2"/>
            </w:pPr>
            <w:r>
              <w:rPr>
                <w:sz w:val="24"/>
                <w:szCs w:val="24"/>
              </w:rPr>
              <w:t xml:space="preserve">4 – </w:t>
            </w:r>
            <w:r>
              <w:rPr>
                <w:sz w:val="24"/>
                <w:szCs w:val="24"/>
                <w:u w:val="single"/>
              </w:rPr>
              <w:t xml:space="preserve">Les bases de la déontologie en immobilier </w:t>
            </w:r>
          </w:p>
          <w:p w:rsidR="004E7229" w:rsidRDefault="00401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</w:p>
          <w:p w:rsidR="004E7229" w:rsidRDefault="00401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Noto Sans Symbols" w:eastAsia="Noto Sans Symbols" w:hAnsi="Noto Sans Symbols" w:cs="Noto Sans Symbols"/>
                <w:color w:val="00000A"/>
              </w:rPr>
              <w:t>⌧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La compétence</w:t>
            </w:r>
          </w:p>
          <w:p w:rsidR="004E7229" w:rsidRDefault="00401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Noto Sans Symbols" w:eastAsia="Noto Sans Symbols" w:hAnsi="Noto Sans Symbols" w:cs="Noto Sans Symbols"/>
                <w:color w:val="00000A"/>
              </w:rPr>
              <w:t>⌧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La transparence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</w:p>
          <w:p w:rsidR="004E7229" w:rsidRDefault="00401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A"/>
              </w:rPr>
            </w:pPr>
            <w:r>
              <w:rPr>
                <w:rFonts w:ascii="Noto Sans Symbols" w:eastAsia="Noto Sans Symbols" w:hAnsi="Noto Sans Symbols" w:cs="Noto Sans Symbols"/>
                <w:color w:val="00000A"/>
              </w:rPr>
              <w:t>⌧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 xml:space="preserve"> </w:t>
            </w:r>
            <w:r>
              <w:rPr>
                <w:rFonts w:ascii="Arial" w:eastAsia="Arial" w:hAnsi="Arial" w:cs="Arial"/>
                <w:color w:val="00000A"/>
              </w:rPr>
              <w:t>L’intégrité morale : honnêteté, probité, rectitude, et sincérité</w:t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</w:rPr>
              <w:tab/>
            </w:r>
          </w:p>
          <w:p w:rsidR="004E7229" w:rsidRDefault="004E72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ascii="Times New Roman" w:eastAsia="Times New Roman" w:hAnsi="Times New Roman" w:cs="Times New Roman"/>
                <w:color w:val="00000A"/>
              </w:rPr>
            </w:pPr>
          </w:p>
          <w:p w:rsidR="004E7229" w:rsidRDefault="004E7229">
            <w:pPr>
              <w:ind w:left="0" w:hanging="2"/>
            </w:pPr>
          </w:p>
        </w:tc>
        <w:tc>
          <w:tcPr>
            <w:tcW w:w="1359" w:type="dxa"/>
            <w:tcMar>
              <w:left w:w="93" w:type="dxa"/>
            </w:tcMar>
          </w:tcPr>
          <w:p w:rsidR="004E7229" w:rsidRDefault="004E7229">
            <w:pPr>
              <w:ind w:left="0" w:hanging="2"/>
            </w:pPr>
          </w:p>
        </w:tc>
      </w:tr>
      <w:tr w:rsidR="004E7229">
        <w:tc>
          <w:tcPr>
            <w:tcW w:w="9092" w:type="dxa"/>
            <w:tcMar>
              <w:left w:w="93" w:type="dxa"/>
            </w:tcMar>
          </w:tcPr>
          <w:p w:rsidR="004E7229" w:rsidRDefault="004E7229">
            <w:pPr>
              <w:ind w:left="0" w:hanging="2"/>
              <w:rPr>
                <w:sz w:val="24"/>
                <w:szCs w:val="24"/>
              </w:rPr>
            </w:pPr>
          </w:p>
          <w:p w:rsidR="004E7229" w:rsidRDefault="00401485">
            <w:pPr>
              <w:ind w:left="0" w:hanging="2"/>
            </w:pPr>
            <w:r>
              <w:rPr>
                <w:sz w:val="24"/>
                <w:szCs w:val="24"/>
              </w:rPr>
              <w:t xml:space="preserve">5 – </w:t>
            </w:r>
            <w:r>
              <w:rPr>
                <w:sz w:val="24"/>
                <w:szCs w:val="24"/>
                <w:u w:val="single"/>
              </w:rPr>
              <w:t>Rapport avec les clients</w:t>
            </w:r>
          </w:p>
          <w:p w:rsidR="004E7229" w:rsidRDefault="004E722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7229" w:rsidRDefault="00401485">
            <w:pPr>
              <w:ind w:left="0" w:hanging="2"/>
            </w:pPr>
            <w:r>
              <w:rPr>
                <w:rFonts w:ascii="Noto Sans Symbols" w:eastAsia="Noto Sans Symbols" w:hAnsi="Noto Sans Symbols" w:cs="Noto Sans Symbols"/>
              </w:rPr>
              <w:t>⌧</w:t>
            </w:r>
            <w:r>
              <w:t xml:space="preserve"> L’agent immobilier doit informer son client des conséquences de la signature d’un mandat</w:t>
            </w:r>
          </w:p>
          <w:p w:rsidR="004E7229" w:rsidRDefault="00401485">
            <w:pPr>
              <w:ind w:left="0" w:hanging="2"/>
            </w:pPr>
            <w:r>
              <w:rPr>
                <w:rFonts w:ascii="Noto Sans Symbols" w:eastAsia="Noto Sans Symbols" w:hAnsi="Noto Sans Symbols" w:cs="Noto Sans Symbols"/>
              </w:rPr>
              <w:t>❒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L’agent immobilier peut favoriser les intérêts d’un acquéreurs par rapport à ceux du vendeur</w:t>
            </w:r>
          </w:p>
          <w:p w:rsidR="004E7229" w:rsidRDefault="00401485">
            <w:pPr>
              <w:ind w:left="0" w:hanging="2"/>
            </w:pPr>
            <w:r>
              <w:rPr>
                <w:rFonts w:ascii="Noto Sans Symbols" w:eastAsia="Noto Sans Symbols" w:hAnsi="Noto Sans Symbols" w:cs="Noto Sans Symbols"/>
              </w:rPr>
              <w:t>⌧</w:t>
            </w:r>
            <w:r>
              <w:t xml:space="preserve"> L’agent immobilier doit être persévérant dans l’exécution de la mission qui lui a été confiée</w:t>
            </w:r>
          </w:p>
          <w:p w:rsidR="004E7229" w:rsidRDefault="004E7229">
            <w:pPr>
              <w:ind w:left="0" w:hanging="2"/>
            </w:pPr>
          </w:p>
        </w:tc>
        <w:tc>
          <w:tcPr>
            <w:tcW w:w="1359" w:type="dxa"/>
            <w:tcMar>
              <w:left w:w="93" w:type="dxa"/>
            </w:tcMar>
          </w:tcPr>
          <w:p w:rsidR="004E7229" w:rsidRDefault="004E7229">
            <w:pPr>
              <w:ind w:left="0" w:hanging="2"/>
            </w:pPr>
          </w:p>
        </w:tc>
      </w:tr>
      <w:tr w:rsidR="004E7229">
        <w:tc>
          <w:tcPr>
            <w:tcW w:w="9092" w:type="dxa"/>
          </w:tcPr>
          <w:p w:rsidR="004E7229" w:rsidRDefault="004E7229">
            <w:pPr>
              <w:ind w:left="0" w:hanging="2"/>
              <w:rPr>
                <w:sz w:val="24"/>
                <w:szCs w:val="24"/>
              </w:rPr>
            </w:pPr>
          </w:p>
          <w:p w:rsidR="004E7229" w:rsidRDefault="00401485">
            <w:pPr>
              <w:ind w:left="0" w:hanging="2"/>
            </w:pPr>
            <w:r>
              <w:rPr>
                <w:sz w:val="24"/>
                <w:szCs w:val="24"/>
              </w:rPr>
              <w:lastRenderedPageBreak/>
              <w:t xml:space="preserve">6 – </w:t>
            </w:r>
            <w:r>
              <w:rPr>
                <w:sz w:val="24"/>
                <w:szCs w:val="24"/>
                <w:u w:val="single"/>
              </w:rPr>
              <w:t>Rapport avec les clients</w:t>
            </w:r>
          </w:p>
          <w:p w:rsidR="004E7229" w:rsidRDefault="004E722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7229" w:rsidRDefault="00401485">
            <w:pPr>
              <w:ind w:left="0" w:hanging="2"/>
            </w:pPr>
            <w:r>
              <w:rPr>
                <w:rFonts w:ascii="Noto Sans Symbols" w:eastAsia="Noto Sans Symbols" w:hAnsi="Noto Sans Symbols" w:cs="Noto Sans Symbols"/>
              </w:rPr>
              <w:t>❒</w:t>
            </w:r>
            <w:r>
              <w:t xml:space="preserve"> L’agent immobilier peut sans pr</w:t>
            </w:r>
            <w:r>
              <w:t>oblème acheter un bien qu’il a évalué</w:t>
            </w:r>
          </w:p>
          <w:p w:rsidR="004E7229" w:rsidRDefault="00401485">
            <w:pPr>
              <w:ind w:left="0" w:hanging="2"/>
            </w:pPr>
            <w:r>
              <w:rPr>
                <w:rFonts w:ascii="Noto Sans Symbols" w:eastAsia="Noto Sans Symbols" w:hAnsi="Noto Sans Symbols" w:cs="Noto Sans Symbols"/>
              </w:rPr>
              <w:t>❒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L’agent immobilier peut exercer plusieurs activités (diagnostic, courtage, ..) sans en informer son mandant</w:t>
            </w:r>
          </w:p>
          <w:p w:rsidR="004E7229" w:rsidRDefault="00401485">
            <w:pPr>
              <w:ind w:left="0" w:hanging="2"/>
            </w:pPr>
            <w:r>
              <w:rPr>
                <w:rFonts w:ascii="Noto Sans Symbols" w:eastAsia="Noto Sans Symbols" w:hAnsi="Noto Sans Symbols" w:cs="Noto Sans Symbols"/>
              </w:rPr>
              <w:t>⌧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L’agent immobilier informera l’acquéreur de sa position s’il lui vend un bien qui lui appartient</w:t>
            </w:r>
            <w:r>
              <w:rPr>
                <w:rFonts w:ascii="Arial" w:eastAsia="Arial" w:hAnsi="Arial" w:cs="Arial"/>
              </w:rP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4E7229" w:rsidRDefault="0040148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59" w:type="dxa"/>
          </w:tcPr>
          <w:p w:rsidR="004E7229" w:rsidRDefault="004E7229">
            <w:pPr>
              <w:ind w:left="0" w:hanging="2"/>
            </w:pPr>
          </w:p>
        </w:tc>
      </w:tr>
      <w:tr w:rsidR="004E7229">
        <w:tc>
          <w:tcPr>
            <w:tcW w:w="9092" w:type="dxa"/>
          </w:tcPr>
          <w:p w:rsidR="004E7229" w:rsidRDefault="004E7229">
            <w:pPr>
              <w:ind w:left="0" w:hanging="2"/>
              <w:rPr>
                <w:sz w:val="24"/>
                <w:szCs w:val="24"/>
              </w:rPr>
            </w:pPr>
          </w:p>
          <w:p w:rsidR="004E7229" w:rsidRDefault="00401485">
            <w:pPr>
              <w:ind w:left="0" w:hanging="2"/>
            </w:pPr>
            <w:r>
              <w:rPr>
                <w:sz w:val="24"/>
                <w:szCs w:val="24"/>
              </w:rPr>
              <w:t xml:space="preserve">7 – </w:t>
            </w:r>
            <w:r>
              <w:rPr>
                <w:sz w:val="24"/>
                <w:szCs w:val="24"/>
                <w:u w:val="single"/>
              </w:rPr>
              <w:t>Rapport avec les clients</w:t>
            </w:r>
          </w:p>
          <w:p w:rsidR="004E7229" w:rsidRDefault="004E722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7229" w:rsidRDefault="00401485">
            <w:pPr>
              <w:ind w:left="0" w:hanging="2"/>
            </w:pPr>
            <w:r>
              <w:rPr>
                <w:rFonts w:ascii="Noto Sans Symbols" w:eastAsia="Noto Sans Symbols" w:hAnsi="Noto Sans Symbols" w:cs="Noto Sans Symbols"/>
              </w:rPr>
              <w:t>⌧</w:t>
            </w:r>
            <w:r>
              <w:t xml:space="preserve"> La gestion des fichiers informatiques est réglementée par le RGPD</w:t>
            </w:r>
            <w:r>
              <w:tab/>
            </w:r>
          </w:p>
          <w:p w:rsidR="004E7229" w:rsidRDefault="00401485">
            <w:pPr>
              <w:ind w:left="0" w:hanging="2"/>
            </w:pPr>
            <w:r>
              <w:rPr>
                <w:rFonts w:ascii="Noto Sans Symbols" w:eastAsia="Noto Sans Symbols" w:hAnsi="Noto Sans Symbols" w:cs="Noto Sans Symbols"/>
              </w:rPr>
              <w:t>⌧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Les coordonnées du prestataire informatique doivent apparaître sur le site web</w:t>
            </w:r>
          </w:p>
          <w:p w:rsidR="004E7229" w:rsidRDefault="00401485">
            <w:pPr>
              <w:ind w:left="0" w:hanging="2"/>
            </w:pPr>
            <w:r>
              <w:rPr>
                <w:rFonts w:ascii="Noto Sans Symbols" w:eastAsia="Noto Sans Symbols" w:hAnsi="Noto Sans Symbols" w:cs="Noto Sans Symbols"/>
              </w:rPr>
              <w:t>⌧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La CNIL peut venir contrôler les dispositions prises pour la protection des données </w:t>
            </w:r>
          </w:p>
          <w:p w:rsidR="004E7229" w:rsidRDefault="0040148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59" w:type="dxa"/>
          </w:tcPr>
          <w:p w:rsidR="004E7229" w:rsidRDefault="004E7229">
            <w:pPr>
              <w:ind w:left="0" w:hanging="2"/>
            </w:pPr>
          </w:p>
        </w:tc>
      </w:tr>
      <w:tr w:rsidR="004E7229">
        <w:tc>
          <w:tcPr>
            <w:tcW w:w="9092" w:type="dxa"/>
          </w:tcPr>
          <w:p w:rsidR="004E7229" w:rsidRDefault="004E7229">
            <w:pPr>
              <w:ind w:left="0" w:hanging="2"/>
              <w:rPr>
                <w:sz w:val="24"/>
                <w:szCs w:val="24"/>
              </w:rPr>
            </w:pPr>
          </w:p>
          <w:p w:rsidR="004E7229" w:rsidRDefault="00401485">
            <w:pPr>
              <w:ind w:left="0" w:hanging="2"/>
            </w:pPr>
            <w:r>
              <w:rPr>
                <w:sz w:val="24"/>
                <w:szCs w:val="24"/>
              </w:rPr>
              <w:t xml:space="preserve">8 – </w:t>
            </w:r>
            <w:r>
              <w:rPr>
                <w:sz w:val="24"/>
                <w:szCs w:val="24"/>
                <w:u w:val="single"/>
              </w:rPr>
              <w:t>Rapport avec les clients</w:t>
            </w:r>
          </w:p>
          <w:p w:rsidR="004E7229" w:rsidRDefault="004E722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7229" w:rsidRDefault="00401485">
            <w:pPr>
              <w:ind w:left="0" w:hanging="2"/>
            </w:pPr>
            <w:r>
              <w:rPr>
                <w:rFonts w:ascii="Noto Sans Symbols" w:eastAsia="Noto Sans Symbols" w:hAnsi="Noto Sans Symbols" w:cs="Noto Sans Symbols"/>
              </w:rPr>
              <w:t>⌧</w:t>
            </w:r>
            <w:r>
              <w:t xml:space="preserve"> L’agent immobilier doit afficher le numéro de sa carte professionnelle dans l’agence</w:t>
            </w:r>
          </w:p>
          <w:p w:rsidR="004E7229" w:rsidRDefault="00401485">
            <w:pPr>
              <w:ind w:left="0" w:hanging="2"/>
            </w:pPr>
            <w:r>
              <w:rPr>
                <w:rFonts w:ascii="Noto Sans Symbols" w:eastAsia="Noto Sans Symbols" w:hAnsi="Noto Sans Symbols" w:cs="Noto Sans Symbols"/>
              </w:rPr>
              <w:t>⌧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L’agent immobilier doit indiquer le numéro de</w:t>
            </w:r>
            <w:r>
              <w:rPr>
                <w:rFonts w:ascii="Arial" w:eastAsia="Arial" w:hAnsi="Arial" w:cs="Arial"/>
              </w:rPr>
              <w:t xml:space="preserve"> sa carte professionnelle sur son site web</w:t>
            </w:r>
          </w:p>
          <w:p w:rsidR="004E7229" w:rsidRDefault="00401485">
            <w:pPr>
              <w:ind w:left="0" w:hanging="2"/>
            </w:pPr>
            <w:r>
              <w:rPr>
                <w:rFonts w:ascii="Noto Sans Symbols" w:eastAsia="Noto Sans Symbols" w:hAnsi="Noto Sans Symbols" w:cs="Noto Sans Symbols"/>
              </w:rPr>
              <w:t>⌧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L’agent immobilier doit s’assurer que le barème de l’agence est visible à tout moment</w:t>
            </w:r>
          </w:p>
          <w:p w:rsidR="004E7229" w:rsidRDefault="00401485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59" w:type="dxa"/>
          </w:tcPr>
          <w:p w:rsidR="004E7229" w:rsidRDefault="004E7229">
            <w:pPr>
              <w:ind w:left="0" w:hanging="2"/>
            </w:pPr>
          </w:p>
        </w:tc>
      </w:tr>
      <w:tr w:rsidR="004E7229">
        <w:tc>
          <w:tcPr>
            <w:tcW w:w="9092" w:type="dxa"/>
          </w:tcPr>
          <w:p w:rsidR="004E7229" w:rsidRDefault="004E7229">
            <w:pPr>
              <w:ind w:left="0" w:hanging="2"/>
              <w:rPr>
                <w:sz w:val="24"/>
                <w:szCs w:val="24"/>
              </w:rPr>
            </w:pPr>
          </w:p>
          <w:p w:rsidR="004E7229" w:rsidRDefault="00401485">
            <w:pPr>
              <w:ind w:left="0" w:hanging="2"/>
            </w:pPr>
            <w:r>
              <w:rPr>
                <w:sz w:val="24"/>
                <w:szCs w:val="24"/>
              </w:rPr>
              <w:t xml:space="preserve">9 – </w:t>
            </w:r>
            <w:r>
              <w:rPr>
                <w:sz w:val="24"/>
                <w:szCs w:val="24"/>
                <w:u w:val="single"/>
              </w:rPr>
              <w:t>Rapport avec les clients</w:t>
            </w:r>
          </w:p>
          <w:p w:rsidR="004E7229" w:rsidRDefault="004E722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7229" w:rsidRDefault="00401485">
            <w:pPr>
              <w:ind w:left="0" w:hanging="2"/>
            </w:pPr>
            <w:r>
              <w:rPr>
                <w:rFonts w:ascii="Noto Sans Symbols" w:eastAsia="Noto Sans Symbols" w:hAnsi="Noto Sans Symbols" w:cs="Noto Sans Symbols"/>
              </w:rPr>
              <w:t>⌧</w:t>
            </w:r>
            <w:r>
              <w:t xml:space="preserve"> L’agent immobilier doit vérifier la provenance de l’apport personnel</w:t>
            </w:r>
          </w:p>
          <w:p w:rsidR="004E7229" w:rsidRDefault="00401485">
            <w:pPr>
              <w:ind w:left="0" w:hanging="2"/>
            </w:pPr>
            <w:r>
              <w:rPr>
                <w:rFonts w:ascii="Noto Sans Symbols" w:eastAsia="Noto Sans Symbols" w:hAnsi="Noto Sans Symbols" w:cs="Noto Sans Symbols"/>
              </w:rPr>
              <w:t>❒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L’agent immobilier n’a pas à vérifier la solvabilité de l’acquéreur</w:t>
            </w:r>
          </w:p>
          <w:p w:rsidR="004E7229" w:rsidRDefault="00401485">
            <w:pPr>
              <w:ind w:left="0" w:hanging="2"/>
            </w:pPr>
            <w:r>
              <w:rPr>
                <w:rFonts w:ascii="Noto Sans Symbols" w:eastAsia="Noto Sans Symbols" w:hAnsi="Noto Sans Symbols" w:cs="Noto Sans Symbols"/>
              </w:rPr>
              <w:t>⌧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L’agent immobilier doit respecter son barème dans une majorité des transactions</w:t>
            </w:r>
          </w:p>
          <w:p w:rsidR="004E7229" w:rsidRDefault="00401485">
            <w:pPr>
              <w:ind w:left="0" w:hanging="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359" w:type="dxa"/>
          </w:tcPr>
          <w:p w:rsidR="004E7229" w:rsidRDefault="004E7229">
            <w:pPr>
              <w:ind w:left="0" w:hanging="2"/>
            </w:pPr>
          </w:p>
        </w:tc>
      </w:tr>
      <w:tr w:rsidR="004E7229">
        <w:tc>
          <w:tcPr>
            <w:tcW w:w="9092" w:type="dxa"/>
          </w:tcPr>
          <w:p w:rsidR="004E7229" w:rsidRDefault="004E7229">
            <w:pPr>
              <w:ind w:left="0" w:hanging="2"/>
              <w:rPr>
                <w:sz w:val="24"/>
                <w:szCs w:val="24"/>
              </w:rPr>
            </w:pPr>
          </w:p>
          <w:p w:rsidR="004E7229" w:rsidRDefault="00401485">
            <w:pPr>
              <w:ind w:left="0" w:hanging="2"/>
            </w:pPr>
            <w:r>
              <w:rPr>
                <w:sz w:val="24"/>
                <w:szCs w:val="24"/>
              </w:rPr>
              <w:t xml:space="preserve">10 – </w:t>
            </w:r>
            <w:r>
              <w:rPr>
                <w:sz w:val="24"/>
                <w:szCs w:val="24"/>
                <w:u w:val="single"/>
              </w:rPr>
              <w:t>Contrôle</w:t>
            </w:r>
          </w:p>
          <w:p w:rsidR="004E7229" w:rsidRDefault="004E7229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E7229" w:rsidRDefault="00401485">
            <w:pPr>
              <w:ind w:left="0" w:hanging="2"/>
            </w:pPr>
            <w:r>
              <w:rPr>
                <w:rFonts w:ascii="Noto Sans Symbols" w:eastAsia="Noto Sans Symbols" w:hAnsi="Noto Sans Symbols" w:cs="Noto Sans Symbols"/>
              </w:rPr>
              <w:t>⌧</w:t>
            </w:r>
            <w:r>
              <w:t xml:space="preserve"> L’activité de l’agent immobilier peut être contrôler à tout moment par la DGCCRF</w:t>
            </w:r>
          </w:p>
          <w:p w:rsidR="004E7229" w:rsidRDefault="00401485">
            <w:pPr>
              <w:ind w:left="0" w:hanging="2"/>
            </w:pPr>
            <w:r>
              <w:rPr>
                <w:rFonts w:ascii="Noto Sans Symbols" w:eastAsia="Noto Sans Symbols" w:hAnsi="Noto Sans Symbols" w:cs="Noto Sans Symbols"/>
              </w:rPr>
              <w:t>⌧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L’activité de l’agent immobilier peut être contrôler par l’organisme qui lui fournit la garantie financière</w:t>
            </w:r>
          </w:p>
          <w:p w:rsidR="004E7229" w:rsidRDefault="00401485">
            <w:pPr>
              <w:ind w:left="0" w:hanging="2"/>
            </w:pPr>
            <w:r>
              <w:rPr>
                <w:rFonts w:ascii="Noto Sans Symbols" w:eastAsia="Noto Sans Symbols" w:hAnsi="Noto Sans Symbols" w:cs="Noto Sans Symbols"/>
              </w:rPr>
              <w:t>❒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L’activité de l’agent immobilier peut être contrôler par l’AFNOR</w:t>
            </w:r>
          </w:p>
          <w:p w:rsidR="004E7229" w:rsidRDefault="00401485">
            <w:pPr>
              <w:ind w:left="0" w:hanging="2"/>
            </w:pPr>
            <w:r>
              <w:tab/>
            </w:r>
          </w:p>
        </w:tc>
        <w:tc>
          <w:tcPr>
            <w:tcW w:w="1359" w:type="dxa"/>
          </w:tcPr>
          <w:p w:rsidR="004E7229" w:rsidRDefault="004E7229">
            <w:pPr>
              <w:ind w:left="0" w:hanging="2"/>
            </w:pPr>
          </w:p>
        </w:tc>
      </w:tr>
    </w:tbl>
    <w:p w:rsidR="004E7229" w:rsidRDefault="004E7229">
      <w:pPr>
        <w:ind w:left="0" w:hanging="2"/>
      </w:pPr>
    </w:p>
    <w:p w:rsidR="004E7229" w:rsidRDefault="004E7229">
      <w:pPr>
        <w:ind w:left="0" w:hanging="2"/>
      </w:pPr>
    </w:p>
    <w:sectPr w:rsidR="004E7229">
      <w:headerReference w:type="default" r:id="rId8"/>
      <w:footerReference w:type="default" r:id="rId9"/>
      <w:pgSz w:w="11906" w:h="16838"/>
      <w:pgMar w:top="1134" w:right="1134" w:bottom="77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485" w:rsidRDefault="00401485">
      <w:pPr>
        <w:spacing w:line="240" w:lineRule="auto"/>
        <w:ind w:left="0" w:hanging="2"/>
      </w:pPr>
      <w:r>
        <w:separator/>
      </w:r>
    </w:p>
  </w:endnote>
  <w:endnote w:type="continuationSeparator" w:id="0">
    <w:p w:rsidR="00401485" w:rsidRDefault="0040148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ik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aNormalLF-Roma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229" w:rsidRDefault="004E7229">
    <w:pPr>
      <w:pBdr>
        <w:top w:val="nil"/>
        <w:left w:val="nil"/>
        <w:bottom w:val="nil"/>
        <w:right w:val="nil"/>
        <w:between w:val="nil"/>
      </w:pBdr>
      <w:ind w:left="0" w:hanging="2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485" w:rsidRDefault="00401485">
      <w:pPr>
        <w:spacing w:line="240" w:lineRule="auto"/>
        <w:ind w:left="0" w:hanging="2"/>
      </w:pPr>
      <w:r>
        <w:separator/>
      </w:r>
    </w:p>
  </w:footnote>
  <w:footnote w:type="continuationSeparator" w:id="0">
    <w:p w:rsidR="00401485" w:rsidRDefault="0040148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229" w:rsidRDefault="00401485">
    <w:pPr>
      <w:pBdr>
        <w:top w:val="nil"/>
        <w:left w:val="nil"/>
        <w:bottom w:val="nil"/>
        <w:right w:val="nil"/>
        <w:between w:val="nil"/>
      </w:pBdr>
      <w:spacing w:before="200"/>
      <w:ind w:left="0" w:hanging="2"/>
      <w:rPr>
        <w:color w:val="000000"/>
        <w:sz w:val="18"/>
        <w:szCs w:val="18"/>
      </w:rPr>
    </w:pPr>
    <w:r>
      <w:rPr>
        <w:color w:val="000000"/>
        <w:sz w:val="18"/>
        <w:szCs w:val="18"/>
      </w:rPr>
      <w:tab/>
    </w:r>
  </w:p>
  <w:p w:rsidR="004E7229" w:rsidRDefault="00401485">
    <w:pPr>
      <w:pBdr>
        <w:top w:val="nil"/>
        <w:left w:val="nil"/>
        <w:bottom w:val="nil"/>
        <w:right w:val="nil"/>
        <w:between w:val="nil"/>
      </w:pBdr>
      <w:spacing w:before="200"/>
      <w:ind w:left="0" w:hanging="2"/>
      <w:rPr>
        <w:color w:val="000000"/>
        <w:sz w:val="18"/>
        <w:szCs w:val="18"/>
      </w:rPr>
    </w:pP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5AAD47"/>
      </w:rPr>
      <w:tab/>
    </w: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40B81"/>
    <w:multiLevelType w:val="multilevel"/>
    <w:tmpl w:val="FB128468"/>
    <w:lvl w:ilvl="0">
      <w:start w:val="1"/>
      <w:numFmt w:val="decimal"/>
      <w:pStyle w:val="Titre1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Titre21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Titre31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Titre41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Titre51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Titre61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29"/>
    <w:rsid w:val="00401485"/>
    <w:rsid w:val="004E7229"/>
    <w:rsid w:val="0085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0FE434-1E65-4B3E-8AF3-4FA057F8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ndika" w:eastAsia="Andika" w:hAnsi="Andika" w:cs="Andika"/>
        <w:lang w:val="fr-FR" w:eastAsia="fr-FR" w:bidi="ar-SA"/>
      </w:rPr>
    </w:rPrDefault>
    <w:pPrDefault>
      <w:pPr>
        <w:spacing w:line="276" w:lineRule="auto"/>
        <w:ind w:hang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Chars="-1" w:left="-1" w:hangingChars="1"/>
      <w:textDirection w:val="btLr"/>
      <w:textAlignment w:val="baseline"/>
      <w:outlineLvl w:val="0"/>
    </w:pPr>
    <w:rPr>
      <w:kern w:val="1"/>
      <w:position w:val="-1"/>
      <w:lang w:eastAsia="ar-SA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itre11">
    <w:name w:val="Titre 11"/>
    <w:next w:val="Corpsdetexte1"/>
    <w:pPr>
      <w:widowControl w:val="0"/>
      <w:numPr>
        <w:numId w:val="1"/>
      </w:numPr>
      <w:spacing w:before="480" w:after="120"/>
      <w:ind w:leftChars="-1" w:left="-1" w:hangingChars="1" w:hanging="1"/>
      <w:textDirection w:val="btLr"/>
      <w:textAlignment w:val="baseline"/>
      <w:outlineLvl w:val="0"/>
    </w:pPr>
    <w:rPr>
      <w:b/>
      <w:color w:val="000000"/>
      <w:kern w:val="1"/>
      <w:position w:val="-1"/>
      <w:sz w:val="24"/>
      <w:lang w:eastAsia="ar-SA"/>
    </w:rPr>
  </w:style>
  <w:style w:type="paragraph" w:customStyle="1" w:styleId="Titre21">
    <w:name w:val="Titre 21"/>
    <w:next w:val="Corpsdetexte1"/>
    <w:pPr>
      <w:widowControl w:val="0"/>
      <w:numPr>
        <w:ilvl w:val="1"/>
        <w:numId w:val="1"/>
      </w:numPr>
      <w:spacing w:before="360" w:after="80"/>
      <w:ind w:leftChars="-1" w:left="-1" w:hangingChars="1" w:hanging="1"/>
      <w:textDirection w:val="btLr"/>
      <w:textAlignment w:val="baseline"/>
      <w:outlineLvl w:val="1"/>
    </w:pPr>
    <w:rPr>
      <w:b/>
      <w:color w:val="000000"/>
      <w:kern w:val="1"/>
      <w:position w:val="-1"/>
      <w:sz w:val="28"/>
      <w:lang w:eastAsia="ar-SA"/>
    </w:rPr>
  </w:style>
  <w:style w:type="paragraph" w:customStyle="1" w:styleId="Titre31">
    <w:name w:val="Titre 31"/>
    <w:next w:val="Corpsdetexte1"/>
    <w:pPr>
      <w:widowControl w:val="0"/>
      <w:numPr>
        <w:ilvl w:val="2"/>
        <w:numId w:val="1"/>
      </w:numPr>
      <w:spacing w:before="280" w:after="80"/>
      <w:ind w:leftChars="-1" w:left="-1" w:hangingChars="1" w:hanging="1"/>
      <w:textDirection w:val="btLr"/>
      <w:textAlignment w:val="baseline"/>
      <w:outlineLvl w:val="2"/>
    </w:pPr>
    <w:rPr>
      <w:b/>
      <w:color w:val="666666"/>
      <w:kern w:val="1"/>
      <w:position w:val="-1"/>
      <w:sz w:val="24"/>
      <w:lang w:eastAsia="ar-SA"/>
    </w:rPr>
  </w:style>
  <w:style w:type="paragraph" w:customStyle="1" w:styleId="Titre41">
    <w:name w:val="Titre 41"/>
    <w:next w:val="Corpsdetexte1"/>
    <w:pPr>
      <w:widowControl w:val="0"/>
      <w:numPr>
        <w:ilvl w:val="3"/>
        <w:numId w:val="1"/>
      </w:numPr>
      <w:spacing w:before="240" w:after="40"/>
      <w:ind w:leftChars="-1" w:left="-1" w:hangingChars="1" w:hanging="1"/>
      <w:textDirection w:val="btLr"/>
      <w:textAlignment w:val="baseline"/>
      <w:outlineLvl w:val="3"/>
    </w:pPr>
    <w:rPr>
      <w:i/>
      <w:color w:val="666666"/>
      <w:kern w:val="1"/>
      <w:position w:val="-1"/>
      <w:sz w:val="22"/>
      <w:lang w:eastAsia="ar-SA"/>
    </w:rPr>
  </w:style>
  <w:style w:type="paragraph" w:customStyle="1" w:styleId="Titre51">
    <w:name w:val="Titre 51"/>
    <w:next w:val="Corpsdetexte1"/>
    <w:pPr>
      <w:widowControl w:val="0"/>
      <w:numPr>
        <w:ilvl w:val="4"/>
        <w:numId w:val="1"/>
      </w:numPr>
      <w:spacing w:before="220" w:after="40"/>
      <w:ind w:leftChars="-1" w:left="-1" w:hangingChars="1" w:hanging="1"/>
      <w:textDirection w:val="btLr"/>
      <w:textAlignment w:val="baseline"/>
      <w:outlineLvl w:val="4"/>
    </w:pPr>
    <w:rPr>
      <w:b/>
      <w:color w:val="666666"/>
      <w:kern w:val="1"/>
      <w:position w:val="-1"/>
      <w:lang w:eastAsia="ar-SA"/>
    </w:rPr>
  </w:style>
  <w:style w:type="paragraph" w:customStyle="1" w:styleId="Titre61">
    <w:name w:val="Titre 61"/>
    <w:next w:val="Corpsdetexte1"/>
    <w:pPr>
      <w:widowControl w:val="0"/>
      <w:numPr>
        <w:ilvl w:val="5"/>
        <w:numId w:val="1"/>
      </w:numPr>
      <w:spacing w:before="200" w:after="40"/>
      <w:ind w:leftChars="-1" w:left="-1" w:hangingChars="1" w:hanging="1"/>
      <w:textDirection w:val="btLr"/>
      <w:textAlignment w:val="baseline"/>
      <w:outlineLvl w:val="5"/>
    </w:pPr>
    <w:rPr>
      <w:i/>
      <w:color w:val="666666"/>
      <w:kern w:val="1"/>
      <w:position w:val="-1"/>
      <w:lang w:eastAsia="ar-SA"/>
    </w:rPr>
  </w:style>
  <w:style w:type="character" w:customStyle="1" w:styleId="Policepardfaut1">
    <w:name w:val="Police par défaut1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eauNormal1">
    <w:name w:val="Tableau Normal1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ucuneliste1">
    <w:name w:val="Aucune liste1"/>
    <w:qFormat/>
  </w:style>
  <w:style w:type="character" w:customStyle="1" w:styleId="Policepardfaut10">
    <w:name w:val="Police par défaut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edebullesCar">
    <w:name w:val="Texte de bulles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En-tteCar">
    <w:name w:val="En-tête Car"/>
    <w:basedOn w:val="Policepardfaut10"/>
    <w:rPr>
      <w:w w:val="100"/>
      <w:position w:val="-1"/>
      <w:effect w:val="none"/>
      <w:vertAlign w:val="baseline"/>
      <w:cs w:val="0"/>
      <w:em w:val="none"/>
    </w:rPr>
  </w:style>
  <w:style w:type="character" w:customStyle="1" w:styleId="PieddepageCar">
    <w:name w:val="Pied de page Car"/>
    <w:basedOn w:val="Policepardfaut10"/>
    <w:rPr>
      <w:w w:val="100"/>
      <w:position w:val="-1"/>
      <w:effect w:val="none"/>
      <w:vertAlign w:val="baseline"/>
      <w:cs w:val="0"/>
      <w:em w:val="none"/>
    </w:rPr>
  </w:style>
  <w:style w:type="character" w:customStyle="1" w:styleId="Lienhypertexte1">
    <w:name w:val="Lien hypertexte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ListLabel1">
    <w:name w:val="ListLabel 1"/>
    <w:rPr>
      <w:color w:val="8BC010"/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CharLFO1LVL1">
    <w:name w:val="WW_CharLFO1LVL1"/>
    <w:rPr>
      <w:color w:val="8BC010"/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WWCharLFO1LVL2">
    <w:name w:val="WW_CharLFO1LVL2"/>
    <w:rPr>
      <w:color w:val="8BC010"/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WWCharLFO1LVL3">
    <w:name w:val="WW_CharLFO1LVL3"/>
    <w:rPr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WWCharLFO1LVL4">
    <w:name w:val="WW_CharLFO1LVL4"/>
    <w:rPr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WWCharLFO1LVL5">
    <w:name w:val="WW_CharLFO1LVL5"/>
    <w:rPr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WWCharLFO1LVL6">
    <w:name w:val="WW_CharLFO1LVL6"/>
    <w:rPr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WWCharLFO1LVL7">
    <w:name w:val="WW_CharLFO1LVL7"/>
    <w:rPr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WWCharLFO1LVL8">
    <w:name w:val="WW_CharLFO1LVL8"/>
    <w:rPr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WWCharLFO1LVL9">
    <w:name w:val="WW_CharLFO1LVL9"/>
    <w:rPr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WWCharLFO2LVL1">
    <w:name w:val="WW_CharLFO2LVL1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2LVL2">
    <w:name w:val="WW_CharLFO2LVL2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2LVL3">
    <w:name w:val="WW_CharLFO2LVL3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2LVL4">
    <w:name w:val="WW_CharLFO2LVL4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2LVL5">
    <w:name w:val="WW_CharLFO2LVL5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2LVL6">
    <w:name w:val="WW_CharLFO2LVL6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2LVL7">
    <w:name w:val="WW_CharLFO2LVL7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2LVL8">
    <w:name w:val="WW_CharLFO2LVL8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2LVL9">
    <w:name w:val="WW_CharLFO2LVL9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3LVL1">
    <w:name w:val="WW_CharLFO3LVL1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3LVL2">
    <w:name w:val="WW_CharLFO3LVL2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3LVL3">
    <w:name w:val="WW_CharLFO3LVL3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3LVL4">
    <w:name w:val="WW_CharLFO3LVL4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3LVL5">
    <w:name w:val="WW_CharLFO3LVL5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3LVL6">
    <w:name w:val="WW_CharLFO3LVL6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3LVL7">
    <w:name w:val="WW_CharLFO3LVL7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3LVL8">
    <w:name w:val="WW_CharLFO3LVL8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3LVL9">
    <w:name w:val="WW_CharLFO3LVL9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4LVL1">
    <w:name w:val="WW_CharLFO4LVL1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4LVL2">
    <w:name w:val="WW_CharLFO4LVL2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4LVL3">
    <w:name w:val="WW_CharLFO4LVL3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4LVL4">
    <w:name w:val="WW_CharLFO4LVL4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4LVL5">
    <w:name w:val="WW_CharLFO4LVL5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4LVL6">
    <w:name w:val="WW_CharLFO4LVL6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4LVL7">
    <w:name w:val="WW_CharLFO4LVL7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4LVL8">
    <w:name w:val="WW_CharLFO4LVL8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4LVL9">
    <w:name w:val="WW_CharLFO4LVL9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CommentaireCar">
    <w:name w:val="Commentaire Car"/>
    <w:basedOn w:val="Policepardfaut10"/>
    <w:rPr>
      <w:w w:val="100"/>
      <w:position w:val="-1"/>
      <w:effect w:val="none"/>
      <w:vertAlign w:val="baseline"/>
      <w:cs w:val="0"/>
      <w:em w:val="none"/>
    </w:rPr>
  </w:style>
  <w:style w:type="character" w:customStyle="1" w:styleId="Marquedecommentaire1">
    <w:name w:val="Marque de commentaire1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En-tteCar1">
    <w:name w:val="En-tête Car1"/>
    <w:basedOn w:val="Policepardfaut10"/>
    <w:rPr>
      <w:w w:val="100"/>
      <w:position w:val="-1"/>
      <w:effect w:val="none"/>
      <w:vertAlign w:val="baseline"/>
      <w:cs w:val="0"/>
      <w:em w:val="none"/>
    </w:rPr>
  </w:style>
  <w:style w:type="character" w:customStyle="1" w:styleId="PieddepageCar1">
    <w:name w:val="Pied de page Car1"/>
    <w:basedOn w:val="Policepardfaut1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CharLFO7LVL1">
    <w:name w:val="WW_CharLFO7LVL1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7LVL2">
    <w:name w:val="WW_CharLFO7LVL2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7LVL3">
    <w:name w:val="WW_CharLFO7LVL3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7LVL4">
    <w:name w:val="WW_CharLFO7LVL4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7LVL5">
    <w:name w:val="WW_CharLFO7LVL5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7LVL6">
    <w:name w:val="WW_CharLFO7LVL6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7LVL7">
    <w:name w:val="WW_CharLFO7LVL7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7LVL8">
    <w:name w:val="WW_CharLFO7LVL8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7LVL9">
    <w:name w:val="WW_CharLFO7LVL9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8LVL1">
    <w:name w:val="WW_CharLFO8LVL1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8LVL2">
    <w:name w:val="WW_CharLFO8LVL2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8LVL3">
    <w:name w:val="WW_CharLFO8LVL3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8LVL4">
    <w:name w:val="WW_CharLFO8LVL4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8LVL5">
    <w:name w:val="WW_CharLFO8LVL5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8LVL6">
    <w:name w:val="WW_CharLFO8LVL6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8LVL7">
    <w:name w:val="WW_CharLFO8LVL7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8LVL8">
    <w:name w:val="WW_CharLFO8LVL8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8LVL9">
    <w:name w:val="WW_CharLFO8LVL9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paragraph" w:customStyle="1" w:styleId="Normal1">
    <w:name w:val="Normal1"/>
    <w:pPr>
      <w:widowControl w:val="0"/>
      <w:ind w:leftChars="-1" w:left="-1" w:hangingChars="1"/>
      <w:textDirection w:val="btLr"/>
      <w:textAlignment w:val="baseline"/>
      <w:outlineLvl w:val="0"/>
    </w:pPr>
    <w:rPr>
      <w:color w:val="000000"/>
      <w:kern w:val="1"/>
      <w:position w:val="-1"/>
      <w:lang w:eastAsia="ar-SA"/>
    </w:rPr>
  </w:style>
  <w:style w:type="paragraph" w:customStyle="1" w:styleId="Titre10">
    <w:name w:val="Titre1"/>
    <w:basedOn w:val="Normal"/>
    <w:next w:val="Sous-titre1"/>
    <w:pPr>
      <w:spacing w:before="480" w:after="120"/>
      <w:jc w:val="left"/>
    </w:pPr>
    <w:rPr>
      <w:b/>
      <w:bCs/>
      <w:sz w:val="72"/>
      <w:szCs w:val="36"/>
    </w:rPr>
  </w:style>
  <w:style w:type="paragraph" w:customStyle="1" w:styleId="Corpsdetexte1">
    <w:name w:val="Corps de texte1"/>
    <w:basedOn w:val="Normal"/>
    <w:pPr>
      <w:spacing w:after="120"/>
    </w:pPr>
  </w:style>
  <w:style w:type="paragraph" w:customStyle="1" w:styleId="Liste1">
    <w:name w:val="Liste1"/>
    <w:basedOn w:val="Corpsdetexte1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Sous-titre1">
    <w:name w:val="Sous-titre1"/>
    <w:basedOn w:val="Normal"/>
    <w:next w:val="Corpsdetexte1"/>
    <w:pPr>
      <w:spacing w:before="360" w:after="80"/>
      <w:jc w:val="left"/>
    </w:pPr>
    <w:rPr>
      <w:rFonts w:ascii="Georgia" w:eastAsia="Georgia" w:hAnsi="Georgia" w:cs="Georgia"/>
      <w:i/>
      <w:iCs/>
      <w:color w:val="666666"/>
      <w:sz w:val="48"/>
      <w:szCs w:val="28"/>
    </w:rPr>
  </w:style>
  <w:style w:type="paragraph" w:customStyle="1" w:styleId="Textedebulles1">
    <w:name w:val="Texte de bulles1"/>
    <w:basedOn w:val="Normal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En-tte1">
    <w:name w:val="En-tête1"/>
    <w:basedOn w:val="Normal1"/>
    <w:pPr>
      <w:tabs>
        <w:tab w:val="center" w:pos="4536"/>
        <w:tab w:val="right" w:pos="9072"/>
      </w:tabs>
      <w:spacing w:line="100" w:lineRule="atLeast"/>
    </w:pPr>
  </w:style>
  <w:style w:type="paragraph" w:customStyle="1" w:styleId="Pieddepage1">
    <w:name w:val="Pied de page1"/>
    <w:basedOn w:val="Normal1"/>
    <w:pPr>
      <w:tabs>
        <w:tab w:val="center" w:pos="4536"/>
        <w:tab w:val="right" w:pos="9072"/>
      </w:tabs>
      <w:spacing w:line="100" w:lineRule="atLeast"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Commentaire1">
    <w:name w:val="Commentaire1"/>
    <w:basedOn w:val="Normal1"/>
    <w:pPr>
      <w:spacing w:line="100" w:lineRule="atLeast"/>
    </w:pPr>
  </w:style>
  <w:style w:type="paragraph" w:customStyle="1" w:styleId="Listecouleur-Accent11">
    <w:name w:val="Liste couleur - Accent 11"/>
    <w:basedOn w:val="Normal"/>
    <w:pPr>
      <w:suppressAutoHyphens/>
      <w:overflowPunct w:val="0"/>
      <w:spacing w:line="240" w:lineRule="auto"/>
      <w:ind w:left="720"/>
      <w:contextualSpacing/>
      <w:jc w:val="left"/>
      <w:textAlignment w:val="auto"/>
    </w:pPr>
    <w:rPr>
      <w:rFonts w:ascii="Times New Roman" w:eastAsia="Times New Roman" w:hAnsi="Times New Roman" w:cs="Times New Roman"/>
      <w:color w:val="00000A"/>
      <w:kern w:val="0"/>
      <w:lang w:eastAsia="fr-FR"/>
    </w:rPr>
  </w:style>
  <w:style w:type="paragraph" w:customStyle="1" w:styleId="NormalParagraphStyle">
    <w:name w:val="NormalParagraphStyle"/>
    <w:basedOn w:val="Normal"/>
    <w:pPr>
      <w:widowControl w:val="0"/>
      <w:suppressAutoHyphens/>
      <w:overflowPunct w:val="0"/>
      <w:spacing w:line="240" w:lineRule="atLeast"/>
      <w:textAlignment w:val="auto"/>
    </w:pPr>
    <w:rPr>
      <w:rFonts w:ascii="MetaNormalLF-Roman" w:eastAsia="Times New Roman" w:hAnsi="MetaNormalLF-Roman" w:cs="Times New Roman"/>
      <w:color w:val="000000"/>
      <w:kern w:val="0"/>
      <w:lang w:eastAsia="fr-FR"/>
    </w:rPr>
  </w:style>
  <w:style w:type="table" w:customStyle="1" w:styleId="Grilledutableau1">
    <w:name w:val="Grille du tableau1"/>
    <w:basedOn w:val="TableauNormal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rPr>
      <w:rFonts w:ascii="Andika" w:eastAsia="Andika" w:hAnsi="Andika" w:cs="Andika"/>
      <w:b/>
      <w:color w:val="000000"/>
      <w:w w:val="100"/>
      <w:kern w:val="1"/>
      <w:position w:val="-1"/>
      <w:sz w:val="24"/>
      <w:effect w:val="none"/>
      <w:vertAlign w:val="baseline"/>
      <w:cs w:val="0"/>
      <w:em w:val="none"/>
      <w:lang w:eastAsia="ar-SA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tblPr>
      <w:tblStyleRowBandSize w:val="1"/>
      <w:tblStyleColBandSize w:val="1"/>
    </w:tblPr>
  </w:style>
  <w:style w:type="table" w:customStyle="1" w:styleId="a0">
    <w:basedOn w:val="TableauNormal"/>
    <w:tblPr>
      <w:tblStyleRowBandSize w:val="1"/>
      <w:tblStyleColBandSize w:val="1"/>
    </w:tblPr>
  </w:style>
  <w:style w:type="table" w:customStyle="1" w:styleId="a1">
    <w:basedOn w:val="Tableau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auNormal"/>
    <w:tblPr>
      <w:tblStyleRowBandSize w:val="1"/>
      <w:tblStyleColBandSize w:val="1"/>
      <w:tblCellMar>
        <w:left w:w="93" w:type="dxa"/>
      </w:tblCellMar>
    </w:tblPr>
  </w:style>
  <w:style w:type="table" w:customStyle="1" w:styleId="a3">
    <w:basedOn w:val="Tableau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auNormal"/>
    <w:tblPr>
      <w:tblStyleRowBandSize w:val="1"/>
      <w:tblStyleColBandSize w:val="1"/>
      <w:tblCellMar>
        <w:left w:w="93" w:type="dxa"/>
      </w:tblCellMar>
    </w:tblPr>
  </w:style>
  <w:style w:type="table" w:customStyle="1" w:styleId="a5">
    <w:basedOn w:val="Tableau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au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auNormal"/>
    <w:tblPr>
      <w:tblStyleRowBandSize w:val="1"/>
      <w:tblStyleColBandSize w:val="1"/>
      <w:tblCellMar>
        <w:left w:w="9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b5FGQJP+QB2VKRySKetH5m+JUg==">AMUW2mXo/698C0qXdkd0SJhyrCxylJw5/YaZj3kXLlbNqBym+oaemWSQiId01ye/FpEVE7CZEK7OzYiWiW533g7aEckcm2QfLF7s2t4TpUO6ck7BdAVgg7KQsY6auTIHVfY5otjLINLOS0uj9CybFXam85RYXjma20WkJb01z/AwixPfkH5E/OGRlQZUKxznFJBTBuKyJk/2j9rLX/15RvBE5a9hQMn5wQ==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793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Utilisateur Windows</cp:lastModifiedBy>
  <cp:revision>2</cp:revision>
  <dcterms:created xsi:type="dcterms:W3CDTF">2023-07-19T04:52:00Z</dcterms:created>
  <dcterms:modified xsi:type="dcterms:W3CDTF">2023-07-19T04:52:00Z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