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94BF" w14:textId="218147D8" w:rsidR="00E80F31" w:rsidRDefault="00000000">
      <w:pPr>
        <w:spacing w:after="80"/>
      </w:pPr>
      <w:r>
        <w:rPr>
          <w:b/>
          <w:bCs/>
          <w:sz w:val="40"/>
          <w:szCs w:val="40"/>
        </w:rPr>
        <w:t>HealthConnect Project Summary</w:t>
      </w:r>
    </w:p>
    <w:p w14:paraId="05E43776" w14:textId="77777777" w:rsidR="00E80F31" w:rsidRDefault="00000000">
      <w:pPr>
        <w:spacing w:after="400"/>
      </w:pPr>
      <w:r>
        <w:rPr>
          <w:i/>
          <w:iCs/>
          <w:color w:val="555555"/>
          <w:sz w:val="22"/>
          <w:szCs w:val="22"/>
        </w:rPr>
        <w:t>AnalystLab Africa Experience Lab | Data Analytics Track | Tool: Power BI</w:t>
      </w:r>
    </w:p>
    <w:p w14:paraId="1F3055B4" w14:textId="77777777" w:rsidR="00E80F31" w:rsidRDefault="00000000">
      <w:pPr>
        <w:pStyle w:val="Heading1"/>
        <w:spacing w:before="320" w:after="160"/>
      </w:pPr>
      <w:r>
        <w:t>1. Problem Addressed</w:t>
      </w:r>
    </w:p>
    <w:p w14:paraId="1C5497D6" w14:textId="77777777" w:rsidR="00E80F31" w:rsidRDefault="00000000">
      <w:pPr>
        <w:spacing w:after="160"/>
      </w:pPr>
      <w:r>
        <w:t>This week's work focused on the Data Analytics track's contribution to the HealthConnect project: understanding the appointment dataset and establishing an initial analytical foundation for investigating missed appointments, ahead of KPI calculation and dashboard-building in later weeks.</w:t>
      </w:r>
    </w:p>
    <w:p w14:paraId="74519E1E" w14:textId="77777777" w:rsidR="00E80F31" w:rsidRDefault="00000000">
      <w:pPr>
        <w:pStyle w:val="Heading1"/>
        <w:spacing w:before="320" w:after="160"/>
      </w:pPr>
      <w:r>
        <w:t>2. Resources Used</w:t>
      </w:r>
    </w:p>
    <w:p w14:paraId="7A2BD9A2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HealthConnect_Appointment_Data.csv — 5,000 appointment records, 18 variables</w:t>
      </w:r>
    </w:p>
    <w:p w14:paraId="7F491C0D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HealthConnect_Data_Dictionary.xlsx — variable definitions used to interpret and validate the dataset</w:t>
      </w:r>
    </w:p>
    <w:p w14:paraId="32C616D5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Power BI — identified as the tool for KPI calculation and dashboarding in Week 5+</w:t>
      </w:r>
    </w:p>
    <w:p w14:paraId="7466C9CF" w14:textId="77777777" w:rsidR="00E80F31" w:rsidRDefault="00000000">
      <w:pPr>
        <w:pStyle w:val="Heading1"/>
        <w:spacing w:before="320" w:after="160"/>
      </w:pPr>
      <w:r>
        <w:t>3. Key Observations</w:t>
      </w:r>
    </w:p>
    <w:p w14:paraId="265901A3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No-shows are the largest single outcome category (48.5%), ahead of attended (46.3%) and cancelled (5.3%) appointments</w:t>
      </w:r>
    </w:p>
    <w:p w14:paraId="3FA0925F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The dataset is largely clean: no duplicate records and no logical inconsistencies (e.g. no-show counts never exceed total previous appointments)</w:t>
      </w:r>
    </w:p>
    <w:p w14:paraId="0E1C1D48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Missing values are limited to three fields — </w:t>
      </w:r>
      <w:proofErr w:type="spellStart"/>
      <w:r>
        <w:t>reminder_channel</w:t>
      </w:r>
      <w:proofErr w:type="spellEnd"/>
      <w:r>
        <w:t xml:space="preserve"> (explained by </w:t>
      </w:r>
      <w:proofErr w:type="spellStart"/>
      <w:r>
        <w:t>reminder_sent</w:t>
      </w:r>
      <w:proofErr w:type="spellEnd"/>
      <w:r>
        <w:t xml:space="preserve"> = No), </w:t>
      </w:r>
      <w:proofErr w:type="spellStart"/>
      <w:r>
        <w:t>distance_to_clinic_km</w:t>
      </w:r>
      <w:proofErr w:type="spellEnd"/>
      <w:r>
        <w:t xml:space="preserve">, and </w:t>
      </w:r>
      <w:proofErr w:type="spellStart"/>
      <w:r>
        <w:t>waiting_time_minutes</w:t>
      </w:r>
      <w:proofErr w:type="spellEnd"/>
      <w:r>
        <w:t xml:space="preserve"> — and will need a documented handling decision before KPI work</w:t>
      </w:r>
    </w:p>
    <w:p w14:paraId="679C13AB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Early exploration suggests previous no-show history and reminder status are both worth investigating further: no-show rate rises with prior no-shows (44% → 68%), and is somewhat lower when a reminder was sent (47.4% vs 51.4%)</w:t>
      </w:r>
    </w:p>
    <w:p w14:paraId="69AB7005" w14:textId="77777777" w:rsidR="00E80F31" w:rsidRDefault="00000000">
      <w:pPr>
        <w:pStyle w:val="Heading1"/>
        <w:spacing w:before="320" w:after="160"/>
      </w:pPr>
      <w:r>
        <w:t>4. Proposed Approach</w:t>
      </w:r>
    </w:p>
    <w:p w14:paraId="70F5550B" w14:textId="77777777" w:rsidR="00E80F31" w:rsidRDefault="00000000">
      <w:pPr>
        <w:spacing w:after="160"/>
      </w:pPr>
      <w:r>
        <w:t>Move from descriptive exploration into structured no-show segmentation and relationship analysis (by demographics, reminders, distance, and waiting time), then calculate the identified KPIs and build an initial Power BI dashboard.</w:t>
      </w:r>
    </w:p>
    <w:p w14:paraId="0ECC700D" w14:textId="77777777" w:rsidR="00E80F31" w:rsidRDefault="00000000">
      <w:pPr>
        <w:pStyle w:val="Heading1"/>
        <w:spacing w:before="320" w:after="160"/>
      </w:pPr>
      <w:r>
        <w:t>5. Key Considerations</w:t>
      </w:r>
    </w:p>
    <w:p w14:paraId="53F3494F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Missing data in </w:t>
      </w:r>
      <w:proofErr w:type="spellStart"/>
      <w:r>
        <w:t>distance_to_clinic_km</w:t>
      </w:r>
      <w:proofErr w:type="spellEnd"/>
      <w:r>
        <w:t xml:space="preserve"> and </w:t>
      </w:r>
      <w:proofErr w:type="spellStart"/>
      <w:r>
        <w:t>waiting_time_minutes</w:t>
      </w:r>
      <w:proofErr w:type="spellEnd"/>
      <w:r>
        <w:t xml:space="preserve"> must be handled before calculation</w:t>
      </w:r>
    </w:p>
    <w:p w14:paraId="37504A72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Findings remain descriptive; causal claims (e.g. reminders "causing" attendance) should be avoided without further testing</w:t>
      </w:r>
    </w:p>
    <w:p w14:paraId="1E44BCBA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The dataset excludes operational factors (cost, staff availability, clinic capacity) that may also influence no-shows</w:t>
      </w:r>
    </w:p>
    <w:p w14:paraId="4E08DFB8" w14:textId="77777777" w:rsidR="00E80F31" w:rsidRDefault="00000000">
      <w:pPr>
        <w:pStyle w:val="Heading1"/>
        <w:spacing w:before="320" w:after="160"/>
      </w:pPr>
      <w:r>
        <w:t>6. Proposed Focus for Week 5</w:t>
      </w:r>
    </w:p>
    <w:p w14:paraId="457B7FDE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Agree and apply a missing-data handling approach for the two affected fields</w:t>
      </w:r>
    </w:p>
    <w:p w14:paraId="2DE54250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Calculate the five proposed KPIs and begin no-show segmentation by key variables</w:t>
      </w:r>
    </w:p>
    <w:p w14:paraId="4F2DC8A9" w14:textId="77777777" w:rsidR="00E80F31" w:rsidRDefault="00000000">
      <w:pPr>
        <w:pStyle w:val="ListParagraph"/>
        <w:numPr>
          <w:ilvl w:val="0"/>
          <w:numId w:val="2"/>
        </w:numPr>
        <w:spacing w:after="80"/>
      </w:pPr>
      <w:r>
        <w:t>Build initial Power BI visuals for KPI tracking and segment comparison</w:t>
      </w:r>
    </w:p>
    <w:sectPr w:rsidR="00E80F3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158BF"/>
    <w:multiLevelType w:val="hybridMultilevel"/>
    <w:tmpl w:val="A10024F6"/>
    <w:lvl w:ilvl="0" w:tplc="643018D6">
      <w:start w:val="1"/>
      <w:numFmt w:val="bullet"/>
      <w:lvlText w:val="•"/>
      <w:lvlJc w:val="left"/>
      <w:pPr>
        <w:ind w:left="360" w:hanging="260"/>
      </w:pPr>
    </w:lvl>
    <w:lvl w:ilvl="1" w:tplc="3F66998C">
      <w:numFmt w:val="decimal"/>
      <w:lvlText w:val=""/>
      <w:lvlJc w:val="left"/>
    </w:lvl>
    <w:lvl w:ilvl="2" w:tplc="0A9C7CCC">
      <w:numFmt w:val="decimal"/>
      <w:lvlText w:val=""/>
      <w:lvlJc w:val="left"/>
    </w:lvl>
    <w:lvl w:ilvl="3" w:tplc="21D41E84">
      <w:numFmt w:val="decimal"/>
      <w:lvlText w:val=""/>
      <w:lvlJc w:val="left"/>
    </w:lvl>
    <w:lvl w:ilvl="4" w:tplc="2FAAD790">
      <w:numFmt w:val="decimal"/>
      <w:lvlText w:val=""/>
      <w:lvlJc w:val="left"/>
    </w:lvl>
    <w:lvl w:ilvl="5" w:tplc="68EE0026">
      <w:numFmt w:val="decimal"/>
      <w:lvlText w:val=""/>
      <w:lvlJc w:val="left"/>
    </w:lvl>
    <w:lvl w:ilvl="6" w:tplc="2080146C">
      <w:numFmt w:val="decimal"/>
      <w:lvlText w:val=""/>
      <w:lvlJc w:val="left"/>
    </w:lvl>
    <w:lvl w:ilvl="7" w:tplc="E48C4D5A">
      <w:numFmt w:val="decimal"/>
      <w:lvlText w:val=""/>
      <w:lvlJc w:val="left"/>
    </w:lvl>
    <w:lvl w:ilvl="8" w:tplc="F93E606A">
      <w:numFmt w:val="decimal"/>
      <w:lvlText w:val=""/>
      <w:lvlJc w:val="left"/>
    </w:lvl>
  </w:abstractNum>
  <w:abstractNum w:abstractNumId="1" w15:restartNumberingAfterBreak="0">
    <w:nsid w:val="78AB1D81"/>
    <w:multiLevelType w:val="hybridMultilevel"/>
    <w:tmpl w:val="320A3278"/>
    <w:lvl w:ilvl="0" w:tplc="98C44606">
      <w:start w:val="1"/>
      <w:numFmt w:val="bullet"/>
      <w:lvlText w:val="●"/>
      <w:lvlJc w:val="left"/>
      <w:pPr>
        <w:ind w:left="720" w:hanging="360"/>
      </w:pPr>
    </w:lvl>
    <w:lvl w:ilvl="1" w:tplc="B3D8E63A">
      <w:start w:val="1"/>
      <w:numFmt w:val="bullet"/>
      <w:lvlText w:val="○"/>
      <w:lvlJc w:val="left"/>
      <w:pPr>
        <w:ind w:left="1440" w:hanging="360"/>
      </w:pPr>
    </w:lvl>
    <w:lvl w:ilvl="2" w:tplc="CC7E8D08">
      <w:start w:val="1"/>
      <w:numFmt w:val="bullet"/>
      <w:lvlText w:val="■"/>
      <w:lvlJc w:val="left"/>
      <w:pPr>
        <w:ind w:left="2160" w:hanging="360"/>
      </w:pPr>
    </w:lvl>
    <w:lvl w:ilvl="3" w:tplc="0E02DBEE">
      <w:start w:val="1"/>
      <w:numFmt w:val="bullet"/>
      <w:lvlText w:val="●"/>
      <w:lvlJc w:val="left"/>
      <w:pPr>
        <w:ind w:left="2880" w:hanging="360"/>
      </w:pPr>
    </w:lvl>
    <w:lvl w:ilvl="4" w:tplc="D4C060BA">
      <w:start w:val="1"/>
      <w:numFmt w:val="bullet"/>
      <w:lvlText w:val="○"/>
      <w:lvlJc w:val="left"/>
      <w:pPr>
        <w:ind w:left="3600" w:hanging="360"/>
      </w:pPr>
    </w:lvl>
    <w:lvl w:ilvl="5" w:tplc="199002FA">
      <w:start w:val="1"/>
      <w:numFmt w:val="bullet"/>
      <w:lvlText w:val="■"/>
      <w:lvlJc w:val="left"/>
      <w:pPr>
        <w:ind w:left="4320" w:hanging="360"/>
      </w:pPr>
    </w:lvl>
    <w:lvl w:ilvl="6" w:tplc="77709A7E">
      <w:start w:val="1"/>
      <w:numFmt w:val="bullet"/>
      <w:lvlText w:val="●"/>
      <w:lvlJc w:val="left"/>
      <w:pPr>
        <w:ind w:left="5040" w:hanging="360"/>
      </w:pPr>
    </w:lvl>
    <w:lvl w:ilvl="7" w:tplc="5B10F4A6">
      <w:start w:val="1"/>
      <w:numFmt w:val="bullet"/>
      <w:lvlText w:val="●"/>
      <w:lvlJc w:val="left"/>
      <w:pPr>
        <w:ind w:left="5760" w:hanging="360"/>
      </w:pPr>
    </w:lvl>
    <w:lvl w:ilvl="8" w:tplc="26A28CE2">
      <w:start w:val="1"/>
      <w:numFmt w:val="bullet"/>
      <w:lvlText w:val="●"/>
      <w:lvlJc w:val="left"/>
      <w:pPr>
        <w:ind w:left="6480" w:hanging="360"/>
      </w:pPr>
    </w:lvl>
  </w:abstractNum>
  <w:num w:numId="1" w16cid:durableId="1857887402">
    <w:abstractNumId w:val="1"/>
    <w:lvlOverride w:ilvl="0">
      <w:startOverride w:val="1"/>
    </w:lvlOverride>
  </w:num>
  <w:num w:numId="2" w16cid:durableId="1851678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F31"/>
    <w:rsid w:val="00BA4E54"/>
    <w:rsid w:val="00E80F31"/>
    <w:rsid w:val="00F8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8DD0"/>
  <w15:docId w15:val="{C89FB9FD-546A-43CA-8DAD-DF6AFC6D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Sam1234</cp:lastModifiedBy>
  <cp:revision>2</cp:revision>
  <dcterms:created xsi:type="dcterms:W3CDTF">2026-08-30T19:06:00Z</dcterms:created>
  <dcterms:modified xsi:type="dcterms:W3CDTF">2026-08-30T19:06:00Z</dcterms:modified>
</cp:coreProperties>
</file>