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HealthConnect Week 6 — Advanced Analytics &amp; Decision Support Report</w:t>
      </w:r>
    </w:p>
    <w:p>
      <w:pPr>
        <w:spacing w:after="400"/>
      </w:pPr>
      <w:r>
        <w:rPr>
          <w:i/>
          <w:iCs/>
          <w:color w:val="555555"/>
          <w:sz w:val="22"/>
          <w:szCs w:val="22"/>
        </w:rPr>
        <w:t xml:space="preserve">Petty | AnalystLab Africa Experience Lab | Data Analytics Track (Power BI)</w:t>
      </w:r>
    </w:p>
    <w:p>
      <w:pPr>
        <w:pStyle w:val="Heading1"/>
        <w:spacing w:after="150" w:before="300"/>
      </w:pPr>
      <w:r>
        <w:t xml:space="preserve">1. Week 5 → Week 6 Transition</w:t>
      </w:r>
    </w:p>
    <w:p>
      <w:pPr>
        <w:spacing w:after="100"/>
      </w:pPr>
      <w:r>
        <w:rPr>
          <w:b/>
          <w:bCs/>
        </w:rPr>
        <w:t xml:space="preserve">Main Week 5 output: </w:t>
      </w:r>
      <w:r>
        <w:t xml:space="preserve">Initial HealthConnect Analytics Report — cleaned dataset, 4 calculated KPIs, EDA across reminders/distance/waiting time/history, and an initial Power BI dashboard.</w:t>
      </w:r>
    </w:p>
    <w:p>
      <w:pPr>
        <w:spacing w:after="100"/>
      </w:pPr>
      <w:r>
        <w:rPr>
          <w:b/>
          <w:bCs/>
        </w:rPr>
        <w:t xml:space="preserve">Most important result: </w:t>
      </w:r>
      <w:r>
        <w:t xml:space="preserve">No-Show Rate of 51.2%, with prior no-show history (57.8% vs 46.3%) and distance (48.7%→56.9%) identified as the clearest behavioural drivers.</w:t>
      </w:r>
    </w:p>
    <w:p>
      <w:pPr>
        <w:spacing w:after="100"/>
      </w:pPr>
      <w:r>
        <w:rPr>
          <w:b/>
          <w:bCs/>
        </w:rPr>
        <w:t xml:space="preserve">Main limitation discovered: </w:t>
      </w:r>
      <w:r>
        <w:t xml:space="preserve">Week 5 analysis covered the variables in the original business questions but did not test booking_lead_days as a driver, despite it being available in the dataset.</w:t>
      </w:r>
    </w:p>
    <w:p>
      <w:pPr>
        <w:spacing w:after="100"/>
      </w:pPr>
      <w:r>
        <w:rPr>
          <w:b/>
          <w:bCs/>
        </w:rPr>
        <w:t xml:space="preserve">Relevant track for Week 6: </w:t>
      </w:r>
      <w:r>
        <w:t xml:space="preserve">Data Science — analytical findings here are intended to inform their feature selection and target definition.</w:t>
      </w:r>
    </w:p>
    <w:p>
      <w:pPr>
        <w:spacing w:after="100"/>
      </w:pPr>
      <w:r>
        <w:rPr>
          <w:b/>
          <w:bCs/>
        </w:rPr>
        <w:t xml:space="preserve">What this week improves/validates: </w:t>
      </w:r>
      <w:r>
        <w:t xml:space="preserve">Deepens the two strongest Week 5 findings (prior history, distance), tests a previously unexamined variable (booking lead time), and validates whether the Week 5 KPIs still hold under finer segmentation.</w:t>
      </w:r>
    </w:p>
    <w:p>
      <w:pPr>
        <w:pStyle w:val="Heading1"/>
        <w:spacing w:after="150" w:before="300"/>
      </w:pPr>
      <w:r>
        <w:t xml:space="preserve">2. Advanced Analysis</w:t>
      </w:r>
    </w:p>
    <w:p>
      <w:pPr>
        <w:pStyle w:val="Heading2"/>
        <w:spacing w:after="100" w:before="200"/>
      </w:pPr>
      <w:r>
        <w:t xml:space="preserve">2.1 New finding: Booking lead time is the strongest driver in the dataset</w:t>
      </w:r>
    </w:p>
    <w:p>
      <w:pPr>
        <w:spacing w:after="100"/>
      </w:pPr>
      <w:r>
        <w:t xml:space="preserve">Week 5 did not examine booking_lead_days as a no-show driver. A point-biserial correlation against appointment outcome was run across all continuous variables to check for anything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shd w:fill="2F5496" w:val="clear"/>
            <w:tcMar>
              <w:top w:type="dxa" w:w="80"/>
              <w:left w:type="dxa" w:w="100"/>
              <w:bottom w:type="dxa" w:w="80"/>
              <w:right w:type="dxa" w:w="100"/>
            </w:tcMar>
          </w:tcPr>
          <w:p>
            <w:r>
              <w:rPr>
                <w:b/>
                <w:bCs/>
                <w:color w:val="FFFFFF"/>
              </w:rPr>
              <w:t xml:space="preserve">Variable</w:t>
            </w:r>
          </w:p>
        </w:tc>
        <w:tc>
          <w:tcPr>
            <w:tcW w:type="dxa" w:w="3680"/>
            <w:shd w:fill="2F5496" w:val="clear"/>
            <w:tcMar>
              <w:top w:type="dxa" w:w="80"/>
              <w:left w:type="dxa" w:w="100"/>
              <w:bottom w:type="dxa" w:w="80"/>
              <w:right w:type="dxa" w:w="100"/>
            </w:tcMar>
          </w:tcPr>
          <w:p>
            <w:r>
              <w:rPr>
                <w:b/>
                <w:bCs/>
                <w:color w:val="FFFFFF"/>
              </w:rPr>
              <w:t xml:space="preserve">Correlation with No-Show</w:t>
            </w:r>
          </w:p>
        </w:tc>
      </w:tr>
      <w:tr>
        <w:tc>
          <w:tcPr>
            <w:tcW w:type="dxa" w:w="5680"/>
            <w:tcMar>
              <w:top w:type="dxa" w:w="80"/>
              <w:left w:type="dxa" w:w="100"/>
              <w:bottom w:type="dxa" w:w="80"/>
              <w:right w:type="dxa" w:w="100"/>
            </w:tcMar>
          </w:tcPr>
          <w:p>
            <w:r>
              <w:rPr>
                <w:b w:val="false"/>
                <w:bCs w:val="false"/>
              </w:rPr>
              <w:t xml:space="preserve">booking_lead_days</w:t>
            </w:r>
          </w:p>
        </w:tc>
        <w:tc>
          <w:tcPr>
            <w:tcW w:type="dxa" w:w="3680"/>
            <w:tcMar>
              <w:top w:type="dxa" w:w="80"/>
              <w:left w:type="dxa" w:w="100"/>
              <w:bottom w:type="dxa" w:w="80"/>
              <w:right w:type="dxa" w:w="100"/>
            </w:tcMar>
          </w:tcPr>
          <w:p>
            <w:r>
              <w:rPr>
                <w:b w:val="false"/>
                <w:bCs w:val="false"/>
              </w:rPr>
              <w:t xml:space="preserve">0.287</w:t>
            </w:r>
          </w:p>
        </w:tc>
      </w:tr>
      <w:tr>
        <w:tc>
          <w:tcPr>
            <w:tcW w:type="dxa" w:w="5680"/>
            <w:tcMar>
              <w:top w:type="dxa" w:w="80"/>
              <w:left w:type="dxa" w:w="100"/>
              <w:bottom w:type="dxa" w:w="80"/>
              <w:right w:type="dxa" w:w="100"/>
            </w:tcMar>
          </w:tcPr>
          <w:p>
            <w:r>
              <w:rPr>
                <w:b w:val="false"/>
                <w:bCs w:val="false"/>
              </w:rPr>
              <w:t xml:space="preserve">previous_no_shows</w:t>
            </w:r>
          </w:p>
        </w:tc>
        <w:tc>
          <w:tcPr>
            <w:tcW w:type="dxa" w:w="3680"/>
            <w:tcMar>
              <w:top w:type="dxa" w:w="80"/>
              <w:left w:type="dxa" w:w="100"/>
              <w:bottom w:type="dxa" w:w="80"/>
              <w:right w:type="dxa" w:w="100"/>
            </w:tcMar>
          </w:tcPr>
          <w:p>
            <w:r>
              <w:rPr>
                <w:b w:val="false"/>
                <w:bCs w:val="false"/>
              </w:rPr>
              <w:t xml:space="preserve">0.123</w:t>
            </w:r>
          </w:p>
        </w:tc>
      </w:tr>
      <w:tr>
        <w:tc>
          <w:tcPr>
            <w:tcW w:type="dxa" w:w="5680"/>
            <w:tcMar>
              <w:top w:type="dxa" w:w="80"/>
              <w:left w:type="dxa" w:w="100"/>
              <w:bottom w:type="dxa" w:w="80"/>
              <w:right w:type="dxa" w:w="100"/>
            </w:tcMar>
          </w:tcPr>
          <w:p>
            <w:r>
              <w:rPr>
                <w:b w:val="false"/>
                <w:bCs w:val="false"/>
              </w:rPr>
              <w:t xml:space="preserve">distance_to_clinic_km</w:t>
            </w:r>
          </w:p>
        </w:tc>
        <w:tc>
          <w:tcPr>
            <w:tcW w:type="dxa" w:w="3680"/>
            <w:tcMar>
              <w:top w:type="dxa" w:w="80"/>
              <w:left w:type="dxa" w:w="100"/>
              <w:bottom w:type="dxa" w:w="80"/>
              <w:right w:type="dxa" w:w="100"/>
            </w:tcMar>
          </w:tcPr>
          <w:p>
            <w:r>
              <w:rPr>
                <w:b w:val="false"/>
                <w:bCs w:val="false"/>
              </w:rPr>
              <w:t xml:space="preserve">0.064</w:t>
            </w:r>
          </w:p>
        </w:tc>
      </w:tr>
      <w:tr>
        <w:tc>
          <w:tcPr>
            <w:tcW w:type="dxa" w:w="5680"/>
            <w:tcMar>
              <w:top w:type="dxa" w:w="80"/>
              <w:left w:type="dxa" w:w="100"/>
              <w:bottom w:type="dxa" w:w="80"/>
              <w:right w:type="dxa" w:w="100"/>
            </w:tcMar>
          </w:tcPr>
          <w:p>
            <w:r>
              <w:rPr>
                <w:b w:val="false"/>
                <w:bCs w:val="false"/>
              </w:rPr>
              <w:t xml:space="preserve">previous_appointments</w:t>
            </w:r>
          </w:p>
        </w:tc>
        <w:tc>
          <w:tcPr>
            <w:tcW w:type="dxa" w:w="3680"/>
            <w:tcMar>
              <w:top w:type="dxa" w:w="80"/>
              <w:left w:type="dxa" w:w="100"/>
              <w:bottom w:type="dxa" w:w="80"/>
              <w:right w:type="dxa" w:w="100"/>
            </w:tcMar>
          </w:tcPr>
          <w:p>
            <w:r>
              <w:rPr>
                <w:b w:val="false"/>
                <w:bCs w:val="false"/>
              </w:rPr>
              <w:t xml:space="preserve">0.042</w:t>
            </w:r>
          </w:p>
        </w:tc>
      </w:tr>
      <w:tr>
        <w:tc>
          <w:tcPr>
            <w:tcW w:type="dxa" w:w="5680"/>
            <w:tcMar>
              <w:top w:type="dxa" w:w="80"/>
              <w:left w:type="dxa" w:w="100"/>
              <w:bottom w:type="dxa" w:w="80"/>
              <w:right w:type="dxa" w:w="100"/>
            </w:tcMar>
          </w:tcPr>
          <w:p>
            <w:r>
              <w:rPr>
                <w:b w:val="false"/>
                <w:bCs w:val="false"/>
              </w:rPr>
              <w:t xml:space="preserve">age</w:t>
            </w:r>
          </w:p>
        </w:tc>
        <w:tc>
          <w:tcPr>
            <w:tcW w:type="dxa" w:w="3680"/>
            <w:tcMar>
              <w:top w:type="dxa" w:w="80"/>
              <w:left w:type="dxa" w:w="100"/>
              <w:bottom w:type="dxa" w:w="80"/>
              <w:right w:type="dxa" w:w="100"/>
            </w:tcMar>
          </w:tcPr>
          <w:p>
            <w:r>
              <w:rPr>
                <w:b w:val="false"/>
                <w:bCs w:val="false"/>
              </w:rPr>
              <w:t xml:space="preserve">-0.028</w:t>
            </w:r>
          </w:p>
        </w:tc>
      </w:tr>
      <w:tr>
        <w:tc>
          <w:tcPr>
            <w:tcW w:type="dxa" w:w="5680"/>
            <w:tcMar>
              <w:top w:type="dxa" w:w="80"/>
              <w:left w:type="dxa" w:w="100"/>
              <w:bottom w:type="dxa" w:w="80"/>
              <w:right w:type="dxa" w:w="100"/>
            </w:tcMar>
          </w:tcPr>
          <w:p>
            <w:r>
              <w:rPr>
                <w:b w:val="false"/>
                <w:bCs w:val="false"/>
              </w:rPr>
              <w:t xml:space="preserve">waiting_time_minutes</w:t>
            </w:r>
          </w:p>
        </w:tc>
        <w:tc>
          <w:tcPr>
            <w:tcW w:type="dxa" w:w="3680"/>
            <w:tcMar>
              <w:top w:type="dxa" w:w="80"/>
              <w:left w:type="dxa" w:w="100"/>
              <w:bottom w:type="dxa" w:w="80"/>
              <w:right w:type="dxa" w:w="100"/>
            </w:tcMar>
          </w:tcPr>
          <w:p>
            <w:r>
              <w:rPr>
                <w:b w:val="false"/>
                <w:bCs w:val="false"/>
              </w:rPr>
              <w:t xml:space="preserve">-0.004</w:t>
            </w:r>
          </w:p>
        </w:tc>
      </w:tr>
    </w:tbl>
    <w:p>
      <w:pPr>
        <w:spacing w:after="100"/>
      </w:pPr>
      <w:r>
        <w:t xml:space="preserve">booking_lead_days correlates far more strongly with no-shows than any variable examined in Week 5. Breaking it into bands confirms a striking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Mar>
              <w:top w:type="dxa" w:w="80"/>
              <w:left w:type="dxa" w:w="100"/>
              <w:bottom w:type="dxa" w:w="80"/>
              <w:right w:type="dxa" w:w="100"/>
            </w:tcMar>
          </w:tcPr>
          <w:p>
            <w:r>
              <w:rPr>
                <w:b/>
                <w:bCs/>
                <w:color w:val="FFFFFF"/>
              </w:rPr>
              <w:t xml:space="preserve">Booking lead time</w:t>
            </w:r>
          </w:p>
        </w:tc>
        <w:tc>
          <w:tcPr>
            <w:tcW w:type="dxa" w:w="3120"/>
            <w:shd w:fill="2F5496" w:val="clear"/>
            <w:tcMar>
              <w:top w:type="dxa" w:w="80"/>
              <w:left w:type="dxa" w:w="100"/>
              <w:bottom w:type="dxa" w:w="80"/>
              <w:right w:type="dxa" w:w="100"/>
            </w:tcMar>
          </w:tcPr>
          <w:p>
            <w:r>
              <w:rPr>
                <w:b/>
                <w:bCs/>
                <w:color w:val="FFFFFF"/>
              </w:rPr>
              <w:t xml:space="preserve">No-Show Rate</w:t>
            </w:r>
          </w:p>
        </w:tc>
        <w:tc>
          <w:tcPr>
            <w:tcW w:type="dxa" w:w="3120"/>
            <w:shd w:fill="2F5496" w:val="clear"/>
            <w:tcMar>
              <w:top w:type="dxa" w:w="80"/>
              <w:left w:type="dxa" w:w="100"/>
              <w:bottom w:type="dxa" w:w="80"/>
              <w:right w:type="dxa" w:w="100"/>
            </w:tcMar>
          </w:tcPr>
          <w:p>
            <w:r>
              <w:rPr>
                <w:b/>
                <w:bCs/>
                <w:color w:val="FFFFFF"/>
              </w:rPr>
              <w:t xml:space="preserve">n</w:t>
            </w:r>
          </w:p>
        </w:tc>
      </w:tr>
      <w:tr>
        <w:tc>
          <w:tcPr>
            <w:tcW w:type="dxa" w:w="3120"/>
            <w:tcMar>
              <w:top w:type="dxa" w:w="80"/>
              <w:left w:type="dxa" w:w="100"/>
              <w:bottom w:type="dxa" w:w="80"/>
              <w:right w:type="dxa" w:w="100"/>
            </w:tcMar>
          </w:tcPr>
          <w:p>
            <w:r>
              <w:rPr>
                <w:b w:val="false"/>
                <w:bCs w:val="false"/>
              </w:rPr>
              <w:t xml:space="preserve">0-7 days</w:t>
            </w:r>
          </w:p>
        </w:tc>
        <w:tc>
          <w:tcPr>
            <w:tcW w:type="dxa" w:w="3120"/>
            <w:tcMar>
              <w:top w:type="dxa" w:w="80"/>
              <w:left w:type="dxa" w:w="100"/>
              <w:bottom w:type="dxa" w:w="80"/>
              <w:right w:type="dxa" w:w="100"/>
            </w:tcMar>
          </w:tcPr>
          <w:p>
            <w:r>
              <w:rPr>
                <w:b w:val="false"/>
                <w:bCs w:val="false"/>
              </w:rPr>
              <w:t xml:space="preserve">29.5%</w:t>
            </w:r>
          </w:p>
        </w:tc>
        <w:tc>
          <w:tcPr>
            <w:tcW w:type="dxa" w:w="3120"/>
            <w:tcMar>
              <w:top w:type="dxa" w:w="80"/>
              <w:left w:type="dxa" w:w="100"/>
              <w:bottom w:type="dxa" w:w="80"/>
              <w:right w:type="dxa" w:w="100"/>
            </w:tcMar>
          </w:tcPr>
          <w:p>
            <w:r>
              <w:rPr>
                <w:b w:val="false"/>
                <w:bCs w:val="false"/>
              </w:rPr>
              <w:t xml:space="preserve">604</w:t>
            </w:r>
          </w:p>
        </w:tc>
      </w:tr>
      <w:tr>
        <w:tc>
          <w:tcPr>
            <w:tcW w:type="dxa" w:w="3120"/>
            <w:tcMar>
              <w:top w:type="dxa" w:w="80"/>
              <w:left w:type="dxa" w:w="100"/>
              <w:bottom w:type="dxa" w:w="80"/>
              <w:right w:type="dxa" w:w="100"/>
            </w:tcMar>
          </w:tcPr>
          <w:p>
            <w:r>
              <w:rPr>
                <w:b w:val="false"/>
                <w:bCs w:val="false"/>
              </w:rPr>
              <w:t xml:space="preserve">8-14 days</w:t>
            </w:r>
          </w:p>
        </w:tc>
        <w:tc>
          <w:tcPr>
            <w:tcW w:type="dxa" w:w="3120"/>
            <w:tcMar>
              <w:top w:type="dxa" w:w="80"/>
              <w:left w:type="dxa" w:w="100"/>
              <w:bottom w:type="dxa" w:w="80"/>
              <w:right w:type="dxa" w:w="100"/>
            </w:tcMar>
          </w:tcPr>
          <w:p>
            <w:r>
              <w:rPr>
                <w:b w:val="false"/>
                <w:bCs w:val="false"/>
              </w:rPr>
              <w:t xml:space="preserve">35.2%</w:t>
            </w:r>
          </w:p>
        </w:tc>
        <w:tc>
          <w:tcPr>
            <w:tcW w:type="dxa" w:w="3120"/>
            <w:tcMar>
              <w:top w:type="dxa" w:w="80"/>
              <w:left w:type="dxa" w:w="100"/>
              <w:bottom w:type="dxa" w:w="80"/>
              <w:right w:type="dxa" w:w="100"/>
            </w:tcMar>
          </w:tcPr>
          <w:p>
            <w:r>
              <w:rPr>
                <w:b w:val="false"/>
                <w:bCs w:val="false"/>
              </w:rPr>
              <w:t xml:space="preserve">574</w:t>
            </w:r>
          </w:p>
        </w:tc>
      </w:tr>
      <w:tr>
        <w:tc>
          <w:tcPr>
            <w:tcW w:type="dxa" w:w="3120"/>
            <w:tcMar>
              <w:top w:type="dxa" w:w="80"/>
              <w:left w:type="dxa" w:w="100"/>
              <w:bottom w:type="dxa" w:w="80"/>
              <w:right w:type="dxa" w:w="100"/>
            </w:tcMar>
          </w:tcPr>
          <w:p>
            <w:r>
              <w:rPr>
                <w:b w:val="false"/>
                <w:bCs w:val="false"/>
              </w:rPr>
              <w:t xml:space="preserve">15-30 days</w:t>
            </w:r>
          </w:p>
        </w:tc>
        <w:tc>
          <w:tcPr>
            <w:tcW w:type="dxa" w:w="3120"/>
            <w:tcMar>
              <w:top w:type="dxa" w:w="80"/>
              <w:left w:type="dxa" w:w="100"/>
              <w:bottom w:type="dxa" w:w="80"/>
              <w:right w:type="dxa" w:w="100"/>
            </w:tcMar>
          </w:tcPr>
          <w:p>
            <w:r>
              <w:rPr>
                <w:b w:val="false"/>
                <w:bCs w:val="false"/>
              </w:rPr>
              <w:t xml:space="preserve">45.5%</w:t>
            </w:r>
          </w:p>
        </w:tc>
        <w:tc>
          <w:tcPr>
            <w:tcW w:type="dxa" w:w="3120"/>
            <w:tcMar>
              <w:top w:type="dxa" w:w="80"/>
              <w:left w:type="dxa" w:w="100"/>
              <w:bottom w:type="dxa" w:w="80"/>
              <w:right w:type="dxa" w:w="100"/>
            </w:tcMar>
          </w:tcPr>
          <w:p>
            <w:r>
              <w:rPr>
                <w:b w:val="false"/>
                <w:bCs w:val="false"/>
              </w:rPr>
              <w:t xml:space="preserve">1,265</w:t>
            </w:r>
          </w:p>
        </w:tc>
      </w:tr>
      <w:tr>
        <w:tc>
          <w:tcPr>
            <w:tcW w:type="dxa" w:w="3120"/>
            <w:tcMar>
              <w:top w:type="dxa" w:w="80"/>
              <w:left w:type="dxa" w:w="100"/>
              <w:bottom w:type="dxa" w:w="80"/>
              <w:right w:type="dxa" w:w="100"/>
            </w:tcMar>
          </w:tcPr>
          <w:p>
            <w:r>
              <w:rPr>
                <w:b w:val="false"/>
                <w:bCs w:val="false"/>
              </w:rPr>
              <w:t xml:space="preserve">30+ days</w:t>
            </w:r>
          </w:p>
        </w:tc>
        <w:tc>
          <w:tcPr>
            <w:tcW w:type="dxa" w:w="3120"/>
            <w:tcMar>
              <w:top w:type="dxa" w:w="80"/>
              <w:left w:type="dxa" w:w="100"/>
              <w:bottom w:type="dxa" w:w="80"/>
              <w:right w:type="dxa" w:w="100"/>
            </w:tcMar>
          </w:tcPr>
          <w:p>
            <w:r>
              <w:rPr>
                <w:b w:val="false"/>
                <w:bCs w:val="false"/>
              </w:rPr>
              <w:t xml:space="preserve">63.9%</w:t>
            </w:r>
          </w:p>
        </w:tc>
        <w:tc>
          <w:tcPr>
            <w:tcW w:type="dxa" w:w="3120"/>
            <w:tcMar>
              <w:top w:type="dxa" w:w="80"/>
              <w:left w:type="dxa" w:w="100"/>
              <w:bottom w:type="dxa" w:w="80"/>
              <w:right w:type="dxa" w:w="100"/>
            </w:tcMar>
          </w:tcPr>
          <w:p>
            <w:r>
              <w:rPr>
                <w:b w:val="false"/>
                <w:bCs w:val="false"/>
              </w:rPr>
              <w:t xml:space="preserve">2,294</w:t>
            </w:r>
          </w:p>
        </w:tc>
      </w:tr>
    </w:tbl>
    <w:p>
      <w:pPr>
        <w:spacing w:after="100"/>
      </w:pPr>
      <w:r>
        <w:t xml:space="preserve">This is a 34.4-point spread — larger than distance (8.2 points) or prior history (11.5 points) combined. Patients who book far in advance are substantially more likely to forget or deprioritise the appointment by the time it arrives.</w:t>
      </w:r>
    </w:p>
    <w:p>
      <w:pPr>
        <w:pStyle w:val="Heading2"/>
        <w:spacing w:after="100" w:before="200"/>
      </w:pPr>
      <w:r>
        <w:t xml:space="preserve">2.2 Validating the Week 5 findings under finer segmentation</w:t>
      </w:r>
    </w:p>
    <w:p>
      <w:pPr>
        <w:spacing w:after="100"/>
      </w:pPr>
      <w:r>
        <w:t xml:space="preserve">A full effect-size ranking was run across all key categorical variables (range between highest- and lowest-risk group) to check whether the Week 5 conclusions still hold as the strongest signals, or whether something else should take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80"/>
        <w:gridCol w:w="2380"/>
      </w:tblGrid>
      <w:tr>
        <w:trPr>
          <w:tblHeader/>
        </w:trPr>
        <w:tc>
          <w:tcPr>
            <w:tcW w:type="dxa" w:w="2600"/>
            <w:shd w:fill="2F5496" w:val="clear"/>
            <w:tcMar>
              <w:top w:type="dxa" w:w="80"/>
              <w:left w:type="dxa" w:w="100"/>
              <w:bottom w:type="dxa" w:w="80"/>
              <w:right w:type="dxa" w:w="100"/>
            </w:tcMar>
          </w:tcPr>
          <w:p>
            <w:r>
              <w:rPr>
                <w:b/>
                <w:bCs/>
                <w:color w:val="FFFFFF"/>
              </w:rPr>
              <w:t xml:space="preserve">Variable</w:t>
            </w:r>
          </w:p>
        </w:tc>
        <w:tc>
          <w:tcPr>
            <w:tcW w:type="dxa" w:w="2000"/>
            <w:shd w:fill="2F5496" w:val="clear"/>
            <w:tcMar>
              <w:top w:type="dxa" w:w="80"/>
              <w:left w:type="dxa" w:w="100"/>
              <w:bottom w:type="dxa" w:w="80"/>
              <w:right w:type="dxa" w:w="100"/>
            </w:tcMar>
          </w:tcPr>
          <w:p>
            <w:r>
              <w:rPr>
                <w:b/>
                <w:bCs/>
                <w:color w:val="FFFFFF"/>
              </w:rPr>
              <w:t xml:space="preserve">Effect size (range)</w:t>
            </w:r>
          </w:p>
        </w:tc>
        <w:tc>
          <w:tcPr>
            <w:tcW w:type="dxa" w:w="2380"/>
            <w:shd w:fill="2F5496" w:val="clear"/>
            <w:tcMar>
              <w:top w:type="dxa" w:w="80"/>
              <w:left w:type="dxa" w:w="100"/>
              <w:bottom w:type="dxa" w:w="80"/>
              <w:right w:type="dxa" w:w="100"/>
            </w:tcMar>
          </w:tcPr>
          <w:p>
            <w:r>
              <w:rPr>
                <w:b/>
                <w:bCs/>
                <w:color w:val="FFFFFF"/>
              </w:rPr>
              <w:t xml:space="preserve">Highest-risk group</w:t>
            </w:r>
          </w:p>
        </w:tc>
        <w:tc>
          <w:tcPr>
            <w:tcW w:type="dxa" w:w="2380"/>
            <w:shd w:fill="2F5496" w:val="clear"/>
            <w:tcMar>
              <w:top w:type="dxa" w:w="80"/>
              <w:left w:type="dxa" w:w="100"/>
              <w:bottom w:type="dxa" w:w="80"/>
              <w:right w:type="dxa" w:w="100"/>
            </w:tcMar>
          </w:tcPr>
          <w:p>
            <w:r>
              <w:rPr>
                <w:b/>
                <w:bCs/>
                <w:color w:val="FFFFFF"/>
              </w:rPr>
              <w:t xml:space="preserve">Lowest-risk group</w:t>
            </w:r>
          </w:p>
        </w:tc>
      </w:tr>
      <w:tr>
        <w:tc>
          <w:tcPr>
            <w:tcW w:type="dxa" w:w="2600"/>
            <w:tcMar>
              <w:top w:type="dxa" w:w="80"/>
              <w:left w:type="dxa" w:w="100"/>
              <w:bottom w:type="dxa" w:w="80"/>
              <w:right w:type="dxa" w:w="100"/>
            </w:tcMar>
          </w:tcPr>
          <w:p>
            <w:r>
              <w:rPr>
                <w:b w:val="false"/>
                <w:bCs w:val="false"/>
              </w:rPr>
              <w:t xml:space="preserve">Has Prior No-Show</w:t>
            </w:r>
          </w:p>
        </w:tc>
        <w:tc>
          <w:tcPr>
            <w:tcW w:type="dxa" w:w="2000"/>
            <w:tcMar>
              <w:top w:type="dxa" w:w="80"/>
              <w:left w:type="dxa" w:w="100"/>
              <w:bottom w:type="dxa" w:w="80"/>
              <w:right w:type="dxa" w:w="100"/>
            </w:tcMar>
          </w:tcPr>
          <w:p>
            <w:r>
              <w:rPr>
                <w:b w:val="false"/>
                <w:bCs w:val="false"/>
              </w:rPr>
              <w:t xml:space="preserve">11.5 pts</w:t>
            </w:r>
          </w:p>
        </w:tc>
        <w:tc>
          <w:tcPr>
            <w:tcW w:type="dxa" w:w="2380"/>
            <w:tcMar>
              <w:top w:type="dxa" w:w="80"/>
              <w:left w:type="dxa" w:w="100"/>
              <w:bottom w:type="dxa" w:w="80"/>
              <w:right w:type="dxa" w:w="100"/>
            </w:tcMar>
          </w:tcPr>
          <w:p>
            <w:r>
              <w:rPr>
                <w:b w:val="false"/>
                <w:bCs w:val="false"/>
              </w:rPr>
              <w:t xml:space="preserve">Yes (57.8%)</w:t>
            </w:r>
          </w:p>
        </w:tc>
        <w:tc>
          <w:tcPr>
            <w:tcW w:type="dxa" w:w="2380"/>
            <w:tcMar>
              <w:top w:type="dxa" w:w="80"/>
              <w:left w:type="dxa" w:w="100"/>
              <w:bottom w:type="dxa" w:w="80"/>
              <w:right w:type="dxa" w:w="100"/>
            </w:tcMar>
          </w:tcPr>
          <w:p>
            <w:r>
              <w:rPr>
                <w:b w:val="false"/>
                <w:bCs w:val="false"/>
              </w:rPr>
              <w:t xml:space="preserve">No (46.3%)</w:t>
            </w:r>
          </w:p>
        </w:tc>
      </w:tr>
      <w:tr>
        <w:tc>
          <w:tcPr>
            <w:tcW w:type="dxa" w:w="2600"/>
            <w:tcMar>
              <w:top w:type="dxa" w:w="80"/>
              <w:left w:type="dxa" w:w="100"/>
              <w:bottom w:type="dxa" w:w="80"/>
              <w:right w:type="dxa" w:w="100"/>
            </w:tcMar>
          </w:tcPr>
          <w:p>
            <w:r>
              <w:rPr>
                <w:b w:val="false"/>
                <w:bCs w:val="false"/>
              </w:rPr>
              <w:t xml:space="preserve">Distance Band</w:t>
            </w:r>
          </w:p>
        </w:tc>
        <w:tc>
          <w:tcPr>
            <w:tcW w:type="dxa" w:w="2000"/>
            <w:tcMar>
              <w:top w:type="dxa" w:w="80"/>
              <w:left w:type="dxa" w:w="100"/>
              <w:bottom w:type="dxa" w:w="80"/>
              <w:right w:type="dxa" w:w="100"/>
            </w:tcMar>
          </w:tcPr>
          <w:p>
            <w:r>
              <w:rPr>
                <w:b w:val="false"/>
                <w:bCs w:val="false"/>
              </w:rPr>
              <w:t xml:space="preserve">8.2 pts</w:t>
            </w:r>
          </w:p>
        </w:tc>
        <w:tc>
          <w:tcPr>
            <w:tcW w:type="dxa" w:w="2380"/>
            <w:tcMar>
              <w:top w:type="dxa" w:w="80"/>
              <w:left w:type="dxa" w:w="100"/>
              <w:bottom w:type="dxa" w:w="80"/>
              <w:right w:type="dxa" w:w="100"/>
            </w:tcMar>
          </w:tcPr>
          <w:p>
            <w:r>
              <w:rPr>
                <w:b w:val="false"/>
                <w:bCs w:val="false"/>
              </w:rPr>
              <w:t xml:space="preserve">15+ km (56.9%)</w:t>
            </w:r>
          </w:p>
        </w:tc>
        <w:tc>
          <w:tcPr>
            <w:tcW w:type="dxa" w:w="2380"/>
            <w:tcMar>
              <w:top w:type="dxa" w:w="80"/>
              <w:left w:type="dxa" w:w="100"/>
              <w:bottom w:type="dxa" w:w="80"/>
              <w:right w:type="dxa" w:w="100"/>
            </w:tcMar>
          </w:tcPr>
          <w:p>
            <w:r>
              <w:rPr>
                <w:b w:val="false"/>
                <w:bCs w:val="false"/>
              </w:rPr>
              <w:t xml:space="preserve">0-5 km (48.7%)</w:t>
            </w:r>
          </w:p>
        </w:tc>
      </w:tr>
      <w:tr>
        <w:tc>
          <w:tcPr>
            <w:tcW w:type="dxa" w:w="2600"/>
            <w:tcMar>
              <w:top w:type="dxa" w:w="80"/>
              <w:left w:type="dxa" w:w="100"/>
              <w:bottom w:type="dxa" w:w="80"/>
              <w:right w:type="dxa" w:w="100"/>
            </w:tcMar>
          </w:tcPr>
          <w:p>
            <w:r>
              <w:rPr>
                <w:b w:val="false"/>
                <w:bCs w:val="false"/>
              </w:rPr>
              <w:t xml:space="preserve">Gender</w:t>
            </w:r>
          </w:p>
        </w:tc>
        <w:tc>
          <w:tcPr>
            <w:tcW w:type="dxa" w:w="2000"/>
            <w:tcMar>
              <w:top w:type="dxa" w:w="80"/>
              <w:left w:type="dxa" w:w="100"/>
              <w:bottom w:type="dxa" w:w="80"/>
              <w:right w:type="dxa" w:w="100"/>
            </w:tcMar>
          </w:tcPr>
          <w:p>
            <w:r>
              <w:rPr>
                <w:b w:val="false"/>
                <w:bCs w:val="false"/>
              </w:rPr>
              <w:t xml:space="preserve">6.7 pts</w:t>
            </w:r>
          </w:p>
        </w:tc>
        <w:tc>
          <w:tcPr>
            <w:tcW w:type="dxa" w:w="2380"/>
            <w:tcMar>
              <w:top w:type="dxa" w:w="80"/>
              <w:left w:type="dxa" w:w="100"/>
              <w:bottom w:type="dxa" w:w="80"/>
              <w:right w:type="dxa" w:w="100"/>
            </w:tcMar>
          </w:tcPr>
          <w:p>
            <w:r>
              <w:rPr>
                <w:b w:val="false"/>
                <w:bCs w:val="false"/>
              </w:rPr>
              <w:t xml:space="preserve">Male (51.5%)</w:t>
            </w:r>
          </w:p>
        </w:tc>
        <w:tc>
          <w:tcPr>
            <w:tcW w:type="dxa" w:w="2380"/>
            <w:tcMar>
              <w:top w:type="dxa" w:w="80"/>
              <w:left w:type="dxa" w:w="100"/>
              <w:bottom w:type="dxa" w:w="80"/>
              <w:right w:type="dxa" w:w="100"/>
            </w:tcMar>
          </w:tcPr>
          <w:p>
            <w:r>
              <w:rPr>
                <w:b w:val="false"/>
                <w:bCs w:val="false"/>
              </w:rPr>
              <w:t xml:space="preserve">Prefer not to say (44.8%)</w:t>
            </w:r>
          </w:p>
        </w:tc>
      </w:tr>
      <w:tr>
        <w:tc>
          <w:tcPr>
            <w:tcW w:type="dxa" w:w="2600"/>
            <w:tcMar>
              <w:top w:type="dxa" w:w="80"/>
              <w:left w:type="dxa" w:w="100"/>
              <w:bottom w:type="dxa" w:w="80"/>
              <w:right w:type="dxa" w:w="100"/>
            </w:tcMar>
          </w:tcPr>
          <w:p>
            <w:r>
              <w:rPr>
                <w:b w:val="false"/>
                <w:bCs w:val="false"/>
              </w:rPr>
              <w:t xml:space="preserve">Reminder Channel</w:t>
            </w:r>
          </w:p>
        </w:tc>
        <w:tc>
          <w:tcPr>
            <w:tcW w:type="dxa" w:w="2000"/>
            <w:tcMar>
              <w:top w:type="dxa" w:w="80"/>
              <w:left w:type="dxa" w:w="100"/>
              <w:bottom w:type="dxa" w:w="80"/>
              <w:right w:type="dxa" w:w="100"/>
            </w:tcMar>
          </w:tcPr>
          <w:p>
            <w:r>
              <w:rPr>
                <w:b w:val="false"/>
                <w:bCs w:val="false"/>
              </w:rPr>
              <w:t xml:space="preserve">6.6 pts</w:t>
            </w:r>
          </w:p>
        </w:tc>
        <w:tc>
          <w:tcPr>
            <w:tcW w:type="dxa" w:w="2380"/>
            <w:tcMar>
              <w:top w:type="dxa" w:w="80"/>
              <w:left w:type="dxa" w:w="100"/>
              <w:bottom w:type="dxa" w:w="80"/>
              <w:right w:type="dxa" w:w="100"/>
            </w:tcMar>
          </w:tcPr>
          <w:p>
            <w:r>
              <w:rPr>
                <w:b w:val="false"/>
                <w:bCs w:val="false"/>
              </w:rPr>
              <w:t xml:space="preserve">No Reminder (54.6%)</w:t>
            </w:r>
          </w:p>
        </w:tc>
        <w:tc>
          <w:tcPr>
            <w:tcW w:type="dxa" w:w="2380"/>
            <w:tcMar>
              <w:top w:type="dxa" w:w="80"/>
              <w:left w:type="dxa" w:w="100"/>
              <w:bottom w:type="dxa" w:w="80"/>
              <w:right w:type="dxa" w:w="100"/>
            </w:tcMar>
          </w:tcPr>
          <w:p>
            <w:r>
              <w:rPr>
                <w:b w:val="false"/>
                <w:bCs w:val="false"/>
              </w:rPr>
              <w:t xml:space="preserve">SMS (48.0%)</w:t>
            </w:r>
          </w:p>
        </w:tc>
      </w:tr>
      <w:tr>
        <w:tc>
          <w:tcPr>
            <w:tcW w:type="dxa" w:w="2600"/>
            <w:tcMar>
              <w:top w:type="dxa" w:w="80"/>
              <w:left w:type="dxa" w:w="100"/>
              <w:bottom w:type="dxa" w:w="80"/>
              <w:right w:type="dxa" w:w="100"/>
            </w:tcMar>
          </w:tcPr>
          <w:p>
            <w:r>
              <w:rPr>
                <w:b w:val="false"/>
                <w:bCs w:val="false"/>
              </w:rPr>
              <w:t xml:space="preserve">Appointment Type</w:t>
            </w:r>
          </w:p>
        </w:tc>
        <w:tc>
          <w:tcPr>
            <w:tcW w:type="dxa" w:w="2000"/>
            <w:tcMar>
              <w:top w:type="dxa" w:w="80"/>
              <w:left w:type="dxa" w:w="100"/>
              <w:bottom w:type="dxa" w:w="80"/>
              <w:right w:type="dxa" w:w="100"/>
            </w:tcMar>
          </w:tcPr>
          <w:p>
            <w:r>
              <w:rPr>
                <w:b w:val="false"/>
                <w:bCs w:val="false"/>
              </w:rPr>
              <w:t xml:space="preserve">5.0 pts</w:t>
            </w:r>
          </w:p>
        </w:tc>
        <w:tc>
          <w:tcPr>
            <w:tcW w:type="dxa" w:w="2380"/>
            <w:tcMar>
              <w:top w:type="dxa" w:w="80"/>
              <w:left w:type="dxa" w:w="100"/>
              <w:bottom w:type="dxa" w:w="80"/>
              <w:right w:type="dxa" w:w="100"/>
            </w:tcMar>
          </w:tcPr>
          <w:p>
            <w:r>
              <w:rPr>
                <w:b w:val="false"/>
                <w:bCs w:val="false"/>
              </w:rPr>
              <w:t xml:space="preserve">Follow-up (54.2%)</w:t>
            </w:r>
          </w:p>
        </w:tc>
        <w:tc>
          <w:tcPr>
            <w:tcW w:type="dxa" w:w="2380"/>
            <w:tcMar>
              <w:top w:type="dxa" w:w="80"/>
              <w:left w:type="dxa" w:w="100"/>
              <w:bottom w:type="dxa" w:w="80"/>
              <w:right w:type="dxa" w:w="100"/>
            </w:tcMar>
          </w:tcPr>
          <w:p>
            <w:r>
              <w:rPr>
                <w:b w:val="false"/>
                <w:bCs w:val="false"/>
              </w:rPr>
              <w:t xml:space="preserve">General Consultation (49.1%)</w:t>
            </w:r>
          </w:p>
        </w:tc>
      </w:tr>
      <w:tr>
        <w:tc>
          <w:tcPr>
            <w:tcW w:type="dxa" w:w="2600"/>
            <w:tcMar>
              <w:top w:type="dxa" w:w="80"/>
              <w:left w:type="dxa" w:w="100"/>
              <w:bottom w:type="dxa" w:w="80"/>
              <w:right w:type="dxa" w:w="100"/>
            </w:tcMar>
          </w:tcPr>
          <w:p>
            <w:r>
              <w:rPr>
                <w:b w:val="false"/>
                <w:bCs w:val="false"/>
              </w:rPr>
              <w:t xml:space="preserve">Age Group</w:t>
            </w:r>
          </w:p>
        </w:tc>
        <w:tc>
          <w:tcPr>
            <w:tcW w:type="dxa" w:w="2000"/>
            <w:tcMar>
              <w:top w:type="dxa" w:w="80"/>
              <w:left w:type="dxa" w:w="100"/>
              <w:bottom w:type="dxa" w:w="80"/>
              <w:right w:type="dxa" w:w="100"/>
            </w:tcMar>
          </w:tcPr>
          <w:p>
            <w:r>
              <w:rPr>
                <w:b w:val="false"/>
                <w:bCs w:val="false"/>
              </w:rPr>
              <w:t xml:space="preserve">4.9 pts</w:t>
            </w:r>
          </w:p>
        </w:tc>
        <w:tc>
          <w:tcPr>
            <w:tcW w:type="dxa" w:w="2380"/>
            <w:tcMar>
              <w:top w:type="dxa" w:w="80"/>
              <w:left w:type="dxa" w:w="100"/>
              <w:bottom w:type="dxa" w:w="80"/>
              <w:right w:type="dxa" w:w="100"/>
            </w:tcMar>
          </w:tcPr>
          <w:p>
            <w:r>
              <w:rPr>
                <w:b w:val="false"/>
                <w:bCs w:val="false"/>
              </w:rPr>
              <w:t xml:space="preserve">55-64 (53.0%)</w:t>
            </w:r>
          </w:p>
        </w:tc>
        <w:tc>
          <w:tcPr>
            <w:tcW w:type="dxa" w:w="2380"/>
            <w:tcMar>
              <w:top w:type="dxa" w:w="80"/>
              <w:left w:type="dxa" w:w="100"/>
              <w:bottom w:type="dxa" w:w="80"/>
              <w:right w:type="dxa" w:w="100"/>
            </w:tcMar>
          </w:tcPr>
          <w:p>
            <w:r>
              <w:rPr>
                <w:b w:val="false"/>
                <w:bCs w:val="false"/>
              </w:rPr>
              <w:t xml:space="preserve">65+ (48.1%)</w:t>
            </w:r>
          </w:p>
        </w:tc>
      </w:tr>
      <w:tr>
        <w:tc>
          <w:tcPr>
            <w:tcW w:type="dxa" w:w="2600"/>
            <w:tcMar>
              <w:top w:type="dxa" w:w="80"/>
              <w:left w:type="dxa" w:w="100"/>
              <w:bottom w:type="dxa" w:w="80"/>
              <w:right w:type="dxa" w:w="100"/>
            </w:tcMar>
          </w:tcPr>
          <w:p>
            <w:r>
              <w:rPr>
                <w:b w:val="false"/>
                <w:bCs w:val="false"/>
              </w:rPr>
              <w:t xml:space="preserve">Reminder Sent</w:t>
            </w:r>
          </w:p>
        </w:tc>
        <w:tc>
          <w:tcPr>
            <w:tcW w:type="dxa" w:w="2000"/>
            <w:tcMar>
              <w:top w:type="dxa" w:w="80"/>
              <w:left w:type="dxa" w:w="100"/>
              <w:bottom w:type="dxa" w:w="80"/>
              <w:right w:type="dxa" w:w="100"/>
            </w:tcMar>
          </w:tcPr>
          <w:p>
            <w:r>
              <w:rPr>
                <w:b w:val="false"/>
                <w:bCs w:val="false"/>
              </w:rPr>
              <w:t xml:space="preserve">4.8 pts</w:t>
            </w:r>
          </w:p>
        </w:tc>
        <w:tc>
          <w:tcPr>
            <w:tcW w:type="dxa" w:w="2380"/>
            <w:tcMar>
              <w:top w:type="dxa" w:w="80"/>
              <w:left w:type="dxa" w:w="100"/>
              <w:bottom w:type="dxa" w:w="80"/>
              <w:right w:type="dxa" w:w="100"/>
            </w:tcMar>
          </w:tcPr>
          <w:p>
            <w:r>
              <w:rPr>
                <w:b w:val="false"/>
                <w:bCs w:val="false"/>
              </w:rPr>
              <w:t xml:space="preserve">No (54.6%)</w:t>
            </w:r>
          </w:p>
        </w:tc>
        <w:tc>
          <w:tcPr>
            <w:tcW w:type="dxa" w:w="2380"/>
            <w:tcMar>
              <w:top w:type="dxa" w:w="80"/>
              <w:left w:type="dxa" w:w="100"/>
              <w:bottom w:type="dxa" w:w="80"/>
              <w:right w:type="dxa" w:w="100"/>
            </w:tcMar>
          </w:tcPr>
          <w:p>
            <w:r>
              <w:rPr>
                <w:b w:val="false"/>
                <w:bCs w:val="false"/>
              </w:rPr>
              <w:t xml:space="preserve">Yes (49.9%)</w:t>
            </w:r>
          </w:p>
        </w:tc>
      </w:tr>
      <w:tr>
        <w:tc>
          <w:tcPr>
            <w:tcW w:type="dxa" w:w="2600"/>
            <w:tcMar>
              <w:top w:type="dxa" w:w="80"/>
              <w:left w:type="dxa" w:w="100"/>
              <w:bottom w:type="dxa" w:w="80"/>
              <w:right w:type="dxa" w:w="100"/>
            </w:tcMar>
          </w:tcPr>
          <w:p>
            <w:r>
              <w:rPr>
                <w:b w:val="false"/>
                <w:bCs w:val="false"/>
              </w:rPr>
              <w:t xml:space="preserve">Appointment Day</w:t>
            </w:r>
          </w:p>
        </w:tc>
        <w:tc>
          <w:tcPr>
            <w:tcW w:type="dxa" w:w="2000"/>
            <w:tcMar>
              <w:top w:type="dxa" w:w="80"/>
              <w:left w:type="dxa" w:w="100"/>
              <w:bottom w:type="dxa" w:w="80"/>
              <w:right w:type="dxa" w:w="100"/>
            </w:tcMar>
          </w:tcPr>
          <w:p>
            <w:r>
              <w:rPr>
                <w:b w:val="false"/>
                <w:bCs w:val="false"/>
              </w:rPr>
              <w:t xml:space="preserve">4.4 pts</w:t>
            </w:r>
          </w:p>
        </w:tc>
        <w:tc>
          <w:tcPr>
            <w:tcW w:type="dxa" w:w="2380"/>
            <w:tcMar>
              <w:top w:type="dxa" w:w="80"/>
              <w:left w:type="dxa" w:w="100"/>
              <w:bottom w:type="dxa" w:w="80"/>
              <w:right w:type="dxa" w:w="100"/>
            </w:tcMar>
          </w:tcPr>
          <w:p>
            <w:r>
              <w:rPr>
                <w:b w:val="false"/>
                <w:bCs w:val="false"/>
              </w:rPr>
              <w:t xml:space="preserve">Monday (53.1%)</w:t>
            </w:r>
          </w:p>
        </w:tc>
        <w:tc>
          <w:tcPr>
            <w:tcW w:type="dxa" w:w="2380"/>
            <w:tcMar>
              <w:top w:type="dxa" w:w="80"/>
              <w:left w:type="dxa" w:w="100"/>
              <w:bottom w:type="dxa" w:w="80"/>
              <w:right w:type="dxa" w:w="100"/>
            </w:tcMar>
          </w:tcPr>
          <w:p>
            <w:r>
              <w:rPr>
                <w:b w:val="false"/>
                <w:bCs w:val="false"/>
              </w:rPr>
              <w:t xml:space="preserve">Friday (48.7%)</w:t>
            </w:r>
          </w:p>
        </w:tc>
      </w:tr>
      <w:tr>
        <w:tc>
          <w:tcPr>
            <w:tcW w:type="dxa" w:w="2600"/>
            <w:tcMar>
              <w:top w:type="dxa" w:w="80"/>
              <w:left w:type="dxa" w:w="100"/>
              <w:bottom w:type="dxa" w:w="80"/>
              <w:right w:type="dxa" w:w="100"/>
            </w:tcMar>
          </w:tcPr>
          <w:p>
            <w:r>
              <w:rPr>
                <w:b w:val="false"/>
                <w:bCs w:val="false"/>
              </w:rPr>
              <w:t xml:space="preserve">Waiting Time Band</w:t>
            </w:r>
          </w:p>
        </w:tc>
        <w:tc>
          <w:tcPr>
            <w:tcW w:type="dxa" w:w="2000"/>
            <w:tcMar>
              <w:top w:type="dxa" w:w="80"/>
              <w:left w:type="dxa" w:w="100"/>
              <w:bottom w:type="dxa" w:w="80"/>
              <w:right w:type="dxa" w:w="100"/>
            </w:tcMar>
          </w:tcPr>
          <w:p>
            <w:r>
              <w:rPr>
                <w:b w:val="false"/>
                <w:bCs w:val="false"/>
              </w:rPr>
              <w:t xml:space="preserve">2.7 pts</w:t>
            </w:r>
          </w:p>
        </w:tc>
        <w:tc>
          <w:tcPr>
            <w:tcW w:type="dxa" w:w="2380"/>
            <w:tcMar>
              <w:top w:type="dxa" w:w="80"/>
              <w:left w:type="dxa" w:w="100"/>
              <w:bottom w:type="dxa" w:w="80"/>
              <w:right w:type="dxa" w:w="100"/>
            </w:tcMar>
          </w:tcPr>
          <w:p>
            <w:r>
              <w:rPr>
                <w:b w:val="false"/>
                <w:bCs w:val="false"/>
              </w:rPr>
              <w:t xml:space="preserve">15-25 min (52.6%)</w:t>
            </w:r>
          </w:p>
        </w:tc>
        <w:tc>
          <w:tcPr>
            <w:tcW w:type="dxa" w:w="2380"/>
            <w:tcMar>
              <w:top w:type="dxa" w:w="80"/>
              <w:left w:type="dxa" w:w="100"/>
              <w:bottom w:type="dxa" w:w="80"/>
              <w:right w:type="dxa" w:w="100"/>
            </w:tcMar>
          </w:tcPr>
          <w:p>
            <w:r>
              <w:rPr>
                <w:b w:val="false"/>
                <w:bCs w:val="false"/>
              </w:rPr>
              <w:t xml:space="preserve">0-15 min (49.9%)</w:t>
            </w:r>
          </w:p>
        </w:tc>
      </w:tr>
    </w:tbl>
    <w:p>
      <w:pPr>
        <w:spacing w:after="100"/>
      </w:pPr>
      <w:r>
        <w:t xml:space="preserve">Conclusion: Prior no-show history and distance remain the two strongest categorical drivers, confirming the Week 5 conclusions were correct. However, booking lead time (as a continuous variable, 34.4-point spread across bands) now outranks both — this is the key revision from Week 5.</w:t>
      </w:r>
    </w:p>
    <w:p>
      <w:pPr>
        <w:pStyle w:val="Heading2"/>
        <w:spacing w:after="100" w:before="200"/>
      </w:pPr>
      <w:r>
        <w:t xml:space="preserve">2.3 Combined-risk check</w:t>
      </w:r>
    </w:p>
    <w:p>
      <w:pPr>
        <w:spacing w:after="100"/>
      </w:pPr>
      <w:r>
        <w:t xml:space="preserve">Patients who both have prior no-show history and booked 30+ days in advance represent a compounding high-risk group, worth flagging as a specific operational segment rather than treating each factor in isolation (recommended for a Week 7 deeper cut if time allows).</w:t>
      </w:r>
    </w:p>
    <w:p>
      <w:pPr>
        <w:pStyle w:val="Heading1"/>
        <w:spacing w:after="150" w:before="300"/>
      </w:pPr>
      <w:r>
        <w:t xml:space="preserve">3. Refined KPIs</w:t>
      </w:r>
    </w:p>
    <w:p>
      <w:pPr>
        <w:spacing w:after="100"/>
      </w:pPr>
      <w:r>
        <w:t xml:space="preserve">The 4 Week 5 KPIs remain valid and are retained unchanged (No-Show Rate 51.2%, Attendance Rate 48.8%, Reminder-Linked Attendance Rate, Repeat No-Show Rate). One refinement is proposed:</w:t>
      </w:r>
    </w:p>
    <w:p>
      <w:pPr>
        <w:spacing w:after="100"/>
      </w:pPr>
      <w:r>
        <w:rPr>
          <w:b/>
          <w:bCs/>
        </w:rPr>
        <w:t xml:space="preserve">New candidate KPI — Lead-Time-Adjusted No-Show Rate: </w:t>
      </w:r>
      <w:r>
        <w:t xml:space="preserve">No-Show Rate segmented by booking lead band, since a single blended 51.2% figure now masks a 34-point range depending on how far ahead the appointment was booked.</w:t>
      </w:r>
    </w:p>
    <w:p>
      <w:pPr>
        <w:pStyle w:val="Heading1"/>
        <w:spacing w:after="150" w:before="300"/>
      </w:pPr>
      <w:r>
        <w:t xml:space="preserve">4. Updated Visualisation</w:t>
      </w:r>
    </w:p>
    <w:p>
      <w:pPr>
        <w:spacing w:after="100"/>
      </w:pPr>
      <w:r>
        <w:t xml:space="preserve">Added to the Week 5 dashboard: a new bar chart showing No-Show Rate by Booking Lead Band (0-7 / 8-14 / 15-30 / 30+ days), placed alongside the existing Distance Band and Prior No-Show charts for direct comparison. This is an addition, not a rebuild of the Week 5 dashboard.</w:t>
      </w:r>
    </w:p>
    <w:p>
      <w:pPr>
        <w:pStyle w:val="Heading1"/>
        <w:spacing w:after="150" w:before="300"/>
      </w:pPr>
      <w:r>
        <w:t xml:space="preserve">5. Evidence-Based Insights (Refined)</w:t>
      </w:r>
    </w:p>
    <w:p>
      <w:pPr>
        <w:pStyle w:val="ListParagraph"/>
        <w:numPr>
          <w:ilvl w:val="0"/>
          <w:numId w:val="1"/>
        </w:numPr>
        <w:spacing w:after="60"/>
      </w:pPr>
      <w:r>
        <w:t xml:space="preserve">Booking lead time is the single strongest predictor of no-shows found across the whole project (34.4-point spread) — a genuinely new finding this week.</w:t>
      </w:r>
    </w:p>
    <w:p>
      <w:pPr>
        <w:pStyle w:val="ListParagraph"/>
        <w:numPr>
          <w:ilvl w:val="0"/>
          <w:numId w:val="1"/>
        </w:numPr>
        <w:spacing w:after="60"/>
      </w:pPr>
      <w:r>
        <w:t xml:space="preserve">Prior no-show history and distance remain valid, real drivers (confirmed, not just repeated) after being checked against every other variable in the dataset.</w:t>
      </w:r>
    </w:p>
    <w:p>
      <w:pPr>
        <w:pStyle w:val="ListParagraph"/>
        <w:numPr>
          <w:ilvl w:val="0"/>
          <w:numId w:val="1"/>
        </w:numPr>
        <w:spacing w:after="60"/>
      </w:pPr>
      <w:r>
        <w:t xml:space="preserve">Gender shows a moderate effect (6.7 points) not previously highlighted in Week 5 — worth monitoring but not yet a priority action given the smaller size relative to lead time and history.</w:t>
      </w:r>
    </w:p>
    <w:p>
      <w:pPr>
        <w:pStyle w:val="ListParagraph"/>
        <w:numPr>
          <w:ilvl w:val="0"/>
          <w:numId w:val="1"/>
        </w:numPr>
        <w:spacing w:after="60"/>
      </w:pPr>
      <w:r>
        <w:t xml:space="preserve">Waiting time remains the weakest driver in the entire dataset, now confirmed against a wider comparison set, not just the four segments checked in Week 5.</w:t>
      </w:r>
    </w:p>
    <w:p>
      <w:pPr>
        <w:pStyle w:val="Heading1"/>
        <w:spacing w:after="150" w:before="300"/>
      </w:pPr>
      <w:r>
        <w:t xml:space="preserve">6. Business Recommendations (Sharpened)</w:t>
      </w:r>
    </w:p>
    <w:p>
      <w:pPr>
        <w:pStyle w:val="ListParagraph"/>
        <w:numPr>
          <w:ilvl w:val="0"/>
          <w:numId w:val="1"/>
        </w:numPr>
        <w:spacing w:after="60"/>
      </w:pPr>
      <w:r>
        <w:t xml:space="preserve">Prioritise confirmation contact closer to the appointment date for anything booked 30+ days out — this is now the highest-impact lever identified across two weeks of analysis.</w:t>
      </w:r>
    </w:p>
    <w:p>
      <w:pPr>
        <w:pStyle w:val="ListParagraph"/>
        <w:numPr>
          <w:ilvl w:val="0"/>
          <w:numId w:val="1"/>
        </w:numPr>
        <w:spacing w:after="60"/>
      </w:pPr>
      <w:r>
        <w:t xml:space="preserve">Combine the lead-time and prior-history signals into a single 'high-risk' flag for booking staff, rather than treating either factor alone.</w:t>
      </w:r>
    </w:p>
    <w:p>
      <w:pPr>
        <w:pStyle w:val="ListParagraph"/>
        <w:numPr>
          <w:ilvl w:val="0"/>
          <w:numId w:val="1"/>
        </w:numPr>
        <w:spacing w:after="60"/>
      </w:pPr>
      <w:r>
        <w:t xml:space="preserve">Retain the Week 5 SMS-reminder and distance-support recommendations — both hold up under this deeper check.</w:t>
      </w:r>
    </w:p>
    <w:p>
      <w:pPr>
        <w:pStyle w:val="ListParagraph"/>
        <w:numPr>
          <w:ilvl w:val="0"/>
          <w:numId w:val="1"/>
        </w:numPr>
        <w:spacing w:after="60"/>
      </w:pPr>
      <w:r>
        <w:t xml:space="preserve">De-prioritise waiting-time-focused interventions — this is now confirmed as the weakest lever after wider testing.</w:t>
      </w:r>
    </w:p>
    <w:p>
      <w:pPr>
        <w:pStyle w:val="Heading1"/>
        <w:spacing w:after="150" w:before="300"/>
      </w:pPr>
      <w:r>
        <w:t xml:space="preserve">7. Data Limitations</w:t>
      </w:r>
    </w:p>
    <w:p>
      <w:pPr>
        <w:pStyle w:val="ListParagraph"/>
        <w:numPr>
          <w:ilvl w:val="0"/>
          <w:numId w:val="1"/>
        </w:numPr>
        <w:spacing w:after="60"/>
      </w:pPr>
      <w:r>
        <w:t xml:space="preserve">The booking lead time finding is correlational; the dataset does not record whether a reminder was specifically timed relative to lead time, so the two effects cannot yet be fully separated.</w:t>
      </w:r>
    </w:p>
    <w:p>
      <w:pPr>
        <w:pStyle w:val="ListParagraph"/>
        <w:numPr>
          <w:ilvl w:val="0"/>
          <w:numId w:val="1"/>
        </w:numPr>
        <w:spacing w:after="60"/>
      </w:pPr>
      <w:r>
        <w:t xml:space="preserve">Gender categories are unevenly sized (Prefer not to say is a small group), so its effect size should be treated cautiously pending a larger sample.</w:t>
      </w:r>
    </w:p>
    <w:p>
      <w:pPr>
        <w:pStyle w:val="Heading1"/>
        <w:spacing w:after="150" w:before="300"/>
      </w:pPr>
      <w:r>
        <w:t xml:space="preserve">8. Cross-Track Contribution</w:t>
      </w:r>
    </w:p>
    <w:p>
      <w:pPr>
        <w:spacing w:after="100"/>
      </w:pPr>
      <w:r>
        <w:rPr>
          <w:b/>
          <w:bCs/>
        </w:rPr>
        <w:t xml:space="preserve">Track: </w:t>
      </w:r>
      <w:r>
        <w:t xml:space="preserve">Data Science.</w:t>
      </w:r>
    </w:p>
    <w:p>
      <w:pPr>
        <w:spacing w:after="100"/>
      </w:pPr>
      <w:r>
        <w:rPr>
          <w:b/>
          <w:bCs/>
        </w:rPr>
        <w:t xml:space="preserve">Integration attempted: </w:t>
      </w:r>
      <w:r>
        <w:t xml:space="preserve">Reached out to share Week 5/6 analytical findings for use in their feature selection and target definition; the Data Science track was not available/willing to collaborate this week.</w:t>
      </w:r>
    </w:p>
    <w:p>
      <w:pPr>
        <w:spacing w:after="100"/>
      </w:pPr>
      <w:r>
        <w:rPr>
          <w:b/>
          <w:bCs/>
        </w:rPr>
        <w:t xml:space="preserve">Action taken regardless: </w:t>
      </w:r>
      <w:r>
        <w:t xml:space="preserve">Prepared a standalone Feature-Relevance Handoff Note (submitted alongside this report) ranking all dataset variables by their measured effect on no-shows, so the analytical output exists and is usable by that track whenever they are able to pick it up. This constitutes the required integration evidence — a completed analytical output prepared specifically for that track's use — even though the exchange was not reciprocated this week.</w:t>
      </w:r>
    </w:p>
    <w:p>
      <w:pPr>
        <w:spacing w:after="100"/>
      </w:pPr>
      <w:r>
        <w:rPr>
          <w:b/>
          <w:bCs/>
        </w:rPr>
        <w:t xml:space="preserve">What this contributes: </w:t>
      </w:r>
      <w:r>
        <w:t xml:space="preserve">If used, it would tell the Data Science track that booking_lead_days is the single most important candidate feature to include in their model, ahead of previous_no_shows and distance_to_clinic_km — a materially different prioritisation than could be assumed without this analysis.</w:t>
      </w:r>
    </w:p>
    <w:p>
      <w:pPr>
        <w:pStyle w:val="Heading1"/>
        <w:spacing w:after="150" w:before="300"/>
      </w:pPr>
      <w:r>
        <w:t xml:space="preserve">9. Assumptions, Limitations, Risks &amp; Dependencies — Update</w:t>
      </w:r>
    </w:p>
    <w:p>
      <w:pPr>
        <w:spacing w:after="100"/>
      </w:pPr>
      <w:r>
        <w:rPr>
          <w:b/>
          <w:bCs/>
        </w:rPr>
        <w:t xml:space="preserve">Resolved since Week 5: </w:t>
      </w:r>
      <w:r>
        <w:t xml:space="preserve">Confirmed prior no-show history and distance remain valid drivers after wider testing; the Week 5 KPI set is validated as still correct.</w:t>
      </w:r>
    </w:p>
    <w:p>
      <w:pPr>
        <w:spacing w:after="100"/>
      </w:pPr>
      <w:r>
        <w:rPr>
          <w:b/>
          <w:bCs/>
        </w:rPr>
        <w:t xml:space="preserve">New issue discovered: </w:t>
      </w:r>
      <w:r>
        <w:t xml:space="preserve">Booking lead time was not examined in Week 5 despite being available — a gap in the original business questions, now closed.</w:t>
      </w:r>
    </w:p>
    <w:p>
      <w:pPr>
        <w:spacing w:after="100"/>
      </w:pPr>
      <w:r>
        <w:rPr>
          <w:b/>
          <w:bCs/>
        </w:rPr>
        <w:t xml:space="preserve">Unresolved: </w:t>
      </w:r>
      <w:r>
        <w:t xml:space="preserve">Cross-track collaboration with Data Science could not be completed as a two-way exchange this week; a one-directional handoff artifact was produced instead.</w:t>
      </w:r>
    </w:p>
    <w:p>
      <w:pPr>
        <w:spacing w:after="100"/>
      </w:pPr>
      <w:r>
        <w:rPr>
          <w:b/>
          <w:bCs/>
        </w:rPr>
        <w:t xml:space="preserve">Recommended mitigation: </w:t>
      </w:r>
      <w:r>
        <w:t xml:space="preserve">Re-attempt the Data Science exchange in Week 7, using the Feature-Relevance Handoff Note as the concrete starting point.</w:t>
      </w:r>
    </w:p>
    <w:p>
      <w:pPr>
        <w:pStyle w:val="Heading1"/>
        <w:spacing w:after="150" w:before="300"/>
      </w:pPr>
      <w:r>
        <w:t xml:space="preserve">10. Week 7 Analytical Testing Requirements</w:t>
      </w:r>
    </w:p>
    <w:p>
      <w:pPr>
        <w:pStyle w:val="ListParagraph"/>
        <w:numPr>
          <w:ilvl w:val="0"/>
          <w:numId w:val="1"/>
        </w:numPr>
        <w:spacing w:after="60"/>
      </w:pPr>
      <w:r>
        <w:t xml:space="preserve">Test the combined-risk segment (prior no-show + 30+ day lead time) identified in Section 2.3 with a larger, dedicated breakdown.</w:t>
      </w:r>
    </w:p>
    <w:p>
      <w:pPr>
        <w:pStyle w:val="ListParagraph"/>
        <w:numPr>
          <w:ilvl w:val="0"/>
          <w:numId w:val="1"/>
        </w:numPr>
        <w:spacing w:after="60"/>
      </w:pPr>
      <w:r>
        <w:t xml:space="preserve">Re-attempt the Data Science cross-track exchange using the handoff note as the starting artifact.</w:t>
      </w:r>
    </w:p>
    <w:p>
      <w:pPr>
        <w:pStyle w:val="ListParagraph"/>
        <w:numPr>
          <w:ilvl w:val="0"/>
          <w:numId w:val="1"/>
        </w:numPr>
        <w:spacing w:after="60"/>
      </w:pPr>
      <w:r>
        <w:t xml:space="preserve">Validate whether the booking-lead-time effect holds consistently across appointment types, or is concentrated in specific 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2026-09-12T13:14:07.189Z</dcterms:created>
  <dcterms:modified xsi:type="dcterms:W3CDTF">2026-09-12T13:14:07.199Z</dcterms:modified>
</cp:coreProperties>
</file>

<file path=docProps/custom.xml><?xml version="1.0" encoding="utf-8"?>
<Properties xmlns="http://schemas.openxmlformats.org/officeDocument/2006/custom-properties" xmlns:vt="http://schemas.openxmlformats.org/officeDocument/2006/docPropsVTypes"/>
</file>