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media/image1.png" ContentType="image/jpeg"/>
  <Override PartName="/word/media/image10.png" ContentType="image/jpeg"/>
  <Override PartName="/word/media/image11.png" ContentType="image/jpeg"/>
  <Override PartName="/word/media/image12.png" ContentType="image/jpeg"/>
  <Override PartName="/word/media/image13.png" ContentType="image/jpeg"/>
  <Override PartName="/word/media/image14.png" ContentType="image/jpeg"/>
  <Override PartName="/word/media/image2.png" ContentType="image/jpeg"/>
  <Override PartName="/word/media/image3.png" ContentType="image/jpeg"/>
  <Override PartName="/word/media/image4.png" ContentType="image/jpeg"/>
  <Override PartName="/word/media/image5.png" ContentType="image/jpeg"/>
  <Override PartName="/word/media/image6.png" ContentType="image/jpeg"/>
  <Override PartName="/word/media/image7.png" ContentType="image/jpeg"/>
  <Override PartName="/word/media/image8.png" ContentType="image/jpeg"/>
  <Override PartName="/word/media/image9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Módulo 7 Testes do sistema de estoque</w:t>
      </w:r>
    </w:p>
    <w:p>
      <w:pPr>
        <w:pStyle w:val="Subtitle"/>
      </w:pPr>
      <w:r>
        <w:t>Almoxarifado de produtos</w:t>
      </w:r>
    </w:p>
    <w:p>
      <w:pPr>
        <w:spacing w:after="60"/>
      </w:pPr>
      <w:r>
        <w:rPr>
          <w:b/>
        </w:rPr>
        <w:t xml:space="preserve">Autor: </w:t>
      </w:r>
      <w:r>
        <w:t>Pedro</w:t>
      </w:r>
    </w:p>
    <w:p>
      <w:pPr>
        <w:spacing w:after="60"/>
      </w:pPr>
      <w:r>
        <w:rPr>
          <w:b/>
        </w:rPr>
        <w:t xml:space="preserve">Execução prática: </w:t>
      </w:r>
      <w:r>
        <w:t>Execução pela interface com assistência do Codex</w:t>
      </w:r>
    </w:p>
    <w:p>
      <w:pPr>
        <w:spacing w:after="60"/>
      </w:pPr>
      <w:r>
        <w:rPr>
          <w:b/>
        </w:rPr>
        <w:t xml:space="preserve">Período prático: </w:t>
      </w:r>
      <w:r>
        <w:t>09/10/2026 00:03:03 a 09/10/2026 00:12:52 no fuso America/Sao_Paulo</w:t>
      </w:r>
    </w:p>
    <w:p>
      <w:r>
        <w:t>Este relatório registra a aplicação do Módulo 7 no almoxarifado: planejamento, dez casos práticos, evidências do Postman e MySQL Workbench, rastreabilidade, relatório de defeito, reteste e exercícios. O domínio Produto substitui Livro mantendo as operações ensinadas no material.</w:t>
      </w:r>
    </w:p>
    <w:p>
      <w:r>
        <w:t>A execução pela interface registrou 10 casos aprovados de 10. A regressão automática complementar registrou 22 aprovações em 22 casos. O defeito DFV01 foi identificado no verificador, corrigido e fechado após reteste; a rodada final não apresenta defeitos abertos.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1008"/>
        <w:gridCol w:w="1152"/>
        <w:gridCol w:w="1152"/>
        <w:gridCol w:w="1296"/>
        <w:gridCol w:w="1152"/>
      </w:tblGrid>
      <w:tr>
        <w:trPr>
          <w:tblHeader/>
          <w:cantSplit/>
        </w:trPr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64563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Rodada</w:t>
            </w:r>
          </w:p>
        </w:tc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64563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Total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64563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Passou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64563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Falhou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64563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Bloqueado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64563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Abertos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sz w:val="20"/>
              </w:rPr>
              <w:t>Interface Postman e Workbench</w:t>
            </w:r>
          </w:p>
        </w:tc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sz w:val="20"/>
              </w:rPr>
              <w:t>10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sz w:val="20"/>
              </w:rPr>
              <w:t>10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sz w:val="20"/>
              </w:rPr>
              <w:t>0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sz w:val="20"/>
              </w:rPr>
              <w:t>0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sz w:val="20"/>
              </w:rPr>
              <w:t>0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sz w:val="20"/>
              </w:rPr>
              <w:t>Regressão automática</w:t>
            </w:r>
          </w:p>
        </w:tc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sz w:val="20"/>
              </w:rPr>
              <w:t>22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sz w:val="20"/>
              </w:rPr>
              <w:t>22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sz w:val="20"/>
              </w:rPr>
              <w:t>0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sz w:val="20"/>
              </w:rPr>
              <w:t>0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sz w:val="20"/>
              </w:rPr>
              <w:t>0</w:t>
            </w:r>
          </w:p>
        </w:tc>
      </w:tr>
    </w:tbl>
    <w:p>
      <w:pPr>
        <w:spacing w:after="40"/>
      </w:pPr>
    </w:p>
    <w:p>
      <w:r>
        <w:t>A aceitação pelo professor ou usuário final depende de avaliação efetiva e não é presumida neste registro. Os dez casos práticos têm IDs M7-CT01 a M7-CT10; os 22 casos automatizados têm IDs CT01 a CT22. Essa distinção permite consultar cada evidência sem confundir as rodadas.</w:t>
      </w:r>
    </w:p>
    <w:p>
      <w:pPr>
        <w:pStyle w:val="Heading1"/>
      </w:pPr>
      <w:r>
        <w:t>1 Plano de testes</w:t>
      </w:r>
    </w:p>
    <w:p>
      <w:pPr>
        <w:spacing w:after="60"/>
      </w:pPr>
      <w:r>
        <w:rPr>
          <w:b/>
        </w:rPr>
        <w:t xml:space="preserve">Objetivo: </w:t>
      </w:r>
      <w:r>
        <w:t>Verificar os requisitos RF01 a RF07, RNF01 a RNF05 e RN01 a RN05 por comparação entre esperado, resposta HTTP e persistência no MySQL.</w:t>
      </w:r>
    </w:p>
    <w:p>
      <w:pPr>
        <w:spacing w:after="60"/>
      </w:pPr>
      <w:r>
        <w:rPr>
          <w:b/>
        </w:rPr>
        <w:t xml:space="preserve">Escopo: </w:t>
      </w:r>
      <w:r>
        <w:t>Cadastro de usuário, login, cadastro e listagem de produtos, exclusão por perfil e movimentação de entrada ou saída. Telas de frontend, capacidade sob carga e aceitação formal ficam fora desta execução.</w:t>
      </w:r>
    </w:p>
    <w:p>
      <w:pPr>
        <w:spacing w:after="60"/>
      </w:pPr>
      <w:r>
        <w:rPr>
          <w:b/>
        </w:rPr>
        <w:t xml:space="preserve">Ambiente prático: </w:t>
      </w:r>
      <w:r>
        <w:t>Windows; Node.js v24.18.0; MySQL 8.0.46 em 127.0.0.1:3311; API http://localhost:3007; Postman e MySQL Workbench.</w:t>
      </w:r>
    </w:p>
    <w:p>
      <w:pPr>
        <w:spacing w:after="60"/>
      </w:pPr>
      <w:r>
        <w:rPr>
          <w:b/>
        </w:rPr>
        <w:t xml:space="preserve">Massa prática: </w:t>
      </w:r>
      <w:r>
        <w:t>Administrador e operador preparados; três produtos iniciais, dois contendo o trecho dom no nome; cadastro adicional reservado à exclusão. O produto de movimentação é preservado. Schema senai_estoque_m7_20261009030134150_5906a7.</w:t>
      </w:r>
    </w:p>
    <w:p>
      <w:pPr>
        <w:spacing w:after="60"/>
      </w:pPr>
      <w:r>
        <w:rPr>
          <w:b/>
        </w:rPr>
        <w:t xml:space="preserve">Estratégia: </w:t>
      </w:r>
      <w:r>
        <w:t>Teste de sistema e integração por requisições HTTP e conferência no MySQL. Tipos funcional, segurança, usabilidade e desempenho local. Técnica de caixa preta, com comparação dos limites zero e uma unidade e regressão após a correção do verificador.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7344"/>
      </w:tblGrid>
      <w:tr>
        <w:trPr>
          <w:tblHeader/>
          <w:cantSplit/>
        </w:trPr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64563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Critério</w:t>
            </w:r>
          </w:p>
        </w:tc>
        <w:tc>
          <w:tcPr>
            <w:tcW w:type="dxa" w:w="73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64563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Condição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sz w:val="20"/>
              </w:rPr>
              <w:t>Entrada</w:t>
            </w:r>
          </w:p>
        </w:tc>
        <w:tc>
          <w:tcPr>
            <w:tcW w:type="dxa" w:w="73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rFonts w:ascii="Arial" w:hAnsi="Arial"/>
                <w:sz w:val="20"/>
              </w:rPr>
              <w:t>Servidor iniciado sem erro, schema preparado, um administrador e um operador cadastrados e pelo menos três produtos.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sz w:val="20"/>
              </w:rPr>
              <w:t>Saída</w:t>
            </w:r>
          </w:p>
        </w:tc>
        <w:tc>
          <w:tcPr>
            <w:tcW w:type="dxa" w:w="73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rFonts w:ascii="Arial" w:hAnsi="Arial"/>
                <w:sz w:val="20"/>
              </w:rPr>
              <w:t>100% dos casos executados e nenhum defeito crítico ou alto aberto. Nesta entrega, a rodada final também exige todos os casos aprovados.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sz w:val="20"/>
              </w:rPr>
              <w:t>Ordem</w:t>
            </w:r>
          </w:p>
        </w:tc>
        <w:tc>
          <w:tcPr>
            <w:tcW w:type="dxa" w:w="73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rFonts w:ascii="Arial" w:hAnsi="Arial"/>
                <w:sz w:val="20"/>
              </w:rPr>
              <w:t>M7-CT05 precede M7-CT06. Cadastro da movimentação usa produto preservado, distinto daquele excluído.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sz w:val="20"/>
              </w:rPr>
              <w:t>Definição prévia</w:t>
            </w:r>
          </w:p>
        </w:tc>
        <w:tc>
          <w:tcPr>
            <w:tcW w:type="dxa" w:w="73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rFonts w:ascii="Arial" w:hAnsi="Arial"/>
                <w:sz w:val="20"/>
              </w:rPr>
              <w:t>Os dez esperados foram registrados em casos-praticos.json antes dos envios. Os 22 esperados automatizados vieram de casos.json antes da execução.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6768"/>
      </w:tblGrid>
      <w:tr>
        <w:trPr>
          <w:tblHeader/>
          <w:cantSplit/>
        </w:trPr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64563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Responsável</w:t>
            </w:r>
          </w:p>
        </w:tc>
        <w:tc>
          <w:tcPr>
            <w:tcW w:type="dxa" w:w="67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64563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Atividade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sz w:val="20"/>
              </w:rPr>
              <w:t>Pedro</w:t>
            </w:r>
          </w:p>
        </w:tc>
        <w:tc>
          <w:tcPr>
            <w:tcW w:type="dxa" w:w="67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rFonts w:ascii="Arial" w:hAnsi="Arial"/>
                <w:sz w:val="20"/>
              </w:rPr>
              <w:t>Autor do trabalho e destinatário da entrega para apresentação.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sz w:val="20"/>
              </w:rPr>
              <w:t>Codex</w:t>
            </w:r>
          </w:p>
        </w:tc>
        <w:tc>
          <w:tcPr>
            <w:tcW w:type="dxa" w:w="67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rFonts w:ascii="Arial" w:hAnsi="Arial"/>
                <w:sz w:val="20"/>
              </w:rPr>
              <w:t>Assistência na execução pela interface, organização das evidências e execução técnica da regressão automática.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sz w:val="20"/>
              </w:rPr>
              <w:t>Professor ou usuário final</w:t>
            </w:r>
          </w:p>
        </w:tc>
        <w:tc>
          <w:tcPr>
            <w:tcW w:type="dxa" w:w="67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rFonts w:ascii="Arial" w:hAnsi="Arial"/>
                <w:sz w:val="20"/>
              </w:rPr>
              <w:t>Avaliação e eventual aceitação; aprovação não registrada.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6192"/>
      </w:tblGrid>
      <w:tr>
        <w:trPr>
          <w:tblHeader/>
          <w:cantSplit/>
        </w:trP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64563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Etapa</w:t>
            </w:r>
          </w:p>
        </w:tc>
        <w:tc>
          <w:tcPr>
            <w:tcW w:type="dxa" w:w="61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64563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Data e evidência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sz w:val="20"/>
              </w:rPr>
              <w:t>Esperados práticos definidos</w:t>
            </w:r>
          </w:p>
        </w:tc>
        <w:tc>
          <w:tcPr>
            <w:tcW w:type="dxa" w:w="61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rFonts w:ascii="Arial" w:hAnsi="Arial"/>
                <w:sz w:val="20"/>
              </w:rPr>
              <w:t>09/10/2026 00:01:39; casos-praticos.json.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sz w:val="20"/>
              </w:rPr>
              <w:t>Execução pela interface</w:t>
            </w:r>
          </w:p>
        </w:tc>
        <w:tc>
          <w:tcPr>
            <w:tcW w:type="dxa" w:w="61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rFonts w:ascii="Arial" w:hAnsi="Arial"/>
                <w:sz w:val="20"/>
              </w:rPr>
              <w:t>09/10/2026 00:03:03 a 09/10/2026 00:12:52; evidencias-interface.json e 14 capturas.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sz w:val="20"/>
              </w:rPr>
              <w:t>Regressão automática final</w:t>
            </w:r>
          </w:p>
        </w:tc>
        <w:tc>
          <w:tcPr>
            <w:tcW w:type="dxa" w:w="61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rFonts w:ascii="Arial" w:hAnsi="Arial"/>
                <w:sz w:val="20"/>
              </w:rPr>
              <w:t>08/10/2026 22:37:11 a 08/10/2026 22:37:15; execucao.json.</w:t>
            </w:r>
          </w:p>
        </w:tc>
      </w:tr>
    </w:tbl>
    <w:p>
      <w:pPr>
        <w:spacing w:after="40"/>
      </w:pPr>
    </w:p>
    <w:p>
      <w:pPr>
        <w:spacing w:after="60"/>
      </w:pPr>
      <w:r>
        <w:rPr>
          <w:b/>
        </w:rPr>
        <w:t xml:space="preserve">Fontes: </w:t>
      </w:r>
      <w:r>
        <w:t>SENAI Módulo 7 Testes de Sistema, páginas 5 a 11; casos-praticos.json, resultados-praticos.json e evidencias-interface.json na pasta docs/modulo7; casos.json, testes.xlsx, testes.md e exercicios.md na pasta docs; histórico automático na pasta docs/evidencias.</w:t>
      </w:r>
    </w:p>
    <w:p>
      <w:r>
        <w:br w:type="page"/>
      </w:r>
    </w:p>
    <w:p>
      <w:pPr>
        <w:pStyle w:val="Heading1"/>
      </w:pPr>
      <w:r>
        <w:t>2 Dez casos práticos do módulo</w:t>
      </w:r>
    </w:p>
    <w:p>
      <w:r>
        <w:t>Os campos seguem a seção 6 do PDF. Os códigos CT01 a CT10 do material aparecem como referência dentro dos IDs M7. Os registros JSON ocultam credenciais; a coleção usa variáveis locais de teste. A captura do login preserva o token do ambiente isolado, encerrado e com JWT_SECRET girado antes da publicação.</w:t>
      </w:r>
    </w:p>
    <w:p>
      <w:pPr>
        <w:pStyle w:val="Heading2"/>
      </w:pPr>
      <w:r>
        <w:t>M7-CT01 Login com dados corretos</w:t>
      </w:r>
    </w:p>
    <w:p>
      <w:pPr>
        <w:spacing w:after="60"/>
      </w:pPr>
      <w:r>
        <w:rPr>
          <w:b/>
        </w:rPr>
        <w:t xml:space="preserve">Requisito e referência: </w:t>
      </w:r>
      <w:r>
        <w:t>RF02; CT01 do PDF, página 8.</w:t>
      </w:r>
    </w:p>
    <w:p>
      <w:pPr>
        <w:spacing w:after="60"/>
      </w:pPr>
      <w:r>
        <w:rPr>
          <w:b/>
        </w:rPr>
        <w:t xml:space="preserve">Pré condições: </w:t>
      </w:r>
      <w:r>
        <w:t>API de preparação em localhost:3007. Operador M7 cadastrado no schema exclusivo. Credencial de teste carregada da coleção local.</w:t>
      </w:r>
    </w:p>
    <w:p>
      <w:pPr>
        <w:spacing w:after="60"/>
      </w:pPr>
      <w:r>
        <w:rPr>
          <w:b/>
        </w:rPr>
        <w:t xml:space="preserve">Passos: </w:t>
      </w:r>
      <w:r>
        <w:t>1. Abrir M7-CT01 no Postman. 2. Conferir e-mail e senha fictícios no Body. 3. Clicar em Send uma vez. 4. Registrar HTTP 200 e presença do token; ocultar o valor do token na captura.</w:t>
      </w:r>
    </w:p>
    <w:p>
      <w:pPr>
        <w:spacing w:after="60"/>
      </w:pPr>
      <w:r>
        <w:rPr>
          <w:b/>
        </w:rPr>
        <w:t xml:space="preserve">Dados de entrada: </w:t>
      </w:r>
      <w:r>
        <w:t>{"method": "POST", "route": "/login", "authentication": "Sem token", "body": {"email": "operador.m7@example.test", "senha": "[redigido]"}}</w:t>
      </w:r>
    </w:p>
    <w:p>
      <w:pPr>
        <w:spacing w:after="60"/>
      </w:pPr>
      <w:r>
        <w:rPr>
          <w:b/>
        </w:rPr>
        <w:t xml:space="preserve">Resultado esperado: </w:t>
      </w:r>
      <w:r>
        <w:t>{"httpStatus": 200, "response": "Token na resposta, sem senha/hash."}</w:t>
      </w:r>
    </w:p>
    <w:p>
      <w:pPr>
        <w:spacing w:after="60"/>
      </w:pPr>
      <w:r>
        <w:rPr>
          <w:b/>
        </w:rPr>
        <w:t xml:space="preserve">Resultado obtido: </w:t>
      </w:r>
      <w:r>
        <w:t>HTTP 200; token presente; senha e hash ausentes.</w:t>
      </w:r>
    </w:p>
    <w:p>
      <w:pPr>
        <w:spacing w:after="60"/>
      </w:pPr>
      <w:r>
        <w:rPr>
          <w:b/>
        </w:rPr>
        <w:t xml:space="preserve">Status: </w:t>
      </w:r>
      <w:r>
        <w:t>Passou</w:t>
      </w:r>
    </w:p>
    <w:p>
      <w:pPr>
        <w:spacing w:after="60"/>
      </w:pPr>
      <w:r>
        <w:rPr>
          <w:b/>
        </w:rPr>
        <w:t xml:space="preserve">Evidência: </w:t>
      </w:r>
      <w:r>
        <w:t>M7-CT01_postman.png; registro em resultados-praticos.json. Capturas na seção 8.</w:t>
      </w:r>
    </w:p>
    <w:p>
      <w:pPr>
        <w:pStyle w:val="Heading2"/>
      </w:pPr>
      <w:r>
        <w:t>M7-CT02 Login com senha errada</w:t>
      </w:r>
    </w:p>
    <w:p>
      <w:pPr>
        <w:spacing w:after="60"/>
      </w:pPr>
      <w:r>
        <w:rPr>
          <w:b/>
        </w:rPr>
        <w:t xml:space="preserve">Requisito e referência: </w:t>
      </w:r>
      <w:r>
        <w:t>RF02; CT02 do PDF, página 8.</w:t>
      </w:r>
    </w:p>
    <w:p>
      <w:pPr>
        <w:spacing w:after="60"/>
      </w:pPr>
      <w:r>
        <w:rPr>
          <w:b/>
        </w:rPr>
        <w:t xml:space="preserve">Pré condições: </w:t>
      </w:r>
      <w:r>
        <w:t>Operador M7 cadastrado. API em execução.</w:t>
      </w:r>
    </w:p>
    <w:p>
      <w:pPr>
        <w:spacing w:after="60"/>
      </w:pPr>
      <w:r>
        <w:rPr>
          <w:b/>
        </w:rPr>
        <w:t xml:space="preserve">Passos: </w:t>
      </w:r>
      <w:r>
        <w:t>1. Abrir M7-CT02. 2. Enviar e-mail válido e senha intencionalmente errada. 3. Registrar status/mensagem e ausência de token.</w:t>
      </w:r>
    </w:p>
    <w:p>
      <w:pPr>
        <w:spacing w:after="60"/>
      </w:pPr>
      <w:r>
        <w:rPr>
          <w:b/>
        </w:rPr>
        <w:t xml:space="preserve">Dados de entrada: </w:t>
      </w:r>
      <w:r>
        <w:t>{"method": "POST", "route": "/login", "authentication": "Sem token", "body": {"email": "operador.m7@example.test", "senha": "[redigido]"}}</w:t>
      </w:r>
    </w:p>
    <w:p>
      <w:pPr>
        <w:spacing w:after="60"/>
      </w:pPr>
      <w:r>
        <w:rPr>
          <w:b/>
        </w:rPr>
        <w:t xml:space="preserve">Resultado esperado: </w:t>
      </w:r>
      <w:r>
        <w:t>{"httpStatus": 401, "message": "Email ou senha inválidos", "tokenPresent": false}</w:t>
      </w:r>
    </w:p>
    <w:p>
      <w:pPr>
        <w:spacing w:after="60"/>
      </w:pPr>
      <w:r>
        <w:rPr>
          <w:b/>
        </w:rPr>
        <w:t xml:space="preserve">Resultado obtido: </w:t>
      </w:r>
      <w:r>
        <w:t>HTTP 401; mensagem "Email ou senha inválidos"; sem token.</w:t>
      </w:r>
    </w:p>
    <w:p>
      <w:pPr>
        <w:spacing w:after="60"/>
      </w:pPr>
      <w:r>
        <w:rPr>
          <w:b/>
        </w:rPr>
        <w:t xml:space="preserve">Status: </w:t>
      </w:r>
      <w:r>
        <w:t>Passou</w:t>
      </w:r>
    </w:p>
    <w:p>
      <w:pPr>
        <w:spacing w:after="60"/>
      </w:pPr>
      <w:r>
        <w:rPr>
          <w:b/>
        </w:rPr>
        <w:t xml:space="preserve">Evidência: </w:t>
      </w:r>
      <w:r>
        <w:t>M7-CT02_postman.png; registro em resultados-praticos.json. Capturas na seção 8.</w:t>
      </w:r>
    </w:p>
    <w:p>
      <w:r>
        <w:br w:type="page"/>
      </w:r>
    </w:p>
    <w:p>
      <w:pPr>
        <w:pStyle w:val="Heading2"/>
      </w:pPr>
      <w:r>
        <w:t>M7-CT03 Listar produtos sem token</w:t>
      </w:r>
    </w:p>
    <w:p>
      <w:pPr>
        <w:spacing w:after="60"/>
      </w:pPr>
      <w:r>
        <w:rPr>
          <w:b/>
        </w:rPr>
        <w:t xml:space="preserve">Requisito e referência: </w:t>
      </w:r>
      <w:r>
        <w:t>RNF02; CT03 do PDF, página 8.</w:t>
      </w:r>
    </w:p>
    <w:p>
      <w:pPr>
        <w:spacing w:after="60"/>
      </w:pPr>
      <w:r>
        <w:rPr>
          <w:b/>
        </w:rPr>
        <w:t xml:space="preserve">Pré condições: </w:t>
      </w:r>
      <w:r>
        <w:t>API em execução. Requisição sem Authorization.</w:t>
      </w:r>
    </w:p>
    <w:p>
      <w:pPr>
        <w:spacing w:after="60"/>
      </w:pPr>
      <w:r>
        <w:rPr>
          <w:b/>
        </w:rPr>
        <w:t xml:space="preserve">Passos: </w:t>
      </w:r>
      <w:r>
        <w:t>1. Abrir M7-CT03. 2. Confirmar que não há token/header Authorization. 3. Enviar GET /produtos. 4. Registrar acesso negado.</w:t>
      </w:r>
    </w:p>
    <w:p>
      <w:pPr>
        <w:spacing w:after="60"/>
      </w:pPr>
      <w:r>
        <w:rPr>
          <w:b/>
        </w:rPr>
        <w:t xml:space="preserve">Dados de entrada: </w:t>
      </w:r>
      <w:r>
        <w:t>{"method": "GET", "route": "/produtos", "authentication": "Sem token"}</w:t>
      </w:r>
    </w:p>
    <w:p>
      <w:pPr>
        <w:spacing w:after="60"/>
      </w:pPr>
      <w:r>
        <w:rPr>
          <w:b/>
        </w:rPr>
        <w:t xml:space="preserve">Resultado esperado: </w:t>
      </w:r>
      <w:r>
        <w:t>{"httpStatus": 401, "message": "Token não enviado"}</w:t>
      </w:r>
    </w:p>
    <w:p>
      <w:pPr>
        <w:spacing w:after="60"/>
      </w:pPr>
      <w:r>
        <w:rPr>
          <w:b/>
        </w:rPr>
        <w:t xml:space="preserve">Resultado obtido: </w:t>
      </w:r>
      <w:r>
        <w:t>HTTP 401; mensagem "Token não enviado".</w:t>
      </w:r>
    </w:p>
    <w:p>
      <w:pPr>
        <w:spacing w:after="60"/>
      </w:pPr>
      <w:r>
        <w:rPr>
          <w:b/>
        </w:rPr>
        <w:t xml:space="preserve">Status: </w:t>
      </w:r>
      <w:r>
        <w:t>Passou</w:t>
      </w:r>
    </w:p>
    <w:p>
      <w:pPr>
        <w:spacing w:after="60"/>
      </w:pPr>
      <w:r>
        <w:rPr>
          <w:b/>
        </w:rPr>
        <w:t xml:space="preserve">Evidência: </w:t>
      </w:r>
      <w:r>
        <w:t>M7-CT03_postman.png; registro em resultados-praticos.json. Capturas na seção 8.</w:t>
      </w:r>
    </w:p>
    <w:p>
      <w:pPr>
        <w:pStyle w:val="Heading2"/>
      </w:pPr>
      <w:r>
        <w:t>M7-CT04 Cadastrar produto válido</w:t>
      </w:r>
    </w:p>
    <w:p>
      <w:pPr>
        <w:spacing w:after="60"/>
      </w:pPr>
      <w:r>
        <w:rPr>
          <w:b/>
        </w:rPr>
        <w:t xml:space="preserve">Requisito e referência: </w:t>
      </w:r>
      <w:r>
        <w:t>RF03; CT04 do PDF, página 8.</w:t>
      </w:r>
    </w:p>
    <w:p>
      <w:pPr>
        <w:spacing w:after="60"/>
      </w:pPr>
      <w:r>
        <w:rPr>
          <w:b/>
        </w:rPr>
        <w:t xml:space="preserve">Pré condições: </w:t>
      </w:r>
      <w:r>
        <w:t>Token preparado do operador. Somente os três produtos iniciais no schema M7.</w:t>
      </w:r>
    </w:p>
    <w:p>
      <w:pPr>
        <w:spacing w:after="60"/>
      </w:pPr>
      <w:r>
        <w:rPr>
          <w:b/>
        </w:rPr>
        <w:t xml:space="preserve">Passos: </w:t>
      </w:r>
      <w:r>
        <w:t>1. Abrir M7-CT04 e enviar cadastro completo. 2. Anotar o id retornado (previsto 4 no ambiente novo). 3. Confirmar o produto na tabela Produtos pelo MySQL Workbench. 4. Esse mesmo produto será usado por M7-CT05 e M7-CT06.</w:t>
      </w:r>
    </w:p>
    <w:p>
      <w:pPr>
        <w:spacing w:after="60"/>
      </w:pPr>
      <w:r>
        <w:rPr>
          <w:b/>
        </w:rPr>
        <w:t xml:space="preserve">Dados de entrada: </w:t>
      </w:r>
      <w:r>
        <w:t>{"method": "POST", "route": "/produtos", "authentication": "Bearer presente; valor omitido", "body": {"nome": "Produto para Exclusão M7", "descricao": "Cadastro válido dos casos práticos", "quantidade_estoque": 2}}</w:t>
      </w:r>
    </w:p>
    <w:p>
      <w:pPr>
        <w:spacing w:after="60"/>
      </w:pPr>
      <w:r>
        <w:rPr>
          <w:b/>
        </w:rPr>
        <w:t xml:space="preserve">Resultado esperado: </w:t>
      </w:r>
      <w:r>
        <w:t>{"httpStatus": 201, "database": "Um produto novo com os dados enviados na tabela Produtos; id retornado reservado à exclusão."}</w:t>
      </w:r>
    </w:p>
    <w:p>
      <w:pPr>
        <w:spacing w:after="60"/>
      </w:pPr>
      <w:r>
        <w:rPr>
          <w:b/>
        </w:rPr>
        <w:t xml:space="preserve">Resultado obtido: </w:t>
      </w:r>
      <w:r>
        <w:t>HTTP 201; produto 4 persistido com estoque 2.</w:t>
      </w:r>
    </w:p>
    <w:p>
      <w:pPr>
        <w:spacing w:after="60"/>
      </w:pPr>
      <w:r>
        <w:rPr>
          <w:b/>
        </w:rPr>
        <w:t xml:space="preserve">Status: </w:t>
      </w:r>
      <w:r>
        <w:t>Passou</w:t>
      </w:r>
    </w:p>
    <w:p>
      <w:pPr>
        <w:spacing w:after="60"/>
      </w:pPr>
      <w:r>
        <w:rPr>
          <w:b/>
        </w:rPr>
        <w:t xml:space="preserve">Evidência: </w:t>
      </w:r>
      <w:r>
        <w:t>M7-CT04_postman.png, M7-CT04_workbench.png; registro em resultados-praticos.json. Capturas na seção 8.</w:t>
      </w:r>
    </w:p>
    <w:p>
      <w:pPr>
        <w:spacing w:after="60"/>
      </w:pPr>
      <w:r>
        <w:rPr>
          <w:b/>
        </w:rPr>
        <w:t xml:space="preserve">Conferência da captura: </w:t>
      </w:r>
      <w:r>
        <w:t>O print do Workbench foi obtido após M7-CT05 e confirma o cadastro e a permanência do produto depois da exclusão recusada.</w:t>
      </w:r>
    </w:p>
    <w:p>
      <w:r>
        <w:br w:type="page"/>
      </w:r>
    </w:p>
    <w:p>
      <w:pPr>
        <w:pStyle w:val="Heading2"/>
      </w:pPr>
      <w:r>
        <w:t>M7-CT05 Excluir produto como operador</w:t>
      </w:r>
    </w:p>
    <w:p>
      <w:pPr>
        <w:spacing w:after="60"/>
      </w:pPr>
      <w:r>
        <w:rPr>
          <w:b/>
        </w:rPr>
        <w:t xml:space="preserve">Requisito e referência: </w:t>
      </w:r>
      <w:r>
        <w:t>RN01; CT05 do PDF, página 8.</w:t>
      </w:r>
    </w:p>
    <w:p>
      <w:pPr>
        <w:spacing w:after="60"/>
      </w:pPr>
      <w:r>
        <w:rPr>
          <w:b/>
        </w:rPr>
        <w:t xml:space="preserve">Pré condições: </w:t>
      </w:r>
      <w:r>
        <w:t>M7-CT04 executado: produto criado e id salvo. Token do operador. M7-CT06 ainda não executado.</w:t>
      </w:r>
    </w:p>
    <w:p>
      <w:pPr>
        <w:spacing w:after="60"/>
      </w:pPr>
      <w:r>
        <w:rPr>
          <w:b/>
        </w:rPr>
        <w:t xml:space="preserve">Passos: </w:t>
      </w:r>
      <w:r>
        <w:t>1. Abrir M7-CT05. 2. Enviar DELETE para o id criado no M7-CT04 com token do operador. 3. Registrar bloqueio e verificar que o produto continua presente.</w:t>
      </w:r>
    </w:p>
    <w:p>
      <w:pPr>
        <w:spacing w:after="60"/>
      </w:pPr>
      <w:r>
        <w:rPr>
          <w:b/>
        </w:rPr>
        <w:t xml:space="preserve">Dados de entrada: </w:t>
      </w:r>
      <w:r>
        <w:t>{"method": "DELETE", "route": "/produtos/4", "authentication": "Bearer presente; valor omitido"}</w:t>
      </w:r>
    </w:p>
    <w:p>
      <w:pPr>
        <w:spacing w:after="60"/>
      </w:pPr>
      <w:r>
        <w:rPr>
          <w:b/>
        </w:rPr>
        <w:t xml:space="preserve">Resultado esperado: </w:t>
      </w:r>
      <w:r>
        <w:t>{"httpStatus": 403, "message": "Sem permissão para essa ação", "database": "Produto criado no M7-CT04 permanece no banco."}</w:t>
      </w:r>
    </w:p>
    <w:p>
      <w:pPr>
        <w:spacing w:after="60"/>
      </w:pPr>
      <w:r>
        <w:rPr>
          <w:b/>
        </w:rPr>
        <w:t xml:space="preserve">Resultado obtido: </w:t>
      </w:r>
      <w:r>
        <w:t>HTTP 403; mensagem "Sem permissão para essa ação"; produto 4 permanece no MySQL.</w:t>
      </w:r>
    </w:p>
    <w:p>
      <w:pPr>
        <w:spacing w:after="60"/>
      </w:pPr>
      <w:r>
        <w:rPr>
          <w:b/>
        </w:rPr>
        <w:t xml:space="preserve">Status: </w:t>
      </w:r>
      <w:r>
        <w:t>Passou</w:t>
      </w:r>
    </w:p>
    <w:p>
      <w:pPr>
        <w:spacing w:after="60"/>
      </w:pPr>
      <w:r>
        <w:rPr>
          <w:b/>
        </w:rPr>
        <w:t xml:space="preserve">Evidência: </w:t>
      </w:r>
      <w:r>
        <w:t>M7-CT05_postman.png; registro em resultados-praticos.json. Capturas na seção 8.</w:t>
      </w:r>
    </w:p>
    <w:p>
      <w:pPr>
        <w:pStyle w:val="Heading2"/>
      </w:pPr>
      <w:r>
        <w:t>M7-CT06 Excluir produto como administrador</w:t>
      </w:r>
    </w:p>
    <w:p>
      <w:pPr>
        <w:spacing w:after="60"/>
      </w:pPr>
      <w:r>
        <w:rPr>
          <w:b/>
        </w:rPr>
        <w:t xml:space="preserve">Requisito e referência: </w:t>
      </w:r>
      <w:r>
        <w:t>RF05; CT06 do PDF, página 8.</w:t>
      </w:r>
    </w:p>
    <w:p>
      <w:pPr>
        <w:spacing w:after="60"/>
      </w:pPr>
      <w:r>
        <w:rPr>
          <w:b/>
        </w:rPr>
        <w:t xml:space="preserve">Pré condições: </w:t>
      </w:r>
      <w:r>
        <w:t>M7-CT05 executado antes deste caso. Produto de M7-CT04 ainda existente. Token preparado do administrador.</w:t>
      </w:r>
    </w:p>
    <w:p>
      <w:pPr>
        <w:spacing w:after="60"/>
      </w:pPr>
      <w:r>
        <w:rPr>
          <w:b/>
        </w:rPr>
        <w:t xml:space="preserve">Passos: </w:t>
      </w:r>
      <w:r>
        <w:t>1. Abrir M7-CT06. 2. Enviar DELETE para o mesmo id com token do administrador. 3. Registrar sucesso. 4. No Workbench, confirmar que esse produto desapareceu da tabela Produtos.</w:t>
      </w:r>
    </w:p>
    <w:p>
      <w:pPr>
        <w:spacing w:after="60"/>
      </w:pPr>
      <w:r>
        <w:rPr>
          <w:b/>
        </w:rPr>
        <w:t xml:space="preserve">Dados de entrada: </w:t>
      </w:r>
      <w:r>
        <w:t>{"method": "DELETE", "route": "/produtos/4", "authentication": "Bearer presente; valor omitido"}</w:t>
      </w:r>
    </w:p>
    <w:p>
      <w:pPr>
        <w:spacing w:after="60"/>
      </w:pPr>
      <w:r>
        <w:rPr>
          <w:b/>
        </w:rPr>
        <w:t xml:space="preserve">Resultado esperado: </w:t>
      </w:r>
      <w:r>
        <w:t>{"httpStatus": 200, "message": "Produto removido com sucesso", "database": "Produto criado no M7-CT04 ausente da tabela Produtos."}</w:t>
      </w:r>
    </w:p>
    <w:p>
      <w:pPr>
        <w:spacing w:after="60"/>
      </w:pPr>
      <w:r>
        <w:rPr>
          <w:b/>
        </w:rPr>
        <w:t xml:space="preserve">Resultado obtido: </w:t>
      </w:r>
      <w:r>
        <w:t>HTTP 200; mensagem "Produto removido com sucesso"; produto 4 ausente do MySQL.</w:t>
      </w:r>
    </w:p>
    <w:p>
      <w:pPr>
        <w:spacing w:after="60"/>
      </w:pPr>
      <w:r>
        <w:rPr>
          <w:b/>
        </w:rPr>
        <w:t xml:space="preserve">Status: </w:t>
      </w:r>
      <w:r>
        <w:t>Passou</w:t>
      </w:r>
    </w:p>
    <w:p>
      <w:pPr>
        <w:spacing w:after="60"/>
      </w:pPr>
      <w:r>
        <w:rPr>
          <w:b/>
        </w:rPr>
        <w:t xml:space="preserve">Evidência: </w:t>
      </w:r>
      <w:r>
        <w:t>M7-CT06_postman.png, M7-CT06_workbench.png; registro em resultados-praticos.json. Capturas na seção 8.</w:t>
      </w:r>
    </w:p>
    <w:p>
      <w:r>
        <w:br w:type="page"/>
      </w:r>
    </w:p>
    <w:p>
      <w:pPr>
        <w:pStyle w:val="Heading2"/>
      </w:pPr>
      <w:r>
        <w:t>M7-CT07 Listar com paginação</w:t>
      </w:r>
    </w:p>
    <w:p>
      <w:pPr>
        <w:spacing w:after="60"/>
      </w:pPr>
      <w:r>
        <w:rPr>
          <w:b/>
        </w:rPr>
        <w:t xml:space="preserve">Requisito e referência: </w:t>
      </w:r>
      <w:r>
        <w:t>RF04; CT07 do PDF, página 8.</w:t>
      </w:r>
    </w:p>
    <w:p>
      <w:pPr>
        <w:spacing w:after="60"/>
      </w:pPr>
      <w:r>
        <w:rPr>
          <w:b/>
        </w:rPr>
        <w:t xml:space="preserve">Pré condições: </w:t>
      </w:r>
      <w:r>
        <w:t>Três produtos iniciais preservados. Token do operador.</w:t>
      </w:r>
    </w:p>
    <w:p>
      <w:pPr>
        <w:spacing w:after="60"/>
      </w:pPr>
      <w:r>
        <w:rPr>
          <w:b/>
        </w:rPr>
        <w:t xml:space="preserve">Passos: </w:t>
      </w:r>
      <w:r>
        <w:t>1. Abrir M7-CT07. 2. Enviar GET /produtos?pagina=1&amp;limite=2. 3. Registrar array com no máximo dois produtos.</w:t>
      </w:r>
    </w:p>
    <w:p>
      <w:pPr>
        <w:spacing w:after="60"/>
      </w:pPr>
      <w:r>
        <w:rPr>
          <w:b/>
        </w:rPr>
        <w:t xml:space="preserve">Dados de entrada: </w:t>
      </w:r>
      <w:r>
        <w:t>{"method": "GET", "route": "/produtos?pagina=1&amp;limite=2", "authentication": "Bearer presente; valor omitido"}</w:t>
      </w:r>
    </w:p>
    <w:p>
      <w:pPr>
        <w:spacing w:after="60"/>
      </w:pPr>
      <w:r>
        <w:rPr>
          <w:b/>
        </w:rPr>
        <w:t xml:space="preserve">Resultado esperado: </w:t>
      </w:r>
      <w:r>
        <w:t>{"httpStatus": 200, "responseType": "Array", "maxCount": 2}</w:t>
      </w:r>
    </w:p>
    <w:p>
      <w:pPr>
        <w:spacing w:after="60"/>
      </w:pPr>
      <w:r>
        <w:rPr>
          <w:b/>
        </w:rPr>
        <w:t xml:space="preserve">Resultado obtido: </w:t>
      </w:r>
      <w:r>
        <w:t>HTTP 200; array com 2 produtos.</w:t>
      </w:r>
    </w:p>
    <w:p>
      <w:pPr>
        <w:spacing w:after="60"/>
      </w:pPr>
      <w:r>
        <w:rPr>
          <w:b/>
        </w:rPr>
        <w:t xml:space="preserve">Status: </w:t>
      </w:r>
      <w:r>
        <w:t>Passou</w:t>
      </w:r>
    </w:p>
    <w:p>
      <w:pPr>
        <w:spacing w:after="60"/>
      </w:pPr>
      <w:r>
        <w:rPr>
          <w:b/>
        </w:rPr>
        <w:t xml:space="preserve">Evidência: </w:t>
      </w:r>
      <w:r>
        <w:t>M7-CT07_postman.png; registro em resultados-praticos.json. Capturas na seção 8.</w:t>
      </w:r>
    </w:p>
    <w:p>
      <w:pPr>
        <w:pStyle w:val="Heading2"/>
      </w:pPr>
      <w:r>
        <w:t>M7-CT08 Listar com filtro por nome</w:t>
      </w:r>
    </w:p>
    <w:p>
      <w:pPr>
        <w:spacing w:after="60"/>
      </w:pPr>
      <w:r>
        <w:rPr>
          <w:b/>
        </w:rPr>
        <w:t xml:space="preserve">Requisito e referência: </w:t>
      </w:r>
      <w:r>
        <w:t>RF04; CT08 do PDF, página 8.</w:t>
      </w:r>
    </w:p>
    <w:p>
      <w:pPr>
        <w:spacing w:after="60"/>
      </w:pPr>
      <w:r>
        <w:rPr>
          <w:b/>
        </w:rPr>
        <w:t xml:space="preserve">Pré condições: </w:t>
      </w:r>
      <w:r>
        <w:t>Produtos Domínio Técnico, Dom Parafuso e Martelo Oficina preparados. Token do operador.</w:t>
      </w:r>
    </w:p>
    <w:p>
      <w:pPr>
        <w:spacing w:after="60"/>
      </w:pPr>
      <w:r>
        <w:rPr>
          <w:b/>
        </w:rPr>
        <w:t xml:space="preserve">Passos: </w:t>
      </w:r>
      <w:r>
        <w:t>1. Abrir M7-CT08. 2. Enviar GET /produtos?nome=dom. 3. Registrar somente produtos cujo nome contém dom.</w:t>
      </w:r>
    </w:p>
    <w:p>
      <w:pPr>
        <w:spacing w:after="60"/>
      </w:pPr>
      <w:r>
        <w:rPr>
          <w:b/>
        </w:rPr>
        <w:t xml:space="preserve">Dados de entrada: </w:t>
      </w:r>
      <w:r>
        <w:t>{"method": "GET", "route": "/produtos?nome=dom", "authentication": "Bearer presente; valor omitido"}</w:t>
      </w:r>
    </w:p>
    <w:p>
      <w:pPr>
        <w:spacing w:after="60"/>
      </w:pPr>
      <w:r>
        <w:rPr>
          <w:b/>
        </w:rPr>
        <w:t xml:space="preserve">Resultado esperado: </w:t>
      </w:r>
      <w:r>
        <w:t>{"httpStatus": 200, "names": ["Domínio Técnico", "Dom Parafuso"], "excludedName": "Martelo Oficina"}</w:t>
      </w:r>
    </w:p>
    <w:p>
      <w:pPr>
        <w:spacing w:after="60"/>
      </w:pPr>
      <w:r>
        <w:rPr>
          <w:b/>
        </w:rPr>
        <w:t xml:space="preserve">Resultado obtido: </w:t>
      </w:r>
      <w:r>
        <w:t>HTTP 200; nomes retornados Domínio Técnico, Dom Parafuso.</w:t>
      </w:r>
    </w:p>
    <w:p>
      <w:pPr>
        <w:spacing w:after="60"/>
      </w:pPr>
      <w:r>
        <w:rPr>
          <w:b/>
        </w:rPr>
        <w:t xml:space="preserve">Status: </w:t>
      </w:r>
      <w:r>
        <w:t>Passou</w:t>
      </w:r>
    </w:p>
    <w:p>
      <w:pPr>
        <w:spacing w:after="60"/>
      </w:pPr>
      <w:r>
        <w:rPr>
          <w:b/>
        </w:rPr>
        <w:t xml:space="preserve">Evidência: </w:t>
      </w:r>
      <w:r>
        <w:t>M7-CT08_postman.png; registro em resultados-praticos.json. Capturas na seção 8.</w:t>
      </w:r>
    </w:p>
    <w:p>
      <w:r>
        <w:br w:type="page"/>
      </w:r>
    </w:p>
    <w:p>
      <w:pPr>
        <w:pStyle w:val="Heading2"/>
      </w:pPr>
      <w:r>
        <w:t>M7-CT09 Registrar movimentação</w:t>
      </w:r>
    </w:p>
    <w:p>
      <w:pPr>
        <w:spacing w:after="60"/>
      </w:pPr>
      <w:r>
        <w:rPr>
          <w:b/>
        </w:rPr>
        <w:t xml:space="preserve">Requisito e referência: </w:t>
      </w:r>
      <w:r>
        <w:t>RF06, RF07; CT09 do PDF, página 9.</w:t>
      </w:r>
    </w:p>
    <w:p>
      <w:pPr>
        <w:spacing w:after="60"/>
      </w:pPr>
      <w:r>
        <w:rPr>
          <w:b/>
        </w:rPr>
        <w:t xml:space="preserve">Pré condições: </w:t>
      </w:r>
      <w:r>
        <w:t>Produto 1 Domínio Técnico preservado; não é o produto excluído no M7-CT06. Estoque inicial desse produto 10. Token do operador id 1. Nenhuma movimentação registrada no schema de preparação.</w:t>
      </w:r>
    </w:p>
    <w:p>
      <w:pPr>
        <w:spacing w:after="60"/>
      </w:pPr>
      <w:r>
        <w:rPr>
          <w:b/>
        </w:rPr>
        <w:t xml:space="preserve">Passos: </w:t>
      </w:r>
      <w:r>
        <w:t>1. Abrir M7-CT09. 2. Enviar entrada de cinco unidades para produto_id=1. 3. Registrar a resposta. 4. No Workbench, conferir tipo/quantidade/data/usuario_id e estoque 15.</w:t>
      </w:r>
    </w:p>
    <w:p>
      <w:pPr>
        <w:spacing w:after="60"/>
      </w:pPr>
      <w:r>
        <w:rPr>
          <w:b/>
        </w:rPr>
        <w:t xml:space="preserve">Dados de entrada: </w:t>
      </w:r>
      <w:r>
        <w:t>{"method": "POST", "route": "/movimentacoes", "authentication": "Bearer presente; valor omitido", "body": {"produto_id": 1, "tipo": "entrada", "quantidade": 5}}</w:t>
      </w:r>
    </w:p>
    <w:p>
      <w:pPr>
        <w:spacing w:after="60"/>
      </w:pPr>
      <w:r>
        <w:rPr>
          <w:b/>
        </w:rPr>
        <w:t xml:space="preserve">Resultado esperado: </w:t>
      </w:r>
      <w:r>
        <w:t>{"httpStatus": 201, "database": {"produto_id": 1, "tipo": "entrada", "quantidade": 5, "usuario_id": 1, "data": "Preenchida automaticamente", "quantidade_estoque": 15, "movementCount": 1}}</w:t>
      </w:r>
    </w:p>
    <w:p>
      <w:pPr>
        <w:spacing w:after="60"/>
      </w:pPr>
      <w:r>
        <w:rPr>
          <w:b/>
        </w:rPr>
        <w:t xml:space="preserve">Resultado obtido: </w:t>
      </w:r>
      <w:r>
        <w:t>HTTP 201; entrada de 5; responsável usuario_id 1; data preenchida; estoque 15; 1 movimentação no MySQL.</w:t>
      </w:r>
    </w:p>
    <w:p>
      <w:pPr>
        <w:spacing w:after="60"/>
      </w:pPr>
      <w:r>
        <w:rPr>
          <w:b/>
        </w:rPr>
        <w:t xml:space="preserve">Status: </w:t>
      </w:r>
      <w:r>
        <w:t>Passou</w:t>
      </w:r>
    </w:p>
    <w:p>
      <w:pPr>
        <w:spacing w:after="60"/>
      </w:pPr>
      <w:r>
        <w:rPr>
          <w:b/>
        </w:rPr>
        <w:t xml:space="preserve">Evidência: </w:t>
      </w:r>
      <w:r>
        <w:t>M7-CT09_postman.png, M7-CT09_workbench.png; registro em resultados-praticos.json. Capturas na seção 8.</w:t>
      </w:r>
    </w:p>
    <w:p>
      <w:pPr>
        <w:pStyle w:val="Heading2"/>
      </w:pPr>
      <w:r>
        <w:t>M7-CT10 Movimentação com quantidade zero</w:t>
      </w:r>
    </w:p>
    <w:p>
      <w:pPr>
        <w:spacing w:after="60"/>
      </w:pPr>
      <w:r>
        <w:rPr>
          <w:b/>
        </w:rPr>
        <w:t xml:space="preserve">Requisito e referência: </w:t>
      </w:r>
      <w:r>
        <w:t>RN04; CT10 do PDF, página 9.</w:t>
      </w:r>
    </w:p>
    <w:p>
      <w:pPr>
        <w:spacing w:after="60"/>
      </w:pPr>
      <w:r>
        <w:rPr>
          <w:b/>
        </w:rPr>
        <w:t xml:space="preserve">Pré condições: </w:t>
      </w:r>
      <w:r>
        <w:t>M7-CT09 já executado: produto 1 com saldo 15 e uma movimentação. Token do operador.</w:t>
      </w:r>
    </w:p>
    <w:p>
      <w:pPr>
        <w:spacing w:after="60"/>
      </w:pPr>
      <w:r>
        <w:rPr>
          <w:b/>
        </w:rPr>
        <w:t xml:space="preserve">Passos: </w:t>
      </w:r>
      <w:r>
        <w:t>1. Abrir M7-CT10. 2. Enviar entrada com quantidade zero para produto_id=1. 3. Registrar recusa. 4. No Workbench, confirmar estoque 15 e apenas a movimentação válida anterior; nenhuma com quantidade zero.</w:t>
      </w:r>
    </w:p>
    <w:p>
      <w:pPr>
        <w:spacing w:after="60"/>
      </w:pPr>
      <w:r>
        <w:rPr>
          <w:b/>
        </w:rPr>
        <w:t xml:space="preserve">Dados de entrada: </w:t>
      </w:r>
      <w:r>
        <w:t>{"method": "POST", "route": "/movimentacoes", "authentication": "Bearer presente; valor omitido", "body": {"produto_id": 1, "tipo": "entrada", "quantidade": 0}}</w:t>
      </w:r>
    </w:p>
    <w:p>
      <w:pPr>
        <w:spacing w:after="60"/>
      </w:pPr>
      <w:r>
        <w:rPr>
          <w:b/>
        </w:rPr>
        <w:t xml:space="preserve">Resultado esperado: </w:t>
      </w:r>
      <w:r>
        <w:t>{"httpStatus": 400, "message": "Quantidade deve ser um número inteiro maior que zero", "database": {"quantidade_estoque": 15, "movementCount": 1, "zeroQuantityCount": 0}}</w:t>
      </w:r>
    </w:p>
    <w:p>
      <w:pPr>
        <w:spacing w:after="60"/>
      </w:pPr>
      <w:r>
        <w:rPr>
          <w:b/>
        </w:rPr>
        <w:t xml:space="preserve">Resultado obtido: </w:t>
      </w:r>
      <w:r>
        <w:t>HTTP 400; mensagem "Quantidade deve ser um número inteiro maior que zero"; nenhuma movimentação com quantidade zero (0 registros); estoque 15; 1 movimentação no MySQL.</w:t>
      </w:r>
    </w:p>
    <w:p>
      <w:pPr>
        <w:spacing w:after="60"/>
      </w:pPr>
      <w:r>
        <w:rPr>
          <w:b/>
        </w:rPr>
        <w:t xml:space="preserve">Status: </w:t>
      </w:r>
      <w:r>
        <w:t>Passou</w:t>
      </w:r>
    </w:p>
    <w:p>
      <w:pPr>
        <w:spacing w:after="60"/>
      </w:pPr>
      <w:r>
        <w:rPr>
          <w:b/>
        </w:rPr>
        <w:t xml:space="preserve">Evidência: </w:t>
      </w:r>
      <w:r>
        <w:t>M7-CT10_postman.png, M7-CT10_workbench.png; registro em resultados-praticos.json. Capturas na seção 8.</w:t>
      </w:r>
    </w:p>
    <w:p>
      <w:r>
        <w:br w:type="page"/>
      </w:r>
    </w:p>
    <w:p>
      <w:pPr>
        <w:pStyle w:val="Heading1"/>
      </w:pPr>
      <w:r>
        <w:t>3 Matriz de rastreabilidade</w:t>
      </w:r>
    </w:p>
    <w:p>
      <w:r>
        <w:t>A matriz reúne a prática pela interface e a regressão automática. Requisitos sem caso na seleção prática são verificados pela rodada complementar; nenhum dos 17 requisitos documentados ficou sem caso.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"/>
        <w:gridCol w:w="3456"/>
        <w:gridCol w:w="2592"/>
        <w:gridCol w:w="2160"/>
      </w:tblGrid>
      <w:tr>
        <w:trPr>
          <w:tblHeader/>
          <w:cantSplit/>
        </w:trPr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64563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Código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64563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Descrição</w:t>
            </w:r>
          </w:p>
        </w:tc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64563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Interface</w:t>
            </w:r>
          </w:p>
        </w:tc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64563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Automáticos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sz w:val="20"/>
              </w:rPr>
              <w:t>RF01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rFonts w:ascii="Arial" w:hAnsi="Arial"/>
                <w:sz w:val="20"/>
              </w:rPr>
              <w:t>Cadastrar usuários com perfil</w:t>
            </w:r>
          </w:p>
        </w:tc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rFonts w:ascii="Arial" w:hAnsi="Arial"/>
                <w:sz w:val="20"/>
              </w:rPr>
              <w:t>Complemento automático</w:t>
            </w:r>
          </w:p>
        </w:tc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rFonts w:ascii="Arial" w:hAnsi="Arial"/>
                <w:sz w:val="20"/>
              </w:rPr>
              <w:t>CT01, CT02, CT03, CT04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sz w:val="20"/>
              </w:rPr>
              <w:t>RF02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rFonts w:ascii="Arial" w:hAnsi="Arial"/>
                <w:sz w:val="20"/>
              </w:rPr>
              <w:t>Realizar login</w:t>
            </w:r>
          </w:p>
        </w:tc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rFonts w:ascii="Arial" w:hAnsi="Arial"/>
                <w:sz w:val="20"/>
              </w:rPr>
              <w:t>M7-CT01, M7-CT02</w:t>
            </w:r>
          </w:p>
        </w:tc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rFonts w:ascii="Arial" w:hAnsi="Arial"/>
                <w:sz w:val="20"/>
              </w:rPr>
              <w:t>CT05, CT06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sz w:val="20"/>
              </w:rPr>
              <w:t>RF03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rFonts w:ascii="Arial" w:hAnsi="Arial"/>
                <w:sz w:val="20"/>
              </w:rPr>
              <w:t>Cadastrar produtos</w:t>
            </w:r>
          </w:p>
        </w:tc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rFonts w:ascii="Arial" w:hAnsi="Arial"/>
                <w:sz w:val="20"/>
              </w:rPr>
              <w:t>M7-CT04</w:t>
            </w:r>
          </w:p>
        </w:tc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rFonts w:ascii="Arial" w:hAnsi="Arial"/>
                <w:sz w:val="20"/>
              </w:rPr>
              <w:t>CT08, CT09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sz w:val="20"/>
              </w:rPr>
              <w:t>RF04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rFonts w:ascii="Arial" w:hAnsi="Arial"/>
                <w:sz w:val="20"/>
              </w:rPr>
              <w:t>Listar produtos com paginação e filtros</w:t>
            </w:r>
          </w:p>
        </w:tc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rFonts w:ascii="Arial" w:hAnsi="Arial"/>
                <w:sz w:val="20"/>
              </w:rPr>
              <w:t>M7-CT07, M7-CT08</w:t>
            </w:r>
          </w:p>
        </w:tc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rFonts w:ascii="Arial" w:hAnsi="Arial"/>
                <w:sz w:val="20"/>
              </w:rPr>
              <w:t>CT10, CT11, CT12, CT13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sz w:val="20"/>
              </w:rPr>
              <w:t>RF05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rFonts w:ascii="Arial" w:hAnsi="Arial"/>
                <w:sz w:val="20"/>
              </w:rPr>
              <w:t>Excluir produtos</w:t>
            </w:r>
          </w:p>
        </w:tc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rFonts w:ascii="Arial" w:hAnsi="Arial"/>
                <w:sz w:val="20"/>
              </w:rPr>
              <w:t>M7-CT06</w:t>
            </w:r>
          </w:p>
        </w:tc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rFonts w:ascii="Arial" w:hAnsi="Arial"/>
                <w:sz w:val="20"/>
              </w:rPr>
              <w:t>CT14, CT15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sz w:val="20"/>
              </w:rPr>
              <w:t>RF06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rFonts w:ascii="Arial" w:hAnsi="Arial"/>
                <w:sz w:val="20"/>
              </w:rPr>
              <w:t>Registrar entradas e saídas</w:t>
            </w:r>
          </w:p>
        </w:tc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rFonts w:ascii="Arial" w:hAnsi="Arial"/>
                <w:sz w:val="20"/>
              </w:rPr>
              <w:t>M7-CT09</w:t>
            </w:r>
          </w:p>
        </w:tc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rFonts w:ascii="Arial" w:hAnsi="Arial"/>
                <w:sz w:val="20"/>
              </w:rPr>
              <w:t>CT16, CT17, CT18, CT19, CT20, CT21, CT22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sz w:val="20"/>
              </w:rPr>
              <w:t>RF07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rFonts w:ascii="Arial" w:hAnsi="Arial"/>
                <w:sz w:val="20"/>
              </w:rPr>
              <w:t>Registrar responsável pela movimentação</w:t>
            </w:r>
          </w:p>
        </w:tc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rFonts w:ascii="Arial" w:hAnsi="Arial"/>
                <w:sz w:val="20"/>
              </w:rPr>
              <w:t>M7-CT09</w:t>
            </w:r>
          </w:p>
        </w:tc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rFonts w:ascii="Arial" w:hAnsi="Arial"/>
                <w:sz w:val="20"/>
              </w:rPr>
              <w:t>CT16, CT17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sz w:val="20"/>
              </w:rPr>
              <w:t>RNF01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rFonts w:ascii="Arial" w:hAnsi="Arial"/>
                <w:sz w:val="20"/>
              </w:rPr>
              <w:t>Senhas armazenadas com hash</w:t>
            </w:r>
          </w:p>
        </w:tc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rFonts w:ascii="Arial" w:hAnsi="Arial"/>
                <w:sz w:val="20"/>
              </w:rPr>
              <w:t>Complemento automático</w:t>
            </w:r>
          </w:p>
        </w:tc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rFonts w:ascii="Arial" w:hAnsi="Arial"/>
                <w:sz w:val="20"/>
              </w:rPr>
              <w:t>CT01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sz w:val="20"/>
              </w:rPr>
              <w:t>RNF02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rFonts w:ascii="Arial" w:hAnsi="Arial"/>
                <w:sz w:val="20"/>
              </w:rPr>
              <w:t>Rotas protegidas por token</w:t>
            </w:r>
          </w:p>
        </w:tc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rFonts w:ascii="Arial" w:hAnsi="Arial"/>
                <w:sz w:val="20"/>
              </w:rPr>
              <w:t>M7-CT03</w:t>
            </w:r>
          </w:p>
        </w:tc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rFonts w:ascii="Arial" w:hAnsi="Arial"/>
                <w:sz w:val="20"/>
              </w:rPr>
              <w:t>CT05, CT07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sz w:val="20"/>
              </w:rPr>
              <w:t>RNF03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rFonts w:ascii="Arial" w:hAnsi="Arial"/>
                <w:sz w:val="20"/>
              </w:rPr>
              <w:t>Listagem em até dois segundos</w:t>
            </w:r>
          </w:p>
        </w:tc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rFonts w:ascii="Arial" w:hAnsi="Arial"/>
                <w:sz w:val="20"/>
              </w:rPr>
              <w:t>Complemento automático</w:t>
            </w:r>
          </w:p>
        </w:tc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rFonts w:ascii="Arial" w:hAnsi="Arial"/>
                <w:sz w:val="20"/>
              </w:rPr>
              <w:t>CT10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sz w:val="20"/>
              </w:rPr>
              <w:t>RNF04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rFonts w:ascii="Arial" w:hAnsi="Arial"/>
                <w:sz w:val="20"/>
              </w:rPr>
              <w:t>Mensagens de erro em português</w:t>
            </w:r>
          </w:p>
        </w:tc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rFonts w:ascii="Arial" w:hAnsi="Arial"/>
                <w:sz w:val="20"/>
              </w:rPr>
              <w:t>Complemento automático</w:t>
            </w:r>
          </w:p>
        </w:tc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rFonts w:ascii="Arial" w:hAnsi="Arial"/>
                <w:sz w:val="20"/>
              </w:rPr>
              <w:t>CT01, CT03, CT04, CT06, CT07, CT09, CT13, CT15, CT18, CT19, CT20, CT21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sz w:val="20"/>
              </w:rPr>
              <w:t>RNF05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rFonts w:ascii="Arial" w:hAnsi="Arial"/>
                <w:sz w:val="20"/>
              </w:rPr>
              <w:t>Node.js, Express, Sequelize e MySQL</w:t>
            </w:r>
          </w:p>
        </w:tc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rFonts w:ascii="Arial" w:hAnsi="Arial"/>
                <w:sz w:val="20"/>
              </w:rPr>
              <w:t>Complemento automático</w:t>
            </w:r>
          </w:p>
        </w:tc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rFonts w:ascii="Arial" w:hAnsi="Arial"/>
                <w:sz w:val="20"/>
              </w:rPr>
              <w:t>CT10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sz w:val="20"/>
              </w:rPr>
              <w:t>RN01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rFonts w:ascii="Arial" w:hAnsi="Arial"/>
                <w:sz w:val="20"/>
              </w:rPr>
              <w:t>Apenas administrador exclui produtos</w:t>
            </w:r>
          </w:p>
        </w:tc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rFonts w:ascii="Arial" w:hAnsi="Arial"/>
                <w:sz w:val="20"/>
              </w:rPr>
              <w:t>M7-CT05</w:t>
            </w:r>
          </w:p>
        </w:tc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rFonts w:ascii="Arial" w:hAnsi="Arial"/>
                <w:sz w:val="20"/>
              </w:rPr>
              <w:t>CT14, CT15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sz w:val="20"/>
              </w:rPr>
              <w:t>RN02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rFonts w:ascii="Arial" w:hAnsi="Arial"/>
                <w:sz w:val="20"/>
              </w:rPr>
              <w:t>Toda movimentação tem responsável</w:t>
            </w:r>
          </w:p>
        </w:tc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rFonts w:ascii="Arial" w:hAnsi="Arial"/>
                <w:sz w:val="20"/>
              </w:rPr>
              <w:t>Complemento automático</w:t>
            </w:r>
          </w:p>
        </w:tc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rFonts w:ascii="Arial" w:hAnsi="Arial"/>
                <w:sz w:val="20"/>
              </w:rPr>
              <w:t>CT16, CT17, CT21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sz w:val="20"/>
              </w:rPr>
              <w:t>RN03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rFonts w:ascii="Arial" w:hAnsi="Arial"/>
                <w:sz w:val="20"/>
              </w:rPr>
              <w:t>Movimentação é entrada ou saída</w:t>
            </w:r>
          </w:p>
        </w:tc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rFonts w:ascii="Arial" w:hAnsi="Arial"/>
                <w:sz w:val="20"/>
              </w:rPr>
              <w:t>Complemento automático</w:t>
            </w:r>
          </w:p>
        </w:tc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rFonts w:ascii="Arial" w:hAnsi="Arial"/>
                <w:sz w:val="20"/>
              </w:rPr>
              <w:t>CT16, CT17, CT20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sz w:val="20"/>
              </w:rPr>
              <w:t>RN04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rFonts w:ascii="Arial" w:hAnsi="Arial"/>
                <w:sz w:val="20"/>
              </w:rPr>
              <w:t>Quantidade de movimentação inteira e maior que zero</w:t>
            </w:r>
          </w:p>
        </w:tc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rFonts w:ascii="Arial" w:hAnsi="Arial"/>
                <w:sz w:val="20"/>
              </w:rPr>
              <w:t>M7-CT10</w:t>
            </w:r>
          </w:p>
        </w:tc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rFonts w:ascii="Arial" w:hAnsi="Arial"/>
                <w:sz w:val="20"/>
              </w:rPr>
              <w:t>CT19, CT22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sz w:val="20"/>
              </w:rPr>
              <w:t>RN05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rFonts w:ascii="Arial" w:hAnsi="Arial"/>
                <w:sz w:val="20"/>
              </w:rPr>
              <w:t>Saída não excede estoque disponível</w:t>
            </w:r>
          </w:p>
        </w:tc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rFonts w:ascii="Arial" w:hAnsi="Arial"/>
                <w:sz w:val="20"/>
              </w:rPr>
              <w:t>Complemento automático</w:t>
            </w:r>
          </w:p>
        </w:tc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rFonts w:ascii="Arial" w:hAnsi="Arial"/>
                <w:sz w:val="20"/>
              </w:rPr>
              <w:t>CT17, CT18, CT22</w:t>
            </w:r>
          </w:p>
        </w:tc>
      </w:tr>
    </w:tbl>
    <w:p>
      <w:pPr>
        <w:spacing w:after="40"/>
      </w:pPr>
    </w:p>
    <w:p>
      <w:pPr>
        <w:keepLines/>
      </w:pPr>
      <w:r>
        <w:t>O RNF03 foi medido na listagem local com quatro produtos pela rodada automática. O tempo observado inclui a requisição HTTP; esse cenário não estabelece capacidade sob carga. A senha com hash, expiração, data, tipo de movimentação e saldo insuficiente também recebem casos complementares.</w:t>
      </w:r>
    </w:p>
    <w:p>
      <w:pPr>
        <w:pStyle w:val="Heading1"/>
      </w:pPr>
      <w:r>
        <w:t>4 Defeito correção e reteste</w:t>
      </w:r>
    </w:p>
    <w:p>
      <w:pPr>
        <w:pStyle w:val="Heading2"/>
      </w:pPr>
      <w:r>
        <w:t>DFV01 Heurística de português rejeitou mensagem válida</w:t>
      </w:r>
    </w:p>
    <w:p>
      <w:pPr>
        <w:spacing w:after="60"/>
      </w:pPr>
      <w:r>
        <w:rPr>
          <w:b/>
        </w:rPr>
        <w:t xml:space="preserve">Origem e caso: </w:t>
      </w:r>
      <w:r>
        <w:t>Verificador; casos automatizados CT04, CT09.</w:t>
      </w:r>
    </w:p>
    <w:p>
      <w:pPr>
        <w:spacing w:after="60"/>
      </w:pPr>
      <w:r>
        <w:rPr>
          <w:b/>
        </w:rPr>
        <w:t xml:space="preserve">Passos para reproduzir: </w:t>
      </w:r>
      <w:r>
        <w:t>1. Executar a versão inicial do verificador. 2. Enviar cadastros sem nome nos casos CT04 e CT09. 3. Observar HTTP 400 e a mensagem Nome deve ser preenchido, rejeitada pela heurística.</w:t>
      </w:r>
    </w:p>
    <w:p>
      <w:pPr>
        <w:spacing w:after="60"/>
      </w:pPr>
      <w:r>
        <w:rPr>
          <w:b/>
        </w:rPr>
        <w:t xml:space="preserve">Esperado: </w:t>
      </w:r>
      <w:r>
        <w:t>Respostas HTTP 400 em português devem ser reconhecidas pelo verificador.</w:t>
      </w:r>
    </w:p>
    <w:p>
      <w:pPr>
        <w:spacing w:after="60"/>
      </w:pPr>
      <w:r>
        <w:rPr>
          <w:b/>
        </w:rPr>
        <w:t xml:space="preserve">Obtido inicial: </w:t>
      </w:r>
      <w:r>
        <w:t>A rodada inicial classificou duas mensagens corretas como falhas e bloqueou quatro casos dependentes.</w:t>
      </w:r>
    </w:p>
    <w:p>
      <w:pPr>
        <w:spacing w:after="60"/>
      </w:pPr>
      <w:r>
        <w:rPr>
          <w:b/>
        </w:rPr>
        <w:t xml:space="preserve">Severidade: </w:t>
      </w:r>
      <w:r>
        <w:t>Média</w:t>
      </w:r>
    </w:p>
    <w:p>
      <w:pPr>
        <w:spacing w:after="60"/>
      </w:pPr>
      <w:r>
        <w:rPr>
          <w:b/>
        </w:rPr>
        <w:t xml:space="preserve">Correção: </w:t>
      </w:r>
      <w:r>
        <w:t>Heurística do verificador ampliada para reconhecer as palavras nome e preenchido.</w:t>
      </w:r>
    </w:p>
    <w:p>
      <w:pPr>
        <w:spacing w:after="60"/>
      </w:pPr>
      <w:r>
        <w:rPr>
          <w:b/>
        </w:rPr>
        <w:t xml:space="preserve">Reteste e regressão: </w:t>
      </w:r>
      <w:r>
        <w:t>CT04 e CT09 passaram; os 22 casos foram reexecutados e passaram.</w:t>
      </w:r>
    </w:p>
    <w:p>
      <w:pPr>
        <w:spacing w:after="60"/>
      </w:pPr>
      <w:r>
        <w:rPr>
          <w:b/>
        </w:rPr>
        <w:t xml:space="preserve">Status: </w:t>
      </w:r>
      <w:r>
        <w:t>Fechado em 08/10/2026 22:37:15.</w:t>
      </w:r>
    </w:p>
    <w:p>
      <w:pPr>
        <w:spacing w:after="60"/>
      </w:pPr>
      <w:r>
        <w:rPr>
          <w:b/>
        </w:rPr>
        <w:t xml:space="preserve">Evidência: </w:t>
      </w:r>
      <w:r>
        <w:t>docs/evidencias/execucao-instrumentacao-inicial.json; docs/evidencias/execucao.json.</w:t>
      </w:r>
    </w:p>
    <w:p>
      <w:r>
        <w:t>A API havia respondido corretamente com HTTP 400 e a mensagem Nome deve ser preenchido. A mudança foi feita no reconhecimento de português do verificador. Os resultados esperados permaneceram iguais; os casos afetados passaram e a regressão completa de 22 casos foi executada novamente.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1008"/>
        <w:gridCol w:w="1152"/>
        <w:gridCol w:w="1152"/>
        <w:gridCol w:w="1296"/>
        <w:gridCol w:w="1152"/>
      </w:tblGrid>
      <w:tr>
        <w:trPr>
          <w:tblHeader/>
          <w:cantSplit/>
        </w:trPr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64563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Rodada automática</w:t>
            </w:r>
          </w:p>
        </w:tc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64563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Total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64563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Passou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64563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Falhou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64563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Bloqueado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64563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Abertos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sz w:val="20"/>
              </w:rPr>
              <w:t>Inicial</w:t>
            </w:r>
          </w:p>
        </w:tc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sz w:val="20"/>
              </w:rPr>
              <w:t>22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sz w:val="20"/>
              </w:rPr>
              <w:t>16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sz w:val="20"/>
              </w:rPr>
              <w:t>2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sz w:val="20"/>
              </w:rPr>
              <w:t>4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sz w:val="20"/>
              </w:rPr>
              <w:t>2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sz w:val="20"/>
              </w:rPr>
              <w:t>Após correção</w:t>
            </w:r>
          </w:p>
        </w:tc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sz w:val="20"/>
              </w:rPr>
              <w:t>22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sz w:val="20"/>
              </w:rPr>
              <w:t>22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sz w:val="20"/>
              </w:rPr>
              <w:t>0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sz w:val="20"/>
              </w:rPr>
              <w:t>0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sz w:val="20"/>
              </w:rPr>
              <w:t>0</w:t>
            </w:r>
          </w:p>
        </w:tc>
      </w:tr>
    </w:tbl>
    <w:p>
      <w:pPr>
        <w:spacing w:after="40"/>
      </w:pPr>
    </w:p>
    <w:p>
      <w:pPr>
        <w:pStyle w:val="Heading1"/>
      </w:pPr>
      <w:r>
        <w:t>5 Resumo da regressão automática</w:t>
      </w:r>
    </w:p>
    <w:p>
      <w:r>
        <w:t>Os 22 roteiros completos permanecem disponíveis na planilha testes.xlsx e nos arquivos casos.json e execucao.json. A tabela identifica os resultados reais sem duplicar todos os roteiros neste relatório.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"/>
        <w:gridCol w:w="6912"/>
        <w:gridCol w:w="1296"/>
      </w:tblGrid>
      <w:tr>
        <w:trPr>
          <w:tblHeader/>
          <w:cantSplit/>
        </w:trPr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64563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ID</w:t>
            </w:r>
          </w:p>
        </w:tc>
        <w:tc>
          <w:tcPr>
            <w:tcW w:type="dxa" w:w="69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64563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Cenário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64563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Status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sz w:val="20"/>
              </w:rPr>
              <w:t>CT01</w:t>
            </w:r>
          </w:p>
        </w:tc>
        <w:tc>
          <w:tcPr>
            <w:tcW w:type="dxa" w:w="69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rFonts w:ascii="Arial" w:hAnsi="Arial"/>
                <w:sz w:val="20"/>
              </w:rPr>
              <w:t>Cadastrar operador e verificar proteção da senha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sz w:val="20"/>
              </w:rPr>
              <w:t>Passou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sz w:val="20"/>
              </w:rPr>
              <w:t>CT02</w:t>
            </w:r>
          </w:p>
        </w:tc>
        <w:tc>
          <w:tcPr>
            <w:tcW w:type="dxa" w:w="69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rFonts w:ascii="Arial" w:hAnsi="Arial"/>
                <w:sz w:val="20"/>
              </w:rPr>
              <w:t>Cadastrar administrador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sz w:val="20"/>
              </w:rPr>
              <w:t>Passou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sz w:val="20"/>
              </w:rPr>
              <w:t>CT03</w:t>
            </w:r>
          </w:p>
        </w:tc>
        <w:tc>
          <w:tcPr>
            <w:tcW w:type="dxa" w:w="69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rFonts w:ascii="Arial" w:hAnsi="Arial"/>
                <w:sz w:val="20"/>
              </w:rPr>
              <w:t>Recusar e-mail duplicado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sz w:val="20"/>
              </w:rPr>
              <w:t>Passou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sz w:val="20"/>
              </w:rPr>
              <w:t>CT04</w:t>
            </w:r>
          </w:p>
        </w:tc>
        <w:tc>
          <w:tcPr>
            <w:tcW w:type="dxa" w:w="69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rFonts w:ascii="Arial" w:hAnsi="Arial"/>
                <w:sz w:val="20"/>
              </w:rPr>
              <w:t>Recusar perfil inválido e cadastro incompleto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sz w:val="20"/>
              </w:rPr>
              <w:t>Passou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sz w:val="20"/>
              </w:rPr>
              <w:t>CT05</w:t>
            </w:r>
          </w:p>
        </w:tc>
        <w:tc>
          <w:tcPr>
            <w:tcW w:type="dxa" w:w="69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rFonts w:ascii="Arial" w:hAnsi="Arial"/>
                <w:sz w:val="20"/>
              </w:rPr>
              <w:t>Login dos dois perfis com token de oito horas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sz w:val="20"/>
              </w:rPr>
              <w:t>Passou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sz w:val="20"/>
              </w:rPr>
              <w:t>CT06</w:t>
            </w:r>
          </w:p>
        </w:tc>
        <w:tc>
          <w:tcPr>
            <w:tcW w:type="dxa" w:w="69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rFonts w:ascii="Arial" w:hAnsi="Arial"/>
                <w:sz w:val="20"/>
              </w:rPr>
              <w:t>Recusar credenciais inválidas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sz w:val="20"/>
              </w:rPr>
              <w:t>Passou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sz w:val="20"/>
              </w:rPr>
              <w:t>CT07</w:t>
            </w:r>
          </w:p>
        </w:tc>
        <w:tc>
          <w:tcPr>
            <w:tcW w:type="dxa" w:w="69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rFonts w:ascii="Arial" w:hAnsi="Arial"/>
                <w:sz w:val="20"/>
              </w:rPr>
              <w:t>Bloquear requisições sem token, com token inválido e expirado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sz w:val="20"/>
              </w:rPr>
              <w:t>Passou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sz w:val="20"/>
              </w:rPr>
              <w:t>CT08</w:t>
            </w:r>
          </w:p>
        </w:tc>
        <w:tc>
          <w:tcPr>
            <w:tcW w:type="dxa" w:w="69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rFonts w:ascii="Arial" w:hAnsi="Arial"/>
                <w:sz w:val="20"/>
              </w:rPr>
              <w:t>Cadastrar produto com estoque inicial informado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sz w:val="20"/>
              </w:rPr>
              <w:t>Passou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sz w:val="20"/>
              </w:rPr>
              <w:t>CT09</w:t>
            </w:r>
          </w:p>
        </w:tc>
        <w:tc>
          <w:tcPr>
            <w:tcW w:type="dxa" w:w="69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rFonts w:ascii="Arial" w:hAnsi="Arial"/>
                <w:sz w:val="20"/>
              </w:rPr>
              <w:t>Estoque padrão zero e validação do cadastro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sz w:val="20"/>
              </w:rPr>
              <w:t>Passou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sz w:val="20"/>
              </w:rPr>
              <w:t>CT10</w:t>
            </w:r>
          </w:p>
        </w:tc>
        <w:tc>
          <w:tcPr>
            <w:tcW w:type="dxa" w:w="69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rFonts w:ascii="Arial" w:hAnsi="Arial"/>
                <w:sz w:val="20"/>
              </w:rPr>
              <w:t>Listagem paginada, resposta em array e desempenho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sz w:val="20"/>
              </w:rPr>
              <w:t>Passou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sz w:val="20"/>
              </w:rPr>
              <w:t>CT11</w:t>
            </w:r>
          </w:p>
        </w:tc>
        <w:tc>
          <w:tcPr>
            <w:tcW w:type="dxa" w:w="69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rFonts w:ascii="Arial" w:hAnsi="Arial"/>
                <w:sz w:val="20"/>
              </w:rPr>
              <w:t>Filtro por trecho do nome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sz w:val="20"/>
              </w:rPr>
              <w:t>Passou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sz w:val="20"/>
              </w:rPr>
              <w:t>CT12</w:t>
            </w:r>
          </w:p>
        </w:tc>
        <w:tc>
          <w:tcPr>
            <w:tcW w:type="dxa" w:w="69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rFonts w:ascii="Arial" w:hAnsi="Arial"/>
                <w:sz w:val="20"/>
              </w:rPr>
              <w:t>Filtro por data de cadastro e combinação com nome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sz w:val="20"/>
              </w:rPr>
              <w:t>Passou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sz w:val="20"/>
              </w:rPr>
              <w:t>CT13</w:t>
            </w:r>
          </w:p>
        </w:tc>
        <w:tc>
          <w:tcPr>
            <w:tcW w:type="dxa" w:w="69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rFonts w:ascii="Arial" w:hAnsi="Arial"/>
                <w:sz w:val="20"/>
              </w:rPr>
              <w:t>Recusar paginação e data inválidas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sz w:val="20"/>
              </w:rPr>
              <w:t>Passou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sz w:val="20"/>
              </w:rPr>
              <w:t>CT14</w:t>
            </w:r>
          </w:p>
        </w:tc>
        <w:tc>
          <w:tcPr>
            <w:tcW w:type="dxa" w:w="69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rFonts w:ascii="Arial" w:hAnsi="Arial"/>
                <w:sz w:val="20"/>
              </w:rPr>
              <w:t>Impedir exclusão por operador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sz w:val="20"/>
              </w:rPr>
              <w:t>Passou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sz w:val="20"/>
              </w:rPr>
              <w:t>CT15</w:t>
            </w:r>
          </w:p>
        </w:tc>
        <w:tc>
          <w:tcPr>
            <w:tcW w:type="dxa" w:w="69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rFonts w:ascii="Arial" w:hAnsi="Arial"/>
                <w:sz w:val="20"/>
              </w:rPr>
              <w:t>Excluir por administrador e tratar id inexistente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sz w:val="20"/>
              </w:rPr>
              <w:t>Passou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sz w:val="20"/>
              </w:rPr>
              <w:t>CT16</w:t>
            </w:r>
          </w:p>
        </w:tc>
        <w:tc>
          <w:tcPr>
            <w:tcW w:type="dxa" w:w="69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rFonts w:ascii="Arial" w:hAnsi="Arial"/>
                <w:sz w:val="20"/>
              </w:rPr>
              <w:t>Registrar entrada e responsável do token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sz w:val="20"/>
              </w:rPr>
              <w:t>Passou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sz w:val="20"/>
              </w:rPr>
              <w:t>CT17</w:t>
            </w:r>
          </w:p>
        </w:tc>
        <w:tc>
          <w:tcPr>
            <w:tcW w:type="dxa" w:w="69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rFonts w:ascii="Arial" w:hAnsi="Arial"/>
                <w:sz w:val="20"/>
              </w:rPr>
              <w:t>Registrar saída e reduzir estoque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sz w:val="20"/>
              </w:rPr>
              <w:t>Passou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sz w:val="20"/>
              </w:rPr>
              <w:t>CT18</w:t>
            </w:r>
          </w:p>
        </w:tc>
        <w:tc>
          <w:tcPr>
            <w:tcW w:type="dxa" w:w="69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rFonts w:ascii="Arial" w:hAnsi="Arial"/>
                <w:sz w:val="20"/>
              </w:rPr>
              <w:t>Recusar saída maior que o estoque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sz w:val="20"/>
              </w:rPr>
              <w:t>Passou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sz w:val="20"/>
              </w:rPr>
              <w:t>CT19</w:t>
            </w:r>
          </w:p>
        </w:tc>
        <w:tc>
          <w:tcPr>
            <w:tcW w:type="dxa" w:w="69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rFonts w:ascii="Arial" w:hAnsi="Arial"/>
                <w:sz w:val="20"/>
              </w:rPr>
              <w:t>Recusar quantidade zero, negativa e fracionária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sz w:val="20"/>
              </w:rPr>
              <w:t>Passou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sz w:val="20"/>
              </w:rPr>
              <w:t>CT20</w:t>
            </w:r>
          </w:p>
        </w:tc>
        <w:tc>
          <w:tcPr>
            <w:tcW w:type="dxa" w:w="69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rFonts w:ascii="Arial" w:hAnsi="Arial"/>
                <w:sz w:val="20"/>
              </w:rPr>
              <w:t>Recusar tipo de movimentação inválido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sz w:val="20"/>
              </w:rPr>
              <w:t>Passou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sz w:val="20"/>
              </w:rPr>
              <w:t>CT21</w:t>
            </w:r>
          </w:p>
        </w:tc>
        <w:tc>
          <w:tcPr>
            <w:tcW w:type="dxa" w:w="69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rFonts w:ascii="Arial" w:hAnsi="Arial"/>
                <w:sz w:val="20"/>
              </w:rPr>
              <w:t>Recusar movimentação de produto inexistente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sz w:val="20"/>
              </w:rPr>
              <w:t>Passou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sz w:val="20"/>
              </w:rPr>
              <w:t>CT22</w:t>
            </w:r>
          </w:p>
        </w:tc>
        <w:tc>
          <w:tcPr>
            <w:tcW w:type="dxa" w:w="69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rFonts w:ascii="Arial" w:hAnsi="Arial"/>
                <w:sz w:val="20"/>
              </w:rPr>
              <w:t>Aceitar o valor limite de uma unidade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sz w:val="20"/>
              </w:rPr>
              <w:t>Passou</w:t>
            </w:r>
          </w:p>
        </w:tc>
      </w:tr>
    </w:tbl>
    <w:p>
      <w:pPr>
        <w:spacing w:after="40"/>
      </w:pPr>
    </w:p>
    <w:p>
      <w:r>
        <w:t>O critério de saída da execução foi atendido: 22 casos executados e aprovados, nenhum caso bloqueado e zero defeitos abertos. O defeito fechado DFV01 pertence à instrumentação e está preservado no histórico.</w:t>
      </w:r>
    </w:p>
    <w:p>
      <w:r>
        <w:br w:type="page"/>
      </w:r>
    </w:p>
    <w:p>
      <w:pPr>
        <w:pStyle w:val="Heading1"/>
      </w:pPr>
      <w:r>
        <w:t>6 Exercícios de fixação</w:t>
      </w:r>
    </w:p>
    <w:p>
      <w:pPr>
        <w:pStyle w:val="Heading2"/>
      </w:pPr>
      <w:r>
        <w:t>Nível 1 Nível tipo ou técnica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20"/>
        <w:gridCol w:w="3456"/>
        <w:gridCol w:w="5040"/>
      </w:tblGrid>
      <w:tr>
        <w:trPr>
          <w:tblHeader/>
          <w:cantSplit/>
        </w:trPr>
        <w:tc>
          <w:tcPr>
            <w:tcW w:type="dxa" w:w="7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64563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Item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64563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Situação</w:t>
            </w:r>
          </w:p>
        </w:tc>
        <w:tc>
          <w:tcPr>
            <w:tcW w:type="dxa" w:w="50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64563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Resposta e justificativa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sz w:val="20"/>
              </w:rPr>
              <w:t>1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rFonts w:ascii="Arial" w:hAnsi="Arial"/>
                <w:sz w:val="20"/>
              </w:rPr>
              <w:t>Função calcularMulta isolada, sem banco e rotas.</w:t>
            </w:r>
          </w:p>
        </w:tc>
        <w:tc>
          <w:tcPr>
            <w:tcW w:type="dxa" w:w="50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rFonts w:ascii="Arial" w:hAnsi="Arial"/>
                <w:sz w:val="20"/>
              </w:rPr>
              <w:t>Unidade. Verifica uma parte pequena de forma isolada.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sz w:val="20"/>
              </w:rPr>
              <w:t>2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rFonts w:ascii="Arial" w:hAnsi="Arial"/>
                <w:sz w:val="20"/>
              </w:rPr>
              <w:t>Reexecutar casos anteriores após corrigir o login.</w:t>
            </w:r>
          </w:p>
        </w:tc>
        <w:tc>
          <w:tcPr>
            <w:tcW w:type="dxa" w:w="50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rFonts w:ascii="Arial" w:hAnsi="Arial"/>
                <w:sz w:val="20"/>
              </w:rPr>
              <w:t>Regressão. Procura efeitos da alteração no que já passava.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sz w:val="20"/>
              </w:rPr>
              <w:t>3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rFonts w:ascii="Arial" w:hAnsi="Arial"/>
                <w:sz w:val="20"/>
              </w:rPr>
              <w:t>Bibliotecária usa e aprova formalmente a entrega.</w:t>
            </w:r>
          </w:p>
        </w:tc>
        <w:tc>
          <w:tcPr>
            <w:tcW w:type="dxa" w:w="50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rFonts w:ascii="Arial" w:hAnsi="Arial"/>
                <w:sz w:val="20"/>
              </w:rPr>
              <w:t>Aceitação. O usuário final avalia a necessidade real.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sz w:val="20"/>
              </w:rPr>
              <w:t>4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rFonts w:ascii="Arial" w:hAnsi="Arial"/>
                <w:sz w:val="20"/>
              </w:rPr>
              <w:t>Mil requisições simultâneas para a listagem.</w:t>
            </w:r>
          </w:p>
        </w:tc>
        <w:tc>
          <w:tcPr>
            <w:tcW w:type="dxa" w:w="50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rFonts w:ascii="Arial" w:hAnsi="Arial"/>
                <w:sz w:val="20"/>
              </w:rPr>
              <w:t>Não funcional de desempenho e carga. Estresse exigiria exceder a capacidade.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sz w:val="20"/>
              </w:rPr>
              <w:t>5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rFonts w:ascii="Arial" w:hAnsi="Arial"/>
                <w:sz w:val="20"/>
              </w:rPr>
              <w:t>Rota, autenticação e banco funcionando juntos.</w:t>
            </w:r>
          </w:p>
        </w:tc>
        <w:tc>
          <w:tcPr>
            <w:tcW w:type="dxa" w:w="50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rFonts w:ascii="Arial" w:hAnsi="Arial"/>
                <w:sz w:val="20"/>
              </w:rPr>
              <w:t>Integração. Confere a comunicação entre componentes.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sz w:val="20"/>
              </w:rPr>
              <w:t>6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rFonts w:ascii="Arial" w:hAnsi="Arial"/>
                <w:sz w:val="20"/>
              </w:rPr>
              <w:t>Postman sem leitura do código, comparando respostas.</w:t>
            </w:r>
          </w:p>
        </w:tc>
        <w:tc>
          <w:tcPr>
            <w:tcW w:type="dxa" w:w="50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rFonts w:ascii="Arial" w:hAnsi="Arial"/>
                <w:sz w:val="20"/>
              </w:rPr>
              <w:t>Caixa preta. A técnica usa entradas e saídas; a situação não define sozinha o nível.</w:t>
            </w:r>
          </w:p>
        </w:tc>
      </w:tr>
    </w:tbl>
    <w:p>
      <w:pPr>
        <w:spacing w:after="40"/>
      </w:pPr>
    </w:p>
    <w:p>
      <w:pPr>
        <w:pStyle w:val="Heading2"/>
      </w:pPr>
      <w:r>
        <w:t>Nível 2 Caso de teste incompleto</w:t>
      </w:r>
    </w:p>
    <w:p>
      <w:r>
        <w:t>O caso Testar cadastro, com o passo cadastrar um livro e esperado funcionar corretamente, não define ID, requisito, pré condições, dados exatos ou passos reproduzíveis. O esperado não contém status e conteúdo verificáveis; faltam obtido, status e evidência. Esses problemas impedem repetir e comparar o teste.</w:t>
      </w:r>
    </w:p>
    <w:p>
      <w:pPr>
        <w:pStyle w:val="Heading2"/>
      </w:pPr>
      <w:r>
        <w:t>EX CT01 Cadastro de livro válido</w:t>
      </w:r>
    </w:p>
    <w:p>
      <w:pPr>
        <w:spacing w:after="60"/>
      </w:pPr>
      <w:r>
        <w:rPr>
          <w:b/>
        </w:rPr>
        <w:t xml:space="preserve">Requisito: </w:t>
      </w:r>
      <w:r>
        <w:t>RF03 cadastrar livro e RNF02 rota protegida por token.</w:t>
      </w:r>
    </w:p>
    <w:p>
      <w:pPr>
        <w:spacing w:after="60"/>
      </w:pPr>
      <w:r>
        <w:rPr>
          <w:b/>
        </w:rPr>
        <w:t xml:space="preserve">Pré condições: </w:t>
      </w:r>
      <w:r>
        <w:t>API da biblioteca e MySQL disponíveis; usuário cadastrado; token válido; dados exclusivos de teste.</w:t>
      </w:r>
    </w:p>
    <w:p>
      <w:pPr>
        <w:spacing w:after="60"/>
      </w:pPr>
      <w:r>
        <w:rPr>
          <w:b/>
        </w:rPr>
        <w:t xml:space="preserve">Passos: </w:t>
      </w:r>
      <w:r>
        <w:t>1. Fazer login. 2. Enviar POST /livros com o JSON e Authorization Bearer TOKEN. 3. Conferir status e corpo. 4. Consultar o livro no MySQL.</w:t>
      </w:r>
    </w:p>
    <w:p>
      <w:pPr>
        <w:spacing w:after="60"/>
      </w:pPr>
      <w:r>
        <w:rPr>
          <w:b/>
        </w:rPr>
        <w:t xml:space="preserve">Dados: </w:t>
      </w:r>
      <w:r>
        <w:t>titulo Livro de teste EX CT01; autor Autor de teste; quantidade_estoque 10; token válido.</w:t>
      </w:r>
    </w:p>
    <w:p>
      <w:pPr>
        <w:spacing w:after="60"/>
      </w:pPr>
      <w:r>
        <w:rPr>
          <w:b/>
        </w:rPr>
        <w:t xml:space="preserve">Esperado: </w:t>
      </w:r>
      <w:r>
        <w:t>HTTP 201; corpo com ID, título, autor e estoque 10; linha correspondente persistida no MySQL.</w:t>
      </w:r>
    </w:p>
    <w:p>
      <w:pPr>
        <w:spacing w:after="60"/>
      </w:pPr>
      <w:r>
        <w:rPr>
          <w:b/>
        </w:rPr>
        <w:t xml:space="preserve">Obtido e status: </w:t>
      </w:r>
      <w:r>
        <w:t>Não preenchidos. Este é um exercício de elaboração para a biblioteca, não uma execução no almoxarifado.</w:t>
      </w:r>
    </w:p>
    <w:p>
      <w:pPr>
        <w:spacing w:after="60"/>
      </w:pPr>
      <w:r>
        <w:rPr>
          <w:b/>
        </w:rPr>
        <w:t xml:space="preserve">Evidência prevista: </w:t>
      </w:r>
      <w:r>
        <w:t>EX-CT01_resposta e EX-CT01_banco após execução.</w:t>
      </w:r>
    </w:p>
    <w:p>
      <w:pPr>
        <w:pStyle w:val="Heading2"/>
      </w:pPr>
      <w:r>
        <w:t>Nível 2 Análise de valor limite</w:t>
      </w:r>
    </w:p>
    <w:p>
      <w:r>
        <w:t>O campo ano de publicação aceita 1900 a 2026, inclusive. As partições são abaixo de 1900, inválida; de 1900 a 2026, válida; acima de 2026, inválida. O teste usa as duas bordas e o primeiro valor externo de cada lado.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52"/>
        <w:gridCol w:w="1728"/>
        <w:gridCol w:w="6336"/>
      </w:tblGrid>
      <w:tr>
        <w:trPr>
          <w:tblHeader/>
          <w:cantSplit/>
        </w:trP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64563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Ano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64563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Esperado</w:t>
            </w:r>
          </w:p>
        </w:tc>
        <w:tc>
          <w:tcPr>
            <w:tcW w:type="dxa" w:w="63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64563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Motivo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sz w:val="20"/>
              </w:rPr>
              <w:t>1899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rFonts w:ascii="Arial" w:hAnsi="Arial"/>
                <w:sz w:val="20"/>
              </w:rPr>
              <w:t>Recusar</w:t>
            </w:r>
          </w:p>
        </w:tc>
        <w:tc>
          <w:tcPr>
            <w:tcW w:type="dxa" w:w="63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rFonts w:ascii="Arial" w:hAnsi="Arial"/>
                <w:sz w:val="20"/>
              </w:rPr>
              <w:t>Abaixo do mínimo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sz w:val="20"/>
              </w:rPr>
              <w:t>1900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rFonts w:ascii="Arial" w:hAnsi="Arial"/>
                <w:sz w:val="20"/>
              </w:rPr>
              <w:t>Aceitar</w:t>
            </w:r>
          </w:p>
        </w:tc>
        <w:tc>
          <w:tcPr>
            <w:tcW w:type="dxa" w:w="63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rFonts w:ascii="Arial" w:hAnsi="Arial"/>
                <w:sz w:val="20"/>
              </w:rPr>
              <w:t>Limite inferior incluído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sz w:val="20"/>
              </w:rPr>
              <w:t>2026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rFonts w:ascii="Arial" w:hAnsi="Arial"/>
                <w:sz w:val="20"/>
              </w:rPr>
              <w:t>Aceitar</w:t>
            </w:r>
          </w:p>
        </w:tc>
        <w:tc>
          <w:tcPr>
            <w:tcW w:type="dxa" w:w="63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rFonts w:ascii="Arial" w:hAnsi="Arial"/>
                <w:sz w:val="20"/>
              </w:rPr>
              <w:t>Limite superior incluído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sz w:val="20"/>
              </w:rPr>
              <w:t>2027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rFonts w:ascii="Arial" w:hAnsi="Arial"/>
                <w:sz w:val="20"/>
              </w:rPr>
              <w:t>Recusar</w:t>
            </w:r>
          </w:p>
        </w:tc>
        <w:tc>
          <w:tcPr>
            <w:tcW w:type="dxa" w:w="63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rFonts w:ascii="Arial" w:hAnsi="Arial"/>
                <w:sz w:val="20"/>
              </w:rPr>
              <w:t>Acima do máximo</w:t>
            </w:r>
          </w:p>
        </w:tc>
      </w:tr>
    </w:tbl>
    <w:p>
      <w:pPr>
        <w:spacing w:after="40"/>
      </w:pPr>
    </w:p>
    <w:p>
      <w:r>
        <w:t>Essa regra pertence ao exercício do livro e não adiciona campo ou rota ao almoxarifado. A faixa 1 a 100 do exemplo de quantidade também não estabelece um máximo de 100 para o projeto.</w:t>
      </w:r>
    </w:p>
    <w:p>
      <w:pPr>
        <w:pStyle w:val="Heading1"/>
      </w:pPr>
      <w:r>
        <w:t>7 Nível 3 Aplicação ao próprio projeto</w:t>
      </w:r>
    </w:p>
    <w:p>
      <w:r>
        <w:t>1. Os caminhos felizes e de erro cobrem cadastro válido e inválido, senha correta e errada, saldo inicial válido e inválido, filtros válidos e inválidos, autorização administrativa e bloqueio do operador, movimentação válida e tipo, quantidade ou saldo inválidos. O usuário responsável vem do token; uma tentativa de fornecer outro ID no corpo é ignorada e verificada no caso automático CT16.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3888"/>
        <w:gridCol w:w="3816"/>
      </w:tblGrid>
      <w:tr>
        <w:trPr>
          <w:tblHeader/>
          <w:cantSplit/>
        </w:trPr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64563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Requisito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64563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Caminho feliz e esperado</w:t>
            </w:r>
          </w:p>
        </w:tc>
        <w:tc>
          <w:tcPr>
            <w:tcW w:type="dxa" w:w="38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64563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Caminho de erro e esperado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sz w:val="20"/>
              </w:rPr>
              <w:t>RF01 — cadastro de usuário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rFonts w:ascii="Arial" w:hAnsi="Arial"/>
                <w:sz w:val="20"/>
              </w:rPr>
              <w:t>Nome, email exclusivo, senha e perfil válido: 201, usuário persistido sem senha/hash na resposta.</w:t>
            </w:r>
          </w:p>
        </w:tc>
        <w:tc>
          <w:tcPr>
            <w:tcW w:type="dxa" w:w="38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rFonts w:ascii="Arial" w:hAnsi="Arial"/>
                <w:sz w:val="20"/>
              </w:rPr>
              <w:t>Email repetido, nome ausente ou perfil gerente: 400, sem novo usuário inválido.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sz w:val="20"/>
              </w:rPr>
              <w:t>RF02 — login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rFonts w:ascii="Arial" w:hAnsi="Arial"/>
                <w:sz w:val="20"/>
              </w:rPr>
              <w:t>Email e senha corretos: 200 e token do usuário.</w:t>
            </w:r>
          </w:p>
        </w:tc>
        <w:tc>
          <w:tcPr>
            <w:tcW w:type="dxa" w:w="38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rFonts w:ascii="Arial" w:hAnsi="Arial"/>
                <w:sz w:val="20"/>
              </w:rPr>
              <w:t>Senha errada ou email inexistente: 401 e nenhum token.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sz w:val="20"/>
              </w:rPr>
              <w:t>RF03 — cadastro de produto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rFonts w:ascii="Arial" w:hAnsi="Arial"/>
                <w:sz w:val="20"/>
              </w:rPr>
              <w:t>Dados completos e estoque inteiro não negativo: 201; estoque omitido assume zero.</w:t>
            </w:r>
          </w:p>
        </w:tc>
        <w:tc>
          <w:tcPr>
            <w:tcW w:type="dxa" w:w="38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rFonts w:ascii="Arial" w:hAnsi="Arial"/>
                <w:sz w:val="20"/>
              </w:rPr>
              <w:t>Nome ausente ou estoque negativo/fracionário: 400 e nenhum produto inválido.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sz w:val="20"/>
              </w:rPr>
              <w:t>RF04 — listagem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rFonts w:ascii="Arial" w:hAnsi="Arial"/>
                <w:sz w:val="20"/>
              </w:rPr>
              <w:t>Token válido, página/limite positivos e filtros válidos: 200 com array dos produtos correspondentes.</w:t>
            </w:r>
          </w:p>
        </w:tc>
        <w:tc>
          <w:tcPr>
            <w:tcW w:type="dxa" w:w="38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rFonts w:ascii="Arial" w:hAnsi="Arial"/>
                <w:sz w:val="20"/>
              </w:rPr>
              <w:t>Página zero/fracionária, limite zero ou data inválida: 400 com explicação.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sz w:val="20"/>
              </w:rPr>
              <w:t>RF05 — exclusão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rFonts w:ascii="Arial" w:hAnsi="Arial"/>
                <w:sz w:val="20"/>
              </w:rPr>
              <w:t>Administrador exclui ID existente: 200 e produto ausente no banco.</w:t>
            </w:r>
          </w:p>
        </w:tc>
        <w:tc>
          <w:tcPr>
            <w:tcW w:type="dxa" w:w="38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rFonts w:ascii="Arial" w:hAnsi="Arial"/>
                <w:sz w:val="20"/>
              </w:rPr>
              <w:t>Operador: 403 e produto preservado; administrador com ID inexistente: 404.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sz w:val="20"/>
              </w:rPr>
              <w:t>RF06 — movimentação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rFonts w:ascii="Arial" w:hAnsi="Arial"/>
                <w:sz w:val="20"/>
              </w:rPr>
              <w:t>Entrada ou saída válida: 201, saldo ajustado e registro persistido.</w:t>
            </w:r>
          </w:p>
        </w:tc>
        <w:tc>
          <w:tcPr>
            <w:tcW w:type="dxa" w:w="38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rFonts w:ascii="Arial" w:hAnsi="Arial"/>
                <w:sz w:val="20"/>
              </w:rPr>
              <w:t>Quantidade zero, tipo inválido ou saída acima do saldo: 400, saldo e histórico preservados.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sz w:val="20"/>
              </w:rPr>
              <w:t>RF07 — responsável automático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rFonts w:ascii="Arial" w:hAnsi="Arial"/>
                <w:sz w:val="20"/>
              </w:rPr>
              <w:t>Movimentação registra o ID do usuário autenticado.</w:t>
            </w:r>
          </w:p>
        </w:tc>
        <w:tc>
          <w:tcPr>
            <w:tcW w:type="dxa" w:w="38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rFonts w:ascii="Arial" w:hAnsi="Arial"/>
                <w:sz w:val="20"/>
              </w:rPr>
              <w:t>Corpo tenta informar outro usuario_id: o ID forjado é ignorado e o responsável permanece o do token.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sz w:val="20"/>
              </w:rPr>
              <w:t>RNF01 — proteção da senha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rFonts w:ascii="Arial" w:hAnsi="Arial"/>
                <w:sz w:val="20"/>
              </w:rPr>
              <w:t>Cadastro grava hash bcrypt e a resposta não mostra senha/hash.</w:t>
            </w:r>
          </w:p>
        </w:tc>
        <w:tc>
          <w:tcPr>
            <w:tcW w:type="dxa" w:w="38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rFonts w:ascii="Arial" w:hAnsi="Arial"/>
                <w:sz w:val="20"/>
              </w:rPr>
              <w:t>Se houver senha em texto puro no banco ou senha/hash na resposta, a verificação deve falhar.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sz w:val="20"/>
              </w:rPr>
              <w:t>RNF02 — token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rFonts w:ascii="Arial" w:hAnsi="Arial"/>
                <w:sz w:val="20"/>
              </w:rPr>
              <w:t>JWT válido permite acesso; login emite token com expiração de oito horas.</w:t>
            </w:r>
          </w:p>
        </w:tc>
        <w:tc>
          <w:tcPr>
            <w:tcW w:type="dxa" w:w="38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rFonts w:ascii="Arial" w:hAnsi="Arial"/>
                <w:sz w:val="20"/>
              </w:rPr>
              <w:t>Token ausente, inválido ou expirado: 401 e acesso negado.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sz w:val="20"/>
              </w:rPr>
              <w:t>RNF03 — desempenho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rFonts w:ascii="Arial" w:hAnsi="Arial"/>
                <w:sz w:val="20"/>
              </w:rPr>
              <w:t>Cada listagem do ambiente/massa definidos responde em até 2.000 ms.</w:t>
            </w:r>
          </w:p>
        </w:tc>
        <w:tc>
          <w:tcPr>
            <w:tcW w:type="dxa" w:w="38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rFonts w:ascii="Arial" w:hAnsi="Arial"/>
                <w:sz w:val="20"/>
              </w:rPr>
              <w:t>Se a medição superar 2.000 ms, o requisito deve ser classificado como não atendido.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sz w:val="20"/>
              </w:rPr>
              <w:t>RNF04 — português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rFonts w:ascii="Arial" w:hAnsi="Arial"/>
                <w:sz w:val="20"/>
              </w:rPr>
              <w:t>Entrada inválida recebe mensagem em português que explica o problema.</w:t>
            </w:r>
          </w:p>
        </w:tc>
        <w:tc>
          <w:tcPr>
            <w:tcW w:type="dxa" w:w="38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rFonts w:ascii="Arial" w:hAnsi="Arial"/>
                <w:sz w:val="20"/>
              </w:rPr>
              <w:t>Mensagem ausente, incompreensível ou em outro idioma deve reprovar a verificação de usabilidade.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sz w:val="20"/>
              </w:rPr>
              <w:t>RNF05 — infraestrutura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rFonts w:ascii="Arial" w:hAnsi="Arial"/>
                <w:sz w:val="20"/>
              </w:rPr>
              <w:t>API executa em Node.js e grava/consulta os registros no MySQL real.</w:t>
            </w:r>
          </w:p>
        </w:tc>
        <w:tc>
          <w:tcPr>
            <w:tcW w:type="dxa" w:w="38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rFonts w:ascii="Arial" w:hAnsi="Arial"/>
                <w:sz w:val="20"/>
              </w:rPr>
              <w:t>MySQL indisponível impede preparar/iniciar o sistema; registrar bloqueio de ambiente, sem declarar persistência comprovada.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sz w:val="20"/>
              </w:rPr>
              <w:t>RN01 — administrador exclui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rFonts w:ascii="Arial" w:hAnsi="Arial"/>
                <w:sz w:val="20"/>
              </w:rPr>
              <w:t>Administrador autenticado exclui produto existente: 200.</w:t>
            </w:r>
          </w:p>
        </w:tc>
        <w:tc>
          <w:tcPr>
            <w:tcW w:type="dxa" w:w="38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rFonts w:ascii="Arial" w:hAnsi="Arial"/>
                <w:sz w:val="20"/>
              </w:rPr>
              <w:t>Operador tenta excluir: 403, produto permanece.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sz w:val="20"/>
              </w:rPr>
              <w:t>RN02 — usuário responsável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rFonts w:ascii="Arial" w:hAnsi="Arial"/>
                <w:sz w:val="20"/>
              </w:rPr>
              <w:t>Registro contém o ID do usuário identificado pelo token.</w:t>
            </w:r>
          </w:p>
        </w:tc>
        <w:tc>
          <w:tcPr>
            <w:tcW w:type="dxa" w:w="38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rFonts w:ascii="Arial" w:hAnsi="Arial"/>
                <w:sz w:val="20"/>
              </w:rPr>
              <w:t>Tentativa de atribuir a movimentação a outro ID no corpo é ignorada; responsável continua sendo o autenticado.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sz w:val="20"/>
              </w:rPr>
              <w:t>RN03 — tipo permitido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rFonts w:ascii="Arial" w:hAnsi="Arial"/>
                <w:sz w:val="20"/>
              </w:rPr>
              <w:t>Tipos entrada e saida são aceitos em movimentações válidas.</w:t>
            </w:r>
          </w:p>
        </w:tc>
        <w:tc>
          <w:tcPr>
            <w:tcW w:type="dxa" w:w="38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rFonts w:ascii="Arial" w:hAnsi="Arial"/>
                <w:sz w:val="20"/>
              </w:rPr>
              <w:t>Tipo ajuste: 400 e nenhuma alteração de saldo/histórico.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sz w:val="20"/>
              </w:rPr>
              <w:t>RN04 — quantidade positiva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rFonts w:ascii="Arial" w:hAnsi="Arial"/>
                <w:sz w:val="20"/>
              </w:rPr>
              <w:t>Quantidade inteira 1 é aceita, inclusive no limite inferior.</w:t>
            </w:r>
          </w:p>
        </w:tc>
        <w:tc>
          <w:tcPr>
            <w:tcW w:type="dxa" w:w="38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rFonts w:ascii="Arial" w:hAnsi="Arial"/>
                <w:sz w:val="20"/>
              </w:rPr>
              <w:t>Quantidades 0, −1 ou 1,5: 400 e nenhuma alteração de saldo/histórico.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rFonts w:ascii="Arial" w:hAnsi="Arial"/>
                <w:sz w:val="20"/>
              </w:rPr>
              <w:t>RN05 — estoque suficiente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rFonts w:ascii="Arial" w:hAnsi="Arial"/>
                <w:sz w:val="20"/>
              </w:rPr>
              <w:t>Saída de quantidade menor ou igual ao saldo é permitida e não deixa estoque negativo.</w:t>
            </w:r>
          </w:p>
        </w:tc>
        <w:tc>
          <w:tcPr>
            <w:tcW w:type="dxa" w:w="38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rFonts w:ascii="Arial" w:hAnsi="Arial"/>
                <w:sz w:val="20"/>
              </w:rPr>
              <w:t>Saída maior que o saldo: 400, mantendo saldo e histórico.</w:t>
            </w:r>
          </w:p>
        </w:tc>
      </w:tr>
    </w:tbl>
    <w:p>
      <w:pPr>
        <w:spacing w:after="40"/>
      </w:pPr>
    </w:p>
    <w:p>
      <w:r>
        <w:t>Os erros hipotéticos de senha exposta, tempo acima do limite, mensagem inadequada e indisponibilidade do banco são a análise dos caminhos do exercício. Eles não foram provocados como novas execuções e não alteram a contagem dos 22 casos reais.</w:t>
      </w:r>
    </w:p>
    <w:p>
      <w:r>
        <w:t>2. Foram definidos dez casos práticos antes da execução. M7-CT02, M7-CT03, M7-CT05 e M7-CT10 cobrem caminhos de erro. M7-CT10 verifica a borda inválida zero; o caso automático CT22 complementa a borda válida de uma unidade. Os roteiros e esperados prévios estão preservados em casos-praticos.json e casos.json.</w:t>
      </w:r>
    </w:p>
    <w:p>
      <w:r>
        <w:t>3. O plano registra escopo, ambiente, estratégia, critérios de entrada e saída, responsáveis e cronograma na seção 1. A execução usa schema exclusivo para testes e preserva os registros para conferência.</w:t>
      </w:r>
    </w:p>
    <w:p>
      <w:r>
        <w:t>4. A matriz da seção 3 liga todos os RF, RNF e RN a casos. Os dez exemplos práticos não cobrem sozinhos todos os requisitos; a seleção complementar inclui cadastro de usuários, hash, expiração, filtro de data, mensagens, desempenho e infraestrutura.</w:t>
      </w:r>
    </w:p>
    <w:p>
      <w:r>
        <w:t>5. Os dez casos da interface têm obtido, status e capturas, com confirmação no Workbench para os casos indicados no PDF. Os 22 automatizados registram respostas HTTP, tempos e resultados MySQL no JSON. As duas formas de execução são identificadas separadamente.</w:t>
      </w:r>
    </w:p>
    <w:p>
      <w:r>
        <w:t>6. DFV01 registra o falso positivo do verificador, sua reprodução, esperado e obtido, severidade, correção, evidência e fechamento. Após reteste e regressão, o resumo final mostra todos os casos aprovados e nenhum defeito aberto; o critério de saída foi atendido. A aceitação formal pelo professor permanece uma etapa de avaliação.</w:t>
      </w:r>
    </w:p>
    <w:p>
      <w:r>
        <w:br w:type="page"/>
      </w:r>
    </w:p>
    <w:p>
      <w:pPr>
        <w:pStyle w:val="Heading1"/>
      </w:pPr>
      <w:r>
        <w:t>8 Evidências práticas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791539" cy="3611879"/>
            <wp:docPr id="1" name="Picture 1" descr="M7-CT01 resultado real na interface Postma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7-CT01_postma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91539" cy="36118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  <w:jc w:val="left"/>
      </w:pPr>
      <w:r>
        <w:t>Figura 1 M7-CT01 Postman M7-CT01_postman.png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791539" cy="3611879"/>
            <wp:docPr id="2" name="Picture 2" descr="M7-CT02 resultado real na interface Postma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7-CT02_postma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91539" cy="36118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jc w:val="left"/>
      </w:pPr>
      <w:r>
        <w:t>Figura 2 M7-CT02 Postman M7-CT02_postman.png</w:t>
      </w:r>
    </w:p>
    <w:p>
      <w:r>
        <w:br w:type="page"/>
      </w:r>
    </w:p>
    <w:p>
      <w:pPr>
        <w:pStyle w:val="Heading1"/>
      </w:pPr>
      <w:r>
        <w:t>Evidências práticas continuação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791539" cy="3611879"/>
            <wp:docPr id="3" name="Picture 3" descr="M7-CT03 resultado real na interface Postma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7-CT03_postma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91539" cy="36118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  <w:jc w:val="left"/>
      </w:pPr>
      <w:r>
        <w:t>Figura 3 M7-CT03 Postman M7-CT03_postman.png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791539" cy="3611879"/>
            <wp:docPr id="4" name="Picture 4" descr="M7-CT04 resultado real na interface Postma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7-CT04_postma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91539" cy="36118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jc w:val="left"/>
      </w:pPr>
      <w:r>
        <w:t>Figura 4 M7-CT04 Postman M7-CT04_postman.png</w:t>
      </w:r>
    </w:p>
    <w:p>
      <w:r>
        <w:br w:type="page"/>
      </w:r>
    </w:p>
    <w:p>
      <w:pPr>
        <w:pStyle w:val="Heading1"/>
      </w:pPr>
      <w:r>
        <w:t>Evidências práticas continuação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4796964" cy="3611879"/>
            <wp:docPr id="5" name="Picture 5" descr="M7-CT04 resultado real na interface MySQL Workbench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7-CT04_workbench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96964" cy="36118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  <w:jc w:val="left"/>
      </w:pPr>
      <w:r>
        <w:t>Figura 5 M7-CT04 MySQL Workbench M7-CT04_workbench.png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791539" cy="3611879"/>
            <wp:docPr id="6" name="Picture 6" descr="M7-CT05 resultado real na interface Postma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7-CT05_postma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91539" cy="36118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jc w:val="left"/>
      </w:pPr>
      <w:r>
        <w:t>Figura 6 M7-CT05 Postman M7-CT05_postman.png</w:t>
      </w:r>
    </w:p>
    <w:p>
      <w:r>
        <w:br w:type="page"/>
      </w:r>
    </w:p>
    <w:p>
      <w:pPr>
        <w:pStyle w:val="Heading1"/>
      </w:pPr>
      <w:r>
        <w:t>Evidências práticas continuação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791539" cy="3611879"/>
            <wp:docPr id="7" name="Picture 7" descr="M7-CT06 resultado real na interface Postma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7-CT06_postma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91539" cy="36118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  <w:jc w:val="left"/>
      </w:pPr>
      <w:r>
        <w:t>Figura 7 M7-CT06 Postman M7-CT06_postman.png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4796964" cy="3611879"/>
            <wp:docPr id="8" name="Picture 8" descr="M7-CT06 resultado real na interface MySQL Workbench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7-CT06_workbench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96964" cy="36118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jc w:val="left"/>
      </w:pPr>
      <w:r>
        <w:t>Figura 8 M7-CT06 MySQL Workbench M7-CT06_workbench.png</w:t>
      </w:r>
    </w:p>
    <w:p>
      <w:r>
        <w:br w:type="page"/>
      </w:r>
    </w:p>
    <w:p>
      <w:pPr>
        <w:pStyle w:val="Heading1"/>
      </w:pPr>
      <w:r>
        <w:t>Evidências práticas continuação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791539" cy="3611879"/>
            <wp:docPr id="9" name="Picture 9" descr="M7-CT07 resultado real na interface Postma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7-CT07_postman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91539" cy="36118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  <w:jc w:val="left"/>
      </w:pPr>
      <w:r>
        <w:t>Figura 9 M7-CT07 Postman M7-CT07_postman.png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791539" cy="3611879"/>
            <wp:docPr id="10" name="Picture 10" descr="M7-CT08 resultado real na interface Postma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7-CT08_postman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91539" cy="36118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jc w:val="left"/>
      </w:pPr>
      <w:r>
        <w:t>Figura 10 M7-CT08 Postman M7-CT08_postman.png</w:t>
      </w:r>
    </w:p>
    <w:p>
      <w:r>
        <w:br w:type="page"/>
      </w:r>
    </w:p>
    <w:p>
      <w:pPr>
        <w:pStyle w:val="Heading1"/>
      </w:pPr>
      <w:r>
        <w:t>Evidências práticas continuação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791539" cy="3611879"/>
            <wp:docPr id="11" name="Picture 11" descr="M7-CT09 resultado real na interface Postma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7-CT09_postman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91539" cy="36118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  <w:jc w:val="left"/>
      </w:pPr>
      <w:r>
        <w:t>Figura 11 M7-CT09 Postman M7-CT09_postman.png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4796964" cy="3611879"/>
            <wp:docPr id="12" name="Picture 12" descr="M7-CT09 resultado real na interface MySQL Workbench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7-CT09_workbench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796964" cy="36118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jc w:val="left"/>
      </w:pPr>
      <w:r>
        <w:t>Figura 12 M7-CT09 MySQL Workbench M7-CT09_workbench.png</w:t>
      </w:r>
    </w:p>
    <w:p>
      <w:r>
        <w:br w:type="page"/>
      </w:r>
    </w:p>
    <w:p>
      <w:pPr>
        <w:pStyle w:val="Heading1"/>
      </w:pPr>
      <w:r>
        <w:t>Evidências práticas continuação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791539" cy="3611879"/>
            <wp:docPr id="13" name="Picture 13" descr="M7-CT10 resultado real na interface Postma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7-CT10_postman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91539" cy="36118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  <w:jc w:val="left"/>
      </w:pPr>
      <w:r>
        <w:t>Figura 13 M7-CT10 Postman M7-CT10_postman.png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4796964" cy="3611879"/>
            <wp:docPr id="14" name="Picture 14" descr="M7-CT10 resultado real na interface MySQL Workbench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7-CT10_workbench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796964" cy="36118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jc w:val="left"/>
      </w:pPr>
      <w:r>
        <w:t>Figura 14 M7-CT10 MySQL Workbench M7-CT10_workbench.png</w:t>
      </w:r>
    </w:p>
    <w:sectPr w:rsidR="00FC693F" w:rsidRPr="0006063C" w:rsidSect="00034616">
      <w:footerReference w:type="default" r:id="rId9"/>
      <w:pgSz w:w="12240" w:h="15840"/>
      <w:pgMar w:top="1008" w:right="1080" w:bottom="1008" w:left="1080" w:header="360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Página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0" w:lineRule="auto" w:after="100"/>
    </w:pPr>
    <w:rPr>
      <w:rFonts w:ascii="Arial" w:hAnsi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120"/>
    </w:pPr>
    <w:rPr>
      <w:rFonts w:ascii="Arial" w:hAnsi="Arial"/>
      <w:b/>
      <w:bCs/>
      <w:color w:val="000000"/>
      <w:sz w:val="20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Módulo 7 Testes do sistema de estoque</dc:title>
  <dc:subject>Plano execução evidências e exercícios de testes de sistema</dc:subject>
  <dc:creator>Pedro</dc:creator>
  <cp:keywords/>
  <dc:description>Autoria Pedro. Execução pela interface com assistência do Codex.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