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Módulo 7 Testes de Sistema</w:t>
      </w:r>
    </w:p>
    <w:p>
      <w:r>
        <w:t>Pedro do Nascimento Braga  |  Turma 996  |  09/10/2026</w:t>
      </w:r>
    </w:p>
    <w:p>
      <w:pPr>
        <w:pStyle w:val="Heading1"/>
      </w:pPr>
      <w:r>
        <w:t>Plano de testes</w:t>
      </w:r>
    </w:p>
    <w:p>
      <w:r>
        <w:t>Verificar usuários, login, produtos e movimentações do almoxarifado. Ambiente: Windows, Node.js, MySQL, Postman e Workbench. Estratégia: testes de sistema, funcionais e de segurança, caixa-preta e valores limite. Entrada: API e banco disponíveis, administrador, operador e três produtos. Saída: todos os casos executados e nenhum defeito crítico ou alto aberto.</w:t>
      </w:r>
    </w:p>
    <w:p>
      <w:pPr>
        <w:pStyle w:val="Heading1"/>
      </w:pPr>
      <w:r>
        <w:t>Casos práticos e rastreabilidade</w:t>
      </w:r>
    </w:p>
    <w:p>
      <w:r>
        <w:t>Os esperados foram definidos antes da execução. Todos os casos abaixo passaram, com resultado obtido igual ao esperado.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1276"/>
        <w:gridCol w:w="1162"/>
        <w:gridCol w:w="2665"/>
        <w:gridCol w:w="4762"/>
      </w:tblGrid>
      <w:tr>
        <w:trPr>
          <w:cantSplit/>
          <w:tblHeader/>
        </w:trPr>
        <w:tc>
          <w:tcPr>
            <w:tcW w:type="dxa" w:w="1276"/>
            <w:vAlign w:val="center"/>
            <w:shd w:fill="333333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162"/>
            <w:vAlign w:val="center"/>
            <w:shd w:fill="333333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2665"/>
            <w:vAlign w:val="center"/>
            <w:shd w:fill="333333"/>
          </w:tcPr>
          <w:p>
            <w:pPr>
              <w:spacing w:after="0" w:line="245" w:lineRule="auto"/>
              <w:jc w:val="left"/>
            </w:pPr>
            <w:r>
              <w:rPr>
                <w:b/>
                <w:color w:val="FFFFFF"/>
                <w:sz w:val="19"/>
              </w:rPr>
              <w:t>Entrada</w:t>
            </w:r>
          </w:p>
        </w:tc>
        <w:tc>
          <w:tcPr>
            <w:tcW w:type="dxa" w:w="4762"/>
            <w:vAlign w:val="center"/>
            <w:shd w:fill="333333"/>
          </w:tcPr>
          <w:p>
            <w:pPr>
              <w:spacing w:after="0" w:line="245" w:lineRule="auto"/>
              <w:jc w:val="left"/>
            </w:pPr>
            <w:r>
              <w:rPr>
                <w:b/>
                <w:color w:val="FFFFFF"/>
                <w:sz w:val="19"/>
              </w:rPr>
              <w:t>Esperado e obtido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M7-CT01</w:t>
            </w:r>
          </w:p>
        </w:tc>
        <w:tc>
          <w:tcPr>
            <w:tcW w:type="dxa" w:w="116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RF02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Login com senha correta</w:t>
            </w:r>
          </w:p>
        </w:tc>
        <w:tc>
          <w:tcPr>
            <w:tcW w:type="dxa" w:w="4762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200; token recebido.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M7-CT02</w:t>
            </w:r>
          </w:p>
        </w:tc>
        <w:tc>
          <w:tcPr>
            <w:tcW w:type="dxa" w:w="1162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RF02</w:t>
            </w:r>
          </w:p>
        </w:tc>
        <w:tc>
          <w:tcPr>
            <w:tcW w:type="dxa" w:w="2665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Login com senha errada</w:t>
            </w:r>
          </w:p>
        </w:tc>
        <w:tc>
          <w:tcPr>
            <w:tcW w:type="dxa" w:w="4762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401; “Email ou senha inválidos”; sem token.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M7-CT03</w:t>
            </w:r>
          </w:p>
        </w:tc>
        <w:tc>
          <w:tcPr>
            <w:tcW w:type="dxa" w:w="116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RNF02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GET /produtos sem token</w:t>
            </w:r>
          </w:p>
        </w:tc>
        <w:tc>
          <w:tcPr>
            <w:tcW w:type="dxa" w:w="4762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401; “Token não enviado”.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M7-CT04</w:t>
            </w:r>
          </w:p>
        </w:tc>
        <w:tc>
          <w:tcPr>
            <w:tcW w:type="dxa" w:w="1162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RF03</w:t>
            </w:r>
          </w:p>
        </w:tc>
        <w:tc>
          <w:tcPr>
            <w:tcW w:type="dxa" w:w="2665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Produto válido; estoque 2</w:t>
            </w:r>
          </w:p>
        </w:tc>
        <w:tc>
          <w:tcPr>
            <w:tcW w:type="dxa" w:w="4762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201; produto id 4 gravado no banco.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M7-CT05</w:t>
            </w:r>
          </w:p>
        </w:tc>
        <w:tc>
          <w:tcPr>
            <w:tcW w:type="dxa" w:w="116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RN01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Operador exclui produto 4</w:t>
            </w:r>
          </w:p>
        </w:tc>
        <w:tc>
          <w:tcPr>
            <w:tcW w:type="dxa" w:w="4762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403; “Sem permissão para essa ação”; produto preservado.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M7-CT06</w:t>
            </w:r>
          </w:p>
        </w:tc>
        <w:tc>
          <w:tcPr>
            <w:tcW w:type="dxa" w:w="1162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RF05</w:t>
            </w:r>
          </w:p>
        </w:tc>
        <w:tc>
          <w:tcPr>
            <w:tcW w:type="dxa" w:w="2665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Administrador exclui produto 4</w:t>
            </w:r>
          </w:p>
        </w:tc>
        <w:tc>
          <w:tcPr>
            <w:tcW w:type="dxa" w:w="4762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200; “Produto removido com sucesso”; ausente no banco.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M7-CT07</w:t>
            </w:r>
          </w:p>
        </w:tc>
        <w:tc>
          <w:tcPr>
            <w:tcW w:type="dxa" w:w="116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RF04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pagina=1 e limite=2</w:t>
            </w:r>
          </w:p>
        </w:tc>
        <w:tc>
          <w:tcPr>
            <w:tcW w:type="dxa" w:w="4762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200; dois produtos retornados.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M7-CT08</w:t>
            </w:r>
          </w:p>
        </w:tc>
        <w:tc>
          <w:tcPr>
            <w:tcW w:type="dxa" w:w="1162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RF04</w:t>
            </w:r>
          </w:p>
        </w:tc>
        <w:tc>
          <w:tcPr>
            <w:tcW w:type="dxa" w:w="2665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nome=dom</w:t>
            </w:r>
          </w:p>
        </w:tc>
        <w:tc>
          <w:tcPr>
            <w:tcW w:type="dxa" w:w="4762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200; Domínio Técnico e Dom Parafuso.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M7-CT09</w:t>
            </w:r>
          </w:p>
        </w:tc>
        <w:tc>
          <w:tcPr>
            <w:tcW w:type="dxa" w:w="1162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RF06 / RF07</w:t>
            </w:r>
          </w:p>
        </w:tc>
        <w:tc>
          <w:tcPr>
            <w:tcW w:type="dxa" w:w="2665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Entrada de 5 no produto 1</w:t>
            </w:r>
          </w:p>
        </w:tc>
        <w:tc>
          <w:tcPr>
            <w:tcW w:type="dxa" w:w="4762"/>
            <w:vAlign w:val="center"/>
            <w:shd w:fill="FFFFFF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201; responsável id 1; estoque 15; movimentação gravada.</w:t>
            </w:r>
          </w:p>
        </w:tc>
      </w:tr>
      <w:tr>
        <w:trPr>
          <w:cantSplit/>
        </w:trPr>
        <w:tc>
          <w:tcPr>
            <w:tcW w:type="dxa" w:w="1276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M7-CT10</w:t>
            </w:r>
          </w:p>
        </w:tc>
        <w:tc>
          <w:tcPr>
            <w:tcW w:type="dxa" w:w="1162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RN04</w:t>
            </w:r>
          </w:p>
        </w:tc>
        <w:tc>
          <w:tcPr>
            <w:tcW w:type="dxa" w:w="2665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Entrada com quantidade 0</w:t>
            </w:r>
          </w:p>
        </w:tc>
        <w:tc>
          <w:tcPr>
            <w:tcW w:type="dxa" w:w="4762"/>
            <w:vAlign w:val="center"/>
            <w:shd w:fill="F3F4F5"/>
          </w:tcPr>
          <w:p>
            <w:pPr>
              <w:spacing w:after="0" w:line="245" w:lineRule="auto"/>
              <w:jc w:val="left"/>
            </w:pPr>
            <w:r>
              <w:rPr>
                <w:b w:val="0"/>
                <w:color w:val="000000"/>
                <w:sz w:val="19"/>
              </w:rPr>
              <w:t>400; quantidade recusada; estoque 15 e histórico preservados.</w:t>
            </w:r>
          </w:p>
        </w:tc>
      </w:tr>
    </w:tbl>
    <w:p>
      <w:pPr>
        <w:spacing w:after="0"/>
      </w:pPr>
    </w:p>
    <w:p>
      <w:pPr>
        <w:pStyle w:val="Heading1"/>
      </w:pPr>
      <w:r>
        <w:t>Resultado final</w:t>
      </w:r>
    </w:p>
    <w:p>
      <w:r>
        <w:t>10/10 casos práticos e 22/22 automáticos aprovados. Zero falhas, bloqueios ou defeitos abertos. Critério de saída atendido.</w:t>
      </w:r>
    </w:p>
    <w:p>
      <w:r>
        <w:t>Evidências: 14 capturas, uma resposta por caso e quatro consultas ao banco (M7-CT04, 06, 09 e 10). Os nomes dos arquivos usam o ID do caso.</w:t>
      </w:r>
    </w:p>
    <w:p>
      <w:r>
        <w:br w:type="page"/>
      </w:r>
    </w:p>
    <w:p>
      <w:pPr>
        <w:pStyle w:val="Heading1"/>
      </w:pPr>
      <w:r>
        <w:t>Cobertura complementar</w:t>
      </w:r>
    </w:p>
    <w:p>
      <w:r>
        <w:t>Os casos CT abaixo são automáticos; os casos M7 da página anterior são práticos. A combinação cobre os 17 requisitos.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left w:w="70" w:type="dxa"/>
          <w:bottom w:w="70" w:type="dxa"/>
          <w:right w:w="70" w:type="dxa"/>
        </w:tblCellMar>
      </w:tblPr>
      <w:tblGrid>
        <w:gridCol w:w="2494"/>
        <w:gridCol w:w="7370"/>
      </w:tblGrid>
      <w:tr>
        <w:trPr>
          <w:cantSplit/>
          <w:tblHeader/>
        </w:trPr>
        <w:tc>
          <w:tcPr>
            <w:tcW w:type="dxa" w:w="2494"/>
            <w:vAlign w:val="center"/>
            <w:shd w:fill="333333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  <w:tc>
          <w:tcPr>
            <w:tcW w:type="dxa" w:w="7370"/>
            <w:vAlign w:val="center"/>
            <w:shd w:fill="333333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Casos automáticos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RF01 e RNF01</w:t>
            </w:r>
          </w:p>
        </w:tc>
        <w:tc>
          <w:tcPr>
            <w:tcW w:type="dxa" w:w="7370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CT01–CT04; hash verificado no CT01.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RNF03 e RNF05</w:t>
            </w:r>
          </w:p>
        </w:tc>
        <w:tc>
          <w:tcPr>
            <w:tcW w:type="dxa" w:w="7370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CT10; desempenho local e execução com MySQL.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RNF04</w:t>
            </w:r>
          </w:p>
        </w:tc>
        <w:tc>
          <w:tcPr>
            <w:tcW w:type="dxa" w:w="7370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CT03, CT04, CT06, CT07, CT09, CT13, CT15, CT18–CT21.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RN02</w:t>
            </w:r>
          </w:p>
        </w:tc>
        <w:tc>
          <w:tcPr>
            <w:tcW w:type="dxa" w:w="7370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CT16, CT17 e CT21.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RN03</w:t>
            </w:r>
          </w:p>
        </w:tc>
        <w:tc>
          <w:tcPr>
            <w:tcW w:type="dxa" w:w="7370"/>
            <w:vAlign w:val="center"/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CT16, CT17 e CT20.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RN05</w:t>
            </w:r>
          </w:p>
        </w:tc>
        <w:tc>
          <w:tcPr>
            <w:tcW w:type="dxa" w:w="7370"/>
            <w:vAlign w:val="center"/>
            <w:shd w:fill="F3F4F5"/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19"/>
              </w:rPr>
              <w:t>CT17, CT18 e CT22.</w:t>
            </w:r>
          </w:p>
        </w:tc>
      </w:tr>
    </w:tbl>
    <w:p>
      <w:pPr>
        <w:spacing w:after="0"/>
      </w:pPr>
    </w:p>
    <w:p>
      <w:r>
        <w:t>A quantidade zero é um limite inválido; uma unidade é o limite válido, aprovado no CT22. A medição de desempenho foi local, com quatro produtos.</w:t>
      </w:r>
    </w:p>
    <w:p>
      <w:pPr>
        <w:pStyle w:val="Heading1"/>
      </w:pPr>
      <w:r>
        <w:t>Defeito e reteste</w:t>
      </w:r>
    </w:p>
    <w:p>
      <w:r>
        <w:t>DFV01, severidade média, CT04/CT09 automáticos: cadastros sem nome retornaram 400 em português, mas o verificador classificou a mensagem como falha. O esperado era reconhecer o erro de validação. A verificação foi corrigida, os 22 casos foram repetidos e passaram. Defeito fechado; nenhuma falha nos dez casos práticos.</w:t>
      </w:r>
    </w:p>
    <w:p>
      <w:pPr>
        <w:pStyle w:val="Heading1"/>
      </w:pPr>
      <w:r>
        <w:t>Exercícios</w:t>
      </w:r>
    </w:p>
    <w:p>
      <w:r>
        <w:rPr>
          <w:b/>
        </w:rPr>
        <w:t xml:space="preserve">Nível 1  </w:t>
      </w:r>
      <w:r>
        <w:t>1. Unidade; 2. Regressão; 3. Aceitação; 4. Desempenho/carga; 5. Integração; 6. Caixa-preta.</w:t>
      </w:r>
    </w:p>
    <w:p>
      <w:r>
        <w:rPr>
          <w:b/>
        </w:rPr>
        <w:t xml:space="preserve">Nível 2  </w:t>
      </w:r>
      <w:r>
        <w:t>O caso incompleto não informa ID, requisito, pré-condições nem dados exatos; os passos e o esperado são vagos.</w:t>
      </w:r>
    </w:p>
    <w:p>
      <w:r>
        <w:t>EX-CT01 — cadastrar livro válido (RF03/RNF02). Pré-condições: API/banco ativos e token válido. Dados: título “Livro de teste”, autor “Autor de teste”, estoque 10. Passos: login, POST /livros, conferir resposta e banco. Esperado: 201 e livro gravado. Obtido: não executado, pois é exercício de elaboração. Status: pendente. Evidência: a registrar.</w:t>
      </w:r>
    </w:p>
    <w:p>
      <w:r>
        <w:t>Ano: abaixo de 1900 é inválido; 1900–2026 é válido; acima de 2026 é inválido. Limites: 1899 e 2027 recusados; 1900 e 2026 aceitos.</w:t>
      </w:r>
    </w:p>
    <w:p>
      <w:r>
        <w:rPr>
          <w:b/>
        </w:rPr>
        <w:t xml:space="preserve">Nível 3  </w:t>
      </w:r>
      <w:r>
        <w:t>Os dez casos têm quatro caminhos de erro (02, 03, 05 e 10) e valor limite. Plano, matriz, resultados e defeito estão registrados neste relatório; os casos completos e as provas estão nos arquivos de apoio.</w:t>
      </w:r>
    </w:p>
    <w:sectPr>
      <w:footerReference w:type="default" r:id="rId9"/>
      <w:pgSz w:w="11906" w:h="16838"/>
      <w:pgMar w:top="935" w:right="1020" w:bottom="935" w:left="1020" w:header="72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Módulo 7 Testes de Sistema</dc:title>
  <dc:subject>Relatório de testes — Turma 996</dc:subject>
  <dc:creator>Pedro do Nascimento Braga</dc:creator>
  <cp:keywords/>
  <dc:description/>
  <cp:lastModifiedBy>Pedro do Nascimento Braga</cp:lastModifiedBy>
  <cp:revision>1</cp:revision>
  <dcterms:created xsi:type="dcterms:W3CDTF">2013-12-23T23:15:00Z</dcterms:created>
  <dcterms:modified xsi:type="dcterms:W3CDTF">2013-12-23T23:15:00Z</dcterms:modified>
  <cp:category/>
</cp:coreProperties>
</file>